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B17B">
      <w:pPr>
        <w:spacing w:before="31" w:beforeLines="10" w:line="360" w:lineRule="auto"/>
        <w:rPr>
          <w:rFonts w:hint="eastAsia" w:ascii="宋体" w:hAnsi="宋体" w:cs="宋体"/>
          <w:b/>
          <w:w w:val="95"/>
          <w:sz w:val="24"/>
        </w:rPr>
      </w:pPr>
      <w:r>
        <w:rPr>
          <w:rFonts w:hint="eastAsia" w:ascii="宋体" w:hAnsi="宋体" w:cs="宋体"/>
          <w:b/>
          <w:w w:val="95"/>
          <w:sz w:val="24"/>
        </w:rPr>
        <w:t>证券简称：金帝股份                                       证券代码：603270</w:t>
      </w:r>
    </w:p>
    <w:p w14:paraId="68156EFE">
      <w:pPr>
        <w:jc w:val="center"/>
        <w:rPr>
          <w:rFonts w:hint="eastAsia" w:ascii="宋体" w:hAnsi="宋体" w:cs="宋体"/>
          <w:b/>
          <w:w w:val="95"/>
          <w:sz w:val="32"/>
          <w:szCs w:val="32"/>
        </w:rPr>
      </w:pPr>
    </w:p>
    <w:p w14:paraId="6734F0E5">
      <w:pPr>
        <w:spacing w:before="31" w:beforeLines="10" w:line="360" w:lineRule="auto"/>
        <w:jc w:val="center"/>
        <w:rPr>
          <w:rFonts w:hint="eastAsia" w:ascii="宋体" w:hAnsi="宋体" w:cs="宋体"/>
          <w:b/>
          <w:w w:val="95"/>
          <w:kern w:val="0"/>
          <w:sz w:val="36"/>
          <w:szCs w:val="36"/>
        </w:rPr>
      </w:pPr>
      <w:r>
        <w:rPr>
          <w:rFonts w:hint="eastAsia" w:ascii="宋体" w:hAnsi="宋体" w:cs="宋体"/>
          <w:b/>
          <w:w w:val="95"/>
          <w:sz w:val="36"/>
          <w:szCs w:val="36"/>
        </w:rPr>
        <w:t>山东金帝精密机械科技股份有限公司</w:t>
      </w:r>
      <w:r>
        <w:rPr>
          <w:rFonts w:hint="eastAsia" w:ascii="宋体" w:hAnsi="宋体" w:cs="宋体"/>
          <w:b/>
          <w:w w:val="95"/>
          <w:kern w:val="0"/>
          <w:sz w:val="36"/>
          <w:szCs w:val="36"/>
        </w:rPr>
        <w:t>投资者关系活动记录表</w:t>
      </w:r>
    </w:p>
    <w:p w14:paraId="7577B4BB">
      <w:pPr>
        <w:spacing w:before="31" w:beforeLines="10" w:line="360" w:lineRule="auto"/>
        <w:jc w:val="center"/>
        <w:rPr>
          <w:rFonts w:hint="eastAsia" w:ascii="宋体" w:hAnsi="宋体" w:eastAsia="宋体" w:cs="宋体"/>
          <w:b/>
          <w:w w:val="95"/>
          <w:kern w:val="0"/>
          <w:sz w:val="36"/>
          <w:szCs w:val="36"/>
          <w:lang w:eastAsia="zh-CN"/>
        </w:rPr>
      </w:pPr>
      <w:r>
        <w:rPr>
          <w:rFonts w:hint="eastAsia" w:ascii="宋体" w:hAnsi="宋体" w:cs="宋体"/>
          <w:b/>
          <w:w w:val="95"/>
          <w:kern w:val="0"/>
          <w:sz w:val="36"/>
          <w:szCs w:val="36"/>
          <w:lang w:eastAsia="zh-CN"/>
        </w:rPr>
        <w:t>（2026年山东辖区上市公司投资者网上集体接待日活动）</w:t>
      </w:r>
    </w:p>
    <w:p w14:paraId="075EA852">
      <w:pPr>
        <w:tabs>
          <w:tab w:val="left" w:pos="6106"/>
        </w:tabs>
        <w:spacing w:before="156" w:beforeLines="50" w:after="156" w:afterLines="50"/>
        <w:ind w:firstLine="240" w:firstLineChars="100"/>
        <w:jc w:val="right"/>
        <w:rPr>
          <w:rFonts w:hint="eastAsia" w:ascii="宋体" w:hAnsi="宋体" w:eastAsia="宋体" w:cs="宋体"/>
          <w:sz w:val="24"/>
          <w:lang w:val="en-US" w:eastAsia="zh-CN"/>
        </w:rPr>
      </w:pPr>
      <w:r>
        <w:rPr>
          <w:rFonts w:hint="eastAsia" w:ascii="宋体" w:hAnsi="宋体" w:cs="宋体"/>
          <w:sz w:val="24"/>
        </w:rPr>
        <w:t>编号：202</w:t>
      </w:r>
      <w:r>
        <w:rPr>
          <w:rFonts w:hint="eastAsia" w:ascii="宋体" w:hAnsi="宋体" w:cs="宋体"/>
          <w:sz w:val="24"/>
          <w:lang w:val="en-US" w:eastAsia="zh-CN"/>
        </w:rPr>
        <w:t>6</w:t>
      </w:r>
      <w:r>
        <w:rPr>
          <w:rFonts w:hint="eastAsia" w:ascii="宋体" w:hAnsi="宋体" w:cs="宋体"/>
          <w:sz w:val="24"/>
        </w:rPr>
        <w:t>-00</w:t>
      </w:r>
      <w:r>
        <w:rPr>
          <w:rFonts w:hint="eastAsia" w:ascii="宋体" w:hAnsi="宋体" w:cs="宋体"/>
          <w:sz w:val="24"/>
          <w:lang w:val="en-US" w:eastAsia="zh-CN"/>
        </w:rPr>
        <w:t>1</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7022"/>
      </w:tblGrid>
      <w:tr w14:paraId="0B5FE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61A8189F">
            <w:pPr>
              <w:jc w:val="center"/>
              <w:rPr>
                <w:rFonts w:hint="eastAsia" w:ascii="宋体" w:hAnsi="宋体" w:cs="宋体"/>
                <w:bCs/>
                <w:sz w:val="24"/>
              </w:rPr>
            </w:pPr>
            <w:r>
              <w:rPr>
                <w:rFonts w:hint="eastAsia" w:ascii="宋体" w:hAnsi="宋体" w:cs="宋体"/>
                <w:b/>
                <w:bCs/>
                <w:sz w:val="24"/>
              </w:rPr>
              <w:t>投资者关系活动类别</w:t>
            </w:r>
          </w:p>
        </w:tc>
        <w:tc>
          <w:tcPr>
            <w:tcW w:w="7022" w:type="dxa"/>
            <w:tcBorders>
              <w:top w:val="single" w:color="auto" w:sz="12" w:space="0"/>
              <w:left w:val="single" w:color="auto" w:sz="4" w:space="0"/>
              <w:bottom w:val="single" w:color="auto" w:sz="4" w:space="0"/>
              <w:right w:val="single" w:color="auto" w:sz="12" w:space="0"/>
            </w:tcBorders>
            <w:vAlign w:val="center"/>
          </w:tcPr>
          <w:p w14:paraId="17069F61">
            <w:pPr>
              <w:widowControl/>
              <w:tabs>
                <w:tab w:val="left" w:pos="3480"/>
              </w:tabs>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特定对象调研   □分析师会议      □媒体采访</w:t>
            </w:r>
          </w:p>
          <w:p w14:paraId="7C3374B0">
            <w:pPr>
              <w:widowControl/>
              <w:tabs>
                <w:tab w:val="left" w:pos="2040"/>
                <w:tab w:val="left" w:pos="3480"/>
              </w:tabs>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业绩说明会     □新闻发布会      □路演活动</w:t>
            </w:r>
          </w:p>
          <w:p w14:paraId="1103B995">
            <w:pPr>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 xml:space="preserve">现场参观       □一对一沟通      </w:t>
            </w:r>
            <w:r>
              <w:rPr>
                <w:rFonts w:hint="eastAsia" w:ascii="宋体" w:hAnsi="宋体" w:cs="宋体"/>
                <w:bCs/>
                <w:sz w:val="24"/>
                <w:lang w:eastAsia="zh-CN"/>
              </w:rPr>
              <w:t>□</w:t>
            </w:r>
            <w:r>
              <w:rPr>
                <w:rFonts w:hint="eastAsia" w:ascii="宋体" w:hAnsi="宋体" w:cs="宋体"/>
                <w:bCs/>
                <w:sz w:val="24"/>
              </w:rPr>
              <w:t>其他（电话会议）</w:t>
            </w:r>
          </w:p>
        </w:tc>
      </w:tr>
      <w:tr w14:paraId="01E65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36E3EB3A">
            <w:pPr>
              <w:jc w:val="center"/>
              <w:rPr>
                <w:rFonts w:hint="eastAsia" w:ascii="宋体" w:hAnsi="宋体" w:cs="宋体"/>
                <w:b/>
                <w:bCs/>
                <w:sz w:val="24"/>
              </w:rPr>
            </w:pPr>
            <w:r>
              <w:rPr>
                <w:rFonts w:hint="eastAsia" w:ascii="宋体" w:hAnsi="宋体" w:cs="宋体"/>
                <w:b/>
                <w:bCs/>
                <w:sz w:val="24"/>
              </w:rPr>
              <w:t>参与单位及人员名称</w:t>
            </w:r>
          </w:p>
        </w:tc>
        <w:tc>
          <w:tcPr>
            <w:tcW w:w="7022" w:type="dxa"/>
            <w:tcBorders>
              <w:top w:val="single" w:color="auto" w:sz="4" w:space="0"/>
              <w:left w:val="single" w:color="auto" w:sz="4" w:space="0"/>
              <w:bottom w:val="single" w:color="auto" w:sz="4" w:space="0"/>
              <w:right w:val="single" w:color="auto" w:sz="12" w:space="0"/>
            </w:tcBorders>
            <w:vAlign w:val="center"/>
          </w:tcPr>
          <w:p w14:paraId="42009361">
            <w:pPr>
              <w:rPr>
                <w:rFonts w:hint="default" w:ascii="宋体" w:hAnsi="宋体" w:cs="宋体"/>
                <w:sz w:val="24"/>
                <w:lang w:val="en-US" w:eastAsia="zh-CN"/>
              </w:rPr>
            </w:pPr>
            <w:r>
              <w:rPr>
                <w:rFonts w:hint="default" w:ascii="宋体" w:hAnsi="宋体" w:cs="宋体"/>
                <w:sz w:val="24"/>
                <w:lang w:val="en-US" w:eastAsia="zh-CN"/>
              </w:rPr>
              <w:t>投资者网上提问</w:t>
            </w:r>
          </w:p>
        </w:tc>
      </w:tr>
      <w:tr w14:paraId="29E18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6592977">
            <w:pPr>
              <w:jc w:val="center"/>
              <w:rPr>
                <w:rFonts w:hint="eastAsia" w:ascii="宋体" w:hAnsi="宋体" w:cs="宋体"/>
                <w:b/>
                <w:bCs/>
                <w:sz w:val="24"/>
              </w:rPr>
            </w:pPr>
            <w:r>
              <w:rPr>
                <w:rFonts w:hint="eastAsia" w:ascii="宋体" w:hAnsi="宋体" w:cs="宋体"/>
                <w:b/>
                <w:bCs/>
                <w:sz w:val="24"/>
              </w:rPr>
              <w:t>时间</w:t>
            </w:r>
          </w:p>
        </w:tc>
        <w:tc>
          <w:tcPr>
            <w:tcW w:w="7022" w:type="dxa"/>
            <w:tcBorders>
              <w:top w:val="single" w:color="auto" w:sz="4" w:space="0"/>
              <w:left w:val="single" w:color="auto" w:sz="4" w:space="0"/>
              <w:bottom w:val="single" w:color="auto" w:sz="4" w:space="0"/>
              <w:right w:val="single" w:color="auto" w:sz="12" w:space="0"/>
            </w:tcBorders>
            <w:vAlign w:val="center"/>
          </w:tcPr>
          <w:p w14:paraId="4D3AEDB3">
            <w:pP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6</w:t>
            </w:r>
            <w:r>
              <w:rPr>
                <w:rFonts w:hint="default" w:ascii="宋体" w:hAnsi="宋体" w:eastAsia="宋体" w:cs="宋体"/>
                <w:sz w:val="24"/>
                <w:szCs w:val="24"/>
                <w:highlight w:val="none"/>
                <w:lang w:val="en-US" w:eastAsia="zh-CN"/>
              </w:rPr>
              <w:t>年5月15日 (周</w:t>
            </w:r>
            <w:r>
              <w:rPr>
                <w:rFonts w:hint="eastAsia" w:ascii="宋体" w:hAnsi="宋体" w:cs="宋体"/>
                <w:sz w:val="24"/>
                <w:szCs w:val="24"/>
                <w:highlight w:val="none"/>
                <w:lang w:val="en-US" w:eastAsia="zh-CN"/>
              </w:rPr>
              <w:t>五</w:t>
            </w:r>
            <w:r>
              <w:rPr>
                <w:rFonts w:hint="default" w:ascii="宋体" w:hAnsi="宋体" w:eastAsia="宋体" w:cs="宋体"/>
                <w:sz w:val="24"/>
                <w:szCs w:val="24"/>
                <w:highlight w:val="none"/>
                <w:lang w:val="en-US" w:eastAsia="zh-CN"/>
              </w:rPr>
              <w:t>) 下午 15:00</w:t>
            </w:r>
            <w:r>
              <w:rPr>
                <w:rFonts w:hint="eastAsia" w:ascii="宋体" w:hAnsi="宋体" w:cs="宋体"/>
                <w:sz w:val="24"/>
                <w:szCs w:val="24"/>
                <w:highlight w:val="none"/>
                <w:lang w:val="en-US" w:eastAsia="zh-CN"/>
              </w:rPr>
              <w:t>-</w:t>
            </w:r>
            <w:r>
              <w:rPr>
                <w:rFonts w:hint="default" w:ascii="宋体" w:hAnsi="宋体" w:eastAsia="宋体" w:cs="宋体"/>
                <w:sz w:val="24"/>
                <w:szCs w:val="24"/>
                <w:highlight w:val="none"/>
                <w:lang w:val="en-US" w:eastAsia="zh-CN"/>
              </w:rPr>
              <w:t>16:30</w:t>
            </w:r>
          </w:p>
        </w:tc>
      </w:tr>
      <w:tr w14:paraId="63CD1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FBAF4C7">
            <w:pPr>
              <w:jc w:val="center"/>
              <w:rPr>
                <w:rFonts w:hint="eastAsia" w:ascii="宋体" w:hAnsi="宋体" w:eastAsia="宋体" w:cs="宋体"/>
                <w:b/>
                <w:bCs/>
                <w:sz w:val="24"/>
                <w:lang w:val="en-US" w:eastAsia="zh-CN"/>
              </w:rPr>
            </w:pPr>
            <w:r>
              <w:rPr>
                <w:rFonts w:hint="eastAsia" w:ascii="宋体" w:hAnsi="宋体" w:cs="宋体"/>
                <w:b/>
                <w:bCs/>
                <w:sz w:val="24"/>
                <w:lang w:val="en-US" w:eastAsia="zh-CN"/>
              </w:rPr>
              <w:t>地点</w:t>
            </w:r>
          </w:p>
        </w:tc>
        <w:tc>
          <w:tcPr>
            <w:tcW w:w="7022" w:type="dxa"/>
            <w:tcBorders>
              <w:top w:val="single" w:color="auto" w:sz="4" w:space="0"/>
              <w:left w:val="single" w:color="auto" w:sz="4" w:space="0"/>
              <w:bottom w:val="single" w:color="auto" w:sz="4" w:space="0"/>
              <w:right w:val="single" w:color="auto" w:sz="12" w:space="0"/>
            </w:tcBorders>
            <w:vAlign w:val="center"/>
          </w:tcPr>
          <w:p w14:paraId="13ABF2BC">
            <w:pPr>
              <w:spacing w:before="156" w:beforeLines="50" w:after="156" w:afterLines="50"/>
              <w:rPr>
                <w:rFonts w:hint="default" w:ascii="宋体" w:hAnsi="宋体" w:eastAsia="宋体" w:cs="宋体"/>
                <w:sz w:val="24"/>
                <w:lang w:val="en-US" w:eastAsia="zh-CN"/>
              </w:rPr>
            </w:pPr>
            <w:r>
              <w:rPr>
                <w:rFonts w:hint="eastAsia" w:ascii="宋体" w:hAnsi="宋体" w:cs="宋体"/>
                <w:sz w:val="24"/>
                <w:lang w:val="en-US" w:eastAsia="zh-CN"/>
              </w:rPr>
              <w:t>公司通过全景网“投资者关系互动平台”采用网络远程的方式召开业绩说明会</w:t>
            </w:r>
          </w:p>
        </w:tc>
      </w:tr>
      <w:tr w14:paraId="57B95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2157BE52">
            <w:pPr>
              <w:jc w:val="center"/>
              <w:rPr>
                <w:rFonts w:hint="eastAsia" w:ascii="宋体" w:hAnsi="宋体" w:cs="宋体"/>
                <w:b/>
                <w:bCs/>
                <w:sz w:val="24"/>
              </w:rPr>
            </w:pPr>
            <w:r>
              <w:rPr>
                <w:rFonts w:hint="eastAsia" w:ascii="宋体" w:hAnsi="宋体" w:cs="宋体"/>
                <w:b/>
                <w:bCs/>
                <w:sz w:val="24"/>
              </w:rPr>
              <w:t>公司接待人员姓名</w:t>
            </w:r>
          </w:p>
        </w:tc>
        <w:tc>
          <w:tcPr>
            <w:tcW w:w="7022" w:type="dxa"/>
            <w:tcBorders>
              <w:top w:val="single" w:color="auto" w:sz="4" w:space="0"/>
              <w:left w:val="single" w:color="auto" w:sz="4" w:space="0"/>
              <w:bottom w:val="single" w:color="auto" w:sz="4" w:space="0"/>
              <w:right w:val="single" w:color="auto" w:sz="12" w:space="0"/>
            </w:tcBorders>
            <w:vAlign w:val="center"/>
          </w:tcPr>
          <w:p w14:paraId="1ACBDE18">
            <w:pPr>
              <w:spacing w:before="156" w:beforeLines="50" w:after="156" w:afterLines="50"/>
              <w:rPr>
                <w:rFonts w:hint="eastAsia" w:ascii="宋体" w:hAnsi="宋体" w:cs="宋体"/>
                <w:sz w:val="24"/>
                <w:lang w:val="en-US" w:eastAsia="zh-CN"/>
              </w:rPr>
            </w:pPr>
            <w:r>
              <w:rPr>
                <w:rFonts w:hint="eastAsia" w:ascii="宋体" w:hAnsi="宋体" w:cs="宋体"/>
                <w:sz w:val="24"/>
                <w:lang w:val="en-US" w:eastAsia="zh-CN"/>
              </w:rPr>
              <w:t>董事、副总经理：温春国</w:t>
            </w:r>
          </w:p>
          <w:p w14:paraId="4C0B57AB">
            <w:pPr>
              <w:spacing w:before="156" w:beforeLines="50" w:after="156" w:afterLines="50"/>
              <w:rPr>
                <w:rFonts w:hint="eastAsia" w:ascii="宋体" w:hAnsi="宋体" w:cs="宋体"/>
                <w:sz w:val="24"/>
                <w:lang w:val="en-US" w:eastAsia="zh-CN"/>
              </w:rPr>
            </w:pPr>
            <w:r>
              <w:rPr>
                <w:rFonts w:hint="eastAsia" w:ascii="宋体" w:hAnsi="宋体" w:cs="宋体"/>
                <w:sz w:val="24"/>
                <w:lang w:val="en-US" w:eastAsia="zh-CN"/>
              </w:rPr>
              <w:t>董事会秘书：薛泰尧</w:t>
            </w:r>
          </w:p>
          <w:p w14:paraId="005682CB">
            <w:pPr>
              <w:spacing w:before="156" w:beforeLines="50" w:after="156" w:afterLines="50"/>
              <w:rPr>
                <w:rFonts w:hint="default" w:ascii="宋体" w:hAnsi="宋体" w:cs="宋体"/>
                <w:sz w:val="24"/>
                <w:lang w:val="en-US" w:eastAsia="zh-CN"/>
              </w:rPr>
            </w:pPr>
            <w:r>
              <w:rPr>
                <w:rFonts w:hint="eastAsia" w:ascii="宋体" w:hAnsi="宋体" w:cs="宋体"/>
                <w:sz w:val="24"/>
                <w:lang w:val="en-US" w:eastAsia="zh-CN"/>
              </w:rPr>
              <w:t>证券事务代表：赵海军</w:t>
            </w:r>
          </w:p>
        </w:tc>
      </w:tr>
      <w:tr w14:paraId="57B7C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1D0FAC2E">
            <w:pPr>
              <w:jc w:val="center"/>
              <w:rPr>
                <w:rFonts w:hint="eastAsia" w:ascii="宋体" w:hAnsi="宋体" w:cs="宋体"/>
                <w:b/>
                <w:bCs/>
                <w:sz w:val="24"/>
              </w:rPr>
            </w:pPr>
            <w:r>
              <w:rPr>
                <w:rFonts w:hint="eastAsia" w:ascii="宋体" w:hAnsi="宋体" w:cs="宋体"/>
                <w:b/>
                <w:bCs/>
                <w:sz w:val="24"/>
              </w:rPr>
              <w:t>投资者关系活动主要内容介绍</w:t>
            </w:r>
          </w:p>
        </w:tc>
        <w:tc>
          <w:tcPr>
            <w:tcW w:w="7022" w:type="dxa"/>
            <w:tcBorders>
              <w:top w:val="single" w:color="auto" w:sz="4" w:space="0"/>
              <w:left w:val="single" w:color="auto" w:sz="4" w:space="0"/>
              <w:bottom w:val="single" w:color="auto" w:sz="4" w:space="0"/>
              <w:right w:val="single" w:color="auto" w:sz="12" w:space="0"/>
            </w:tcBorders>
          </w:tcPr>
          <w:p w14:paraId="784FDBE8">
            <w:pPr>
              <w:pStyle w:val="17"/>
              <w:tabs>
                <w:tab w:val="left" w:pos="788"/>
              </w:tabs>
              <w:spacing w:line="360" w:lineRule="auto"/>
              <w:ind w:firstLine="420" w:firstLineChars="200"/>
              <w:rPr>
                <w:rFonts w:hint="eastAsia" w:ascii="宋体" w:hAnsi="宋体" w:eastAsia="宋体" w:cs="宋体"/>
                <w:b w:val="0"/>
                <w:bCs w:val="0"/>
                <w:szCs w:val="21"/>
                <w:highlight w:val="none"/>
                <w:lang w:val="en-US" w:eastAsia="zh-CN"/>
              </w:rPr>
            </w:pPr>
            <w:r>
              <w:rPr>
                <w:rFonts w:hint="eastAsia" w:ascii="宋体" w:hAnsi="宋体" w:cs="宋体"/>
                <w:b w:val="0"/>
                <w:bCs w:val="0"/>
                <w:szCs w:val="21"/>
                <w:highlight w:val="none"/>
                <w:lang w:val="en-US" w:eastAsia="zh-CN"/>
              </w:rPr>
              <w:t>为进一步加强与投资者的互动交流，公司参加了由山东证监局、山东上市公司协会与深圳市全景网络有限公司联合举办的“2026年山东辖区上市公司投资者网上集体接待日活动”，</w:t>
            </w:r>
            <w:r>
              <w:rPr>
                <w:rFonts w:hint="eastAsia" w:ascii="宋体" w:hAnsi="宋体" w:cs="宋体"/>
                <w:b w:val="0"/>
                <w:bCs w:val="0"/>
                <w:szCs w:val="21"/>
                <w:highlight w:val="none"/>
              </w:rPr>
              <w:t>投资者提出的问题及公司回复情况</w:t>
            </w:r>
            <w:r>
              <w:rPr>
                <w:rFonts w:hint="eastAsia" w:ascii="宋体" w:hAnsi="宋体" w:cs="宋体"/>
                <w:b w:val="0"/>
                <w:bCs w:val="0"/>
                <w:szCs w:val="21"/>
                <w:highlight w:val="none"/>
                <w:lang w:val="en-US" w:eastAsia="zh-CN"/>
              </w:rPr>
              <w:t>如下：</w:t>
            </w:r>
          </w:p>
          <w:p w14:paraId="1773C215">
            <w:pPr>
              <w:pStyle w:val="17"/>
              <w:tabs>
                <w:tab w:val="left" w:pos="788"/>
              </w:tabs>
              <w:spacing w:line="360" w:lineRule="auto"/>
              <w:ind w:firstLine="0" w:firstLineChars="0"/>
              <w:rPr>
                <w:rFonts w:hint="eastAsia" w:ascii="宋体" w:hAnsi="宋体" w:cs="宋体"/>
                <w:b/>
                <w:bCs/>
                <w:szCs w:val="21"/>
                <w:highlight w:val="none"/>
              </w:rPr>
            </w:pPr>
            <w:r>
              <w:rPr>
                <w:rFonts w:hint="eastAsia" w:ascii="宋体" w:hAnsi="宋体" w:cs="宋体"/>
                <w:b/>
                <w:bCs/>
                <w:szCs w:val="21"/>
                <w:highlight w:val="none"/>
              </w:rPr>
              <w:t>1、看公司的产品，涉及新能源车，风电设备，氢能源行业，贵司肯定是有了长期的规划，才会这么做的。请问，贵司未来三年的发展规划是否有明确的方向？主打的产品和战略规划是哪些？</w:t>
            </w:r>
          </w:p>
          <w:p w14:paraId="0D2D7786">
            <w:pPr>
              <w:pStyle w:val="17"/>
              <w:tabs>
                <w:tab w:val="left" w:pos="788"/>
              </w:tabs>
              <w:spacing w:line="360" w:lineRule="auto"/>
              <w:ind w:left="0" w:leftChars="0"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尊敬的投资者：您好！公司以精密冲压技术为核心，持续拓展产品应用边界，形成轴承保持架、精密零部件、新能源电驱动定转子总成多元产品生态，持续拓展至数控机床等高端应用场景，同时加速全球化布局，实现市场覆盖与客户结构优化，形成 “海内外联动、多区域互补”的生产布局网络。</w:t>
            </w:r>
          </w:p>
          <w:p w14:paraId="417F6E65">
            <w:pPr>
              <w:pStyle w:val="17"/>
              <w:tabs>
                <w:tab w:val="left" w:pos="788"/>
              </w:tabs>
              <w:spacing w:line="360" w:lineRule="auto"/>
              <w:ind w:left="0" w:leftChars="0"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在轴承保持架领域，继续发挥先发优势，融合全球八大轴承公司的底层技术，持续创新开发，综合运用冲压、旋压、机加、注塑、包塑、铸造等多种工艺；使用钢、铜、铸铁、高分子聚合物等多种材质；提供全尺寸段的轴承保持架系列产品，为客户提供一站式的轴承保持架及相关轴承配件的使用需求解决方案。在风电行业轴承保持架产品领域，可提供变桨、主轴、齿轮箱、偏航、发电机轴承保持架全系列产品，每年迭代新产品，可满足客户的不同需求。</w:t>
            </w:r>
          </w:p>
          <w:p w14:paraId="7459FE6D">
            <w:pPr>
              <w:pStyle w:val="17"/>
              <w:tabs>
                <w:tab w:val="left" w:pos="788"/>
              </w:tabs>
              <w:spacing w:line="360" w:lineRule="auto"/>
              <w:ind w:left="0" w:leftChars="0"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在精密零部件领域，聚焦于变速箱、发动机核心零部件，拓展新能源汽车电驱动定转子总成产品及子零件，开发座椅、门锁以及转向系统平台化零部件，利用精冲无塌角、斜齿冲压等先进技术，可使用最大厚度为15毫米的板材，实现精密冲压成型产品，引领精密冲压成型行业技术发展。</w:t>
            </w:r>
          </w:p>
          <w:p w14:paraId="1D9EC529">
            <w:pPr>
              <w:pStyle w:val="17"/>
              <w:tabs>
                <w:tab w:val="left" w:pos="788"/>
              </w:tabs>
              <w:spacing w:line="360" w:lineRule="auto"/>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在新能源汽车驱动电机细分领域，公司陆续投资建设异步感应电机定转子、永磁同步电机定转子总成生产线，构建可持续成本优势的垂直整合体系，通过自主研制关键工位的生产设备，自主设计制造模具工装，自制定转子铁芯、busbar、平衡板、压环等关键零部件，满足对生产工艺的快速迭代优化，提升供应链的管控能力与响应速度。铸铝转子具有重量轻、制造成本低、高速耗电少等显著优势，且已经在辰致、比亚迪、吉利、奇瑞、蔚来、小鹏、北汽、奥迪、沃尔沃、宝马等汽车品牌的主要车型上装配量产。公司深耕新能源汽车电机定转子领域，在异步电机铸铝转子领域具有先发优势，同时进一步根据客户需求和行业发展趋势拓展至定子和同步电机定转子领域，满足客户一站式需求。</w:t>
            </w:r>
          </w:p>
          <w:p w14:paraId="7AFF6D61">
            <w:pPr>
              <w:pStyle w:val="17"/>
              <w:tabs>
                <w:tab w:val="left" w:pos="788"/>
              </w:tabs>
              <w:spacing w:line="360" w:lineRule="auto"/>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公司始终致力于根据行业技术的发展方向开展前瞻性技术研究工作，以保证能够顺应轴承行业与汽车零部件行业的专业化分工的发展趋势，保持公司在市场竞争中的技术优势。公司研发投入持续增加，以既有产品生产工艺的不断完善与优化和满足未来市场需求的创新产品为中心开展，为公司的长远发展提供技术储备。2025年公司研发费用投入13,058.10万元，同比增长30.30%。夯实未来可持续增长的发展基础。2025年公司新增取得授权专利260项，其中发明专利27项。截至2025年年末，累计取得国内专利1039项，其中发明专利174项。</w:t>
            </w:r>
          </w:p>
          <w:p w14:paraId="6ACCA54F">
            <w:pPr>
              <w:pStyle w:val="17"/>
              <w:tabs>
                <w:tab w:val="left" w:pos="788"/>
              </w:tabs>
              <w:spacing w:line="360" w:lineRule="auto"/>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为此，公司将原有的精密冲压技术优势向高附加值的新兴场景进行技术迁移和降本重构，目前拓展的新产品介绍如下：</w:t>
            </w:r>
            <w:r>
              <w:rPr>
                <w:rFonts w:hint="eastAsia" w:ascii="宋体" w:hAnsi="宋体" w:cs="宋体"/>
                <w:b w:val="0"/>
                <w:bCs w:val="0"/>
                <w:szCs w:val="21"/>
                <w:highlight w:val="none"/>
                <w:lang w:val="en-US" w:eastAsia="zh-CN"/>
              </w:rPr>
              <w:t>1</w:t>
            </w:r>
            <w:r>
              <w:rPr>
                <w:rFonts w:hint="eastAsia" w:ascii="宋体" w:hAnsi="宋体" w:cs="宋体"/>
                <w:b w:val="0"/>
                <w:bCs w:val="0"/>
                <w:szCs w:val="21"/>
                <w:highlight w:val="none"/>
              </w:rPr>
              <w:t>）、公司柔轮初坯产品目前已在部分客户验证后工艺冻结，后续量产进度主要取决于下游市场和客户排产计划。公司已向多家行业主流厂商完成样品送样，客户验证工作整体进展顺利。</w:t>
            </w:r>
            <w:r>
              <w:rPr>
                <w:rFonts w:hint="eastAsia" w:ascii="宋体" w:hAnsi="宋体" w:cs="宋体"/>
                <w:b w:val="0"/>
                <w:bCs w:val="0"/>
                <w:szCs w:val="21"/>
                <w:highlight w:val="none"/>
                <w:lang w:val="en-US" w:eastAsia="zh-CN"/>
              </w:rPr>
              <w:t>2</w:t>
            </w:r>
            <w:r>
              <w:rPr>
                <w:rFonts w:hint="eastAsia" w:ascii="宋体" w:hAnsi="宋体" w:cs="宋体"/>
                <w:b w:val="0"/>
                <w:bCs w:val="0"/>
                <w:szCs w:val="21"/>
                <w:highlight w:val="none"/>
              </w:rPr>
              <w:t>）、公司半导体散热片产品采用精冲一次成型工</w:t>
            </w:r>
            <w:bookmarkStart w:id="0" w:name="_GoBack"/>
            <w:bookmarkEnd w:id="0"/>
            <w:r>
              <w:rPr>
                <w:rFonts w:hint="eastAsia" w:ascii="宋体" w:hAnsi="宋体" w:cs="宋体"/>
                <w:b w:val="0"/>
                <w:bCs w:val="0"/>
                <w:szCs w:val="21"/>
                <w:highlight w:val="none"/>
              </w:rPr>
              <w:t>艺，经多批次量产验证、参数固化、过程优化及可靠性验证，已形成标准化、稳定化、可复制的量产工艺体系，满足产品散热性能、尺寸精度、外观质量及环境可靠性要求。整体综合良品率稳定在 98.5%以上；已筛选确定高纯度铜材特定供应商和核心生产设备厂商，可满足量产精度要求。已系统识别并控制铜材氧化、冲压回弹、加工变形、电镀结合力、喷砂均匀性、尺寸超差等关键风险点，建立防错、参数锁存、异常快速响应及合格供方保障机制，可确保连续稳定生产与交付。</w:t>
            </w:r>
            <w:r>
              <w:rPr>
                <w:rFonts w:hint="eastAsia" w:ascii="宋体" w:hAnsi="宋体" w:cs="宋体"/>
                <w:b w:val="0"/>
                <w:bCs w:val="0"/>
                <w:szCs w:val="21"/>
                <w:highlight w:val="none"/>
                <w:lang w:val="en-US" w:eastAsia="zh-CN"/>
              </w:rPr>
              <w:t>3</w:t>
            </w:r>
            <w:r>
              <w:rPr>
                <w:rFonts w:hint="eastAsia" w:ascii="宋体" w:hAnsi="宋体" w:cs="宋体"/>
                <w:b w:val="0"/>
                <w:bCs w:val="0"/>
                <w:szCs w:val="21"/>
                <w:highlight w:val="none"/>
              </w:rPr>
              <w:t>）、氢能源领域方面，在用氢、制氢、储氢领域均有所突破，形成金属极板、复合端板、碱性电解槽（ALK）极板、PEM电解槽极板等系列产品，公司将积极夯实和拓展氢能源领域的优质客户，创新深化客户合作伙伴关系，切实增强客户粘性，提升公司在氢能源市场的核心竞争力。感谢您的关注！谢谢</w:t>
            </w:r>
          </w:p>
          <w:p w14:paraId="67956E5D">
            <w:pPr>
              <w:pStyle w:val="17"/>
              <w:tabs>
                <w:tab w:val="left" w:pos="788"/>
              </w:tabs>
              <w:spacing w:line="360" w:lineRule="auto"/>
              <w:ind w:firstLine="0" w:firstLineChars="0"/>
              <w:rPr>
                <w:rFonts w:hint="eastAsia" w:ascii="宋体" w:hAnsi="宋体" w:cs="宋体"/>
                <w:b/>
                <w:bCs/>
                <w:szCs w:val="21"/>
                <w:highlight w:val="none"/>
              </w:rPr>
            </w:pPr>
            <w:r>
              <w:rPr>
                <w:rFonts w:hint="eastAsia" w:ascii="宋体" w:hAnsi="宋体" w:cs="宋体"/>
                <w:b/>
                <w:bCs/>
                <w:szCs w:val="21"/>
                <w:highlight w:val="none"/>
              </w:rPr>
              <w:t>2、请问公司领导，对于公司现金流持续紧张的问题，公司做了哪些有效措施进行改善吗？预计什么时候改善到怎么样的状况？谢谢</w:t>
            </w:r>
          </w:p>
          <w:p w14:paraId="2CE1972E">
            <w:pPr>
              <w:pStyle w:val="17"/>
              <w:tabs>
                <w:tab w:val="left" w:pos="788"/>
              </w:tabs>
              <w:spacing w:line="360" w:lineRule="auto"/>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尊敬的投资者：您好！公司经营活动现金净流量为负主要系公司销售业务大幅增长由信用期带来收款时点与原辅材料采购支出时点不匹配以及结算方式的不同等原因导致。针对该情况，公司的改善措施如下：1）、在产品销售方面，针对老客户，统筹销售发货、开票、挂账的时间节点，加大货款催收力度，制定相应机制，合理管控应收账款结算周期，提升应收账款周转率；针对新客户，结合同行业的销售政策，尽可能缩短信用周期，提高电汇结算比例，以质量、技术、交期等综合供货能力拓展市场。2）、在原辅材料采购方面，合理管控信用周期及结算方式，与客户的信用周期、结算方式相匹配。3）、在生产运营方面，合理平衡产品、原材料库存，降低在制品库存，减少资金占用。4）、在资金运营方面，合理使用银行信用政策，利用票据池的蓄水池功能，减少承兑汇票的直接背书转让，增加承兑汇票的托收结算比例，提供资金的使用效率和效果。5）、在产能扩张方面，合理平衡产能投资，合理管控投资项目时间节点。通过上述改善措施，合理管控公司产能投资、销售、采购、生产、资金运营等各环节，合理匹配信用周期、结算方式，在未来业务增长与产能投资扩张合理匹配时，经营活动现金净流量将得到积极改善。感谢您的关注！谢谢</w:t>
            </w:r>
          </w:p>
          <w:p w14:paraId="730E7C33">
            <w:pPr>
              <w:pStyle w:val="17"/>
              <w:tabs>
                <w:tab w:val="left" w:pos="788"/>
              </w:tabs>
              <w:spacing w:line="360" w:lineRule="auto"/>
              <w:ind w:left="0" w:leftChars="0" w:firstLine="0" w:firstLineChars="0"/>
              <w:rPr>
                <w:rFonts w:hint="eastAsia" w:ascii="宋体" w:hAnsi="宋体" w:cs="宋体"/>
                <w:b w:val="0"/>
                <w:bCs w:val="0"/>
                <w:szCs w:val="21"/>
                <w:highlight w:val="none"/>
              </w:rPr>
            </w:pPr>
            <w:r>
              <w:rPr>
                <w:rFonts w:hint="eastAsia" w:ascii="宋体" w:hAnsi="宋体" w:cs="宋体"/>
                <w:b/>
                <w:bCs/>
                <w:szCs w:val="21"/>
                <w:highlight w:val="none"/>
                <w:lang w:val="en-US" w:eastAsia="zh-CN"/>
              </w:rPr>
              <w:t>3</w:t>
            </w:r>
            <w:r>
              <w:rPr>
                <w:rFonts w:hint="eastAsia" w:ascii="宋体" w:hAnsi="宋体" w:cs="宋体"/>
                <w:b/>
                <w:bCs/>
                <w:szCs w:val="21"/>
                <w:highlight w:val="none"/>
              </w:rPr>
              <w:t>、对于公司现金流持续为负的状况，公司做了哪些改善措施？预计到什么时候会改善到何种程度？</w:t>
            </w:r>
          </w:p>
          <w:p w14:paraId="35BEDBFD">
            <w:pPr>
              <w:pStyle w:val="17"/>
              <w:tabs>
                <w:tab w:val="left" w:pos="788"/>
              </w:tabs>
              <w:spacing w:line="360" w:lineRule="auto"/>
              <w:ind w:firstLine="420" w:firstLineChars="200"/>
              <w:rPr>
                <w:rFonts w:hint="eastAsia" w:ascii="宋体" w:hAnsi="宋体" w:cs="宋体"/>
                <w:szCs w:val="21"/>
                <w:lang w:val="en-US" w:eastAsia="zh-CN"/>
              </w:rPr>
            </w:pPr>
            <w:r>
              <w:rPr>
                <w:rFonts w:hint="eastAsia" w:ascii="宋体" w:hAnsi="宋体" w:cs="宋体"/>
                <w:b w:val="0"/>
                <w:bCs w:val="0"/>
                <w:szCs w:val="21"/>
                <w:highlight w:val="none"/>
              </w:rPr>
              <w:t>尊敬的投资者：您好！公司经营活动现金净流量为负主要系公司销售业务大幅增长由信用期带来收款时点与原辅材料采购支出时点不匹配以及结算方式的不同等原因导致。针对该情况，公司的改善措施如下：1）、在产品销售方面，针对老客户，统筹销售发货、开票、挂账的时间节点，加大货款催收力度，制定相应机制，合理管控应收账款结算周期，提升应收账款周转率；针对新客户，结合同行业的销售政策，尽可能缩短信用周期，提高电汇结算比例，以质量、技术、交期等综合供货能力拓展市场。2）、在原辅材料采购方面，合理管控信用周期及结算方式，与客户的信用周期、结算方式相匹配。3）、在生产运营方面，合理平衡产品、原材料库存，降低在制品库存，减少资金占用。4）、在资金运营方面，合理使用银行信用政策，利用票据池的蓄水池功能，减少承兑汇票的直接背书转让，增加承兑汇票的托收结算比例，提供资金的使用效率和效果。5）、在产能扩张方面，合理平衡产能投资，合理管控投资项目时间节点。通过上述改善措施，合理管控公司产能投资、销售、采购、生产、资金运营等各环节，合理匹配信用周期、结算方式，在未来业务增长与产能投资扩张合理匹配时，经营活动现金净流量将得到积极改善。感谢您的关注！谢谢</w:t>
            </w:r>
          </w:p>
        </w:tc>
      </w:tr>
      <w:tr w14:paraId="6E4A1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3757BE4B">
            <w:pPr>
              <w:jc w:val="center"/>
              <w:rPr>
                <w:rFonts w:hint="eastAsia" w:ascii="宋体" w:hAnsi="宋体" w:cs="宋体"/>
                <w:b/>
                <w:bCs/>
                <w:sz w:val="24"/>
              </w:rPr>
            </w:pPr>
            <w:r>
              <w:rPr>
                <w:rFonts w:hint="eastAsia" w:ascii="宋体" w:hAnsi="宋体" w:cs="宋体"/>
                <w:b/>
                <w:bCs/>
                <w:sz w:val="24"/>
              </w:rPr>
              <w:t>附件清单（如有）</w:t>
            </w:r>
          </w:p>
        </w:tc>
        <w:tc>
          <w:tcPr>
            <w:tcW w:w="7022" w:type="dxa"/>
            <w:tcBorders>
              <w:top w:val="single" w:color="auto" w:sz="4" w:space="0"/>
              <w:left w:val="single" w:color="auto" w:sz="4" w:space="0"/>
              <w:bottom w:val="single" w:color="auto" w:sz="4" w:space="0"/>
              <w:right w:val="single" w:color="auto" w:sz="12" w:space="0"/>
            </w:tcBorders>
            <w:vAlign w:val="center"/>
          </w:tcPr>
          <w:p w14:paraId="59290502">
            <w:pPr>
              <w:rPr>
                <w:rFonts w:hint="eastAsia" w:ascii="宋体" w:hAnsi="宋体" w:cs="宋体"/>
                <w:sz w:val="24"/>
              </w:rPr>
            </w:pPr>
            <w:r>
              <w:rPr>
                <w:rFonts w:hint="eastAsia" w:ascii="宋体" w:hAnsi="宋体" w:cs="宋体"/>
                <w:sz w:val="24"/>
              </w:rPr>
              <w:t>无</w:t>
            </w:r>
          </w:p>
        </w:tc>
      </w:tr>
    </w:tbl>
    <w:p w14:paraId="06569A5F">
      <w:pPr>
        <w:widowControl/>
        <w:jc w:val="left"/>
        <w:rPr>
          <w:rFonts w:hint="eastAsia" w:ascii="宋体" w:hAnsi="宋体" w:cs="宋体"/>
        </w:rPr>
      </w:pPr>
    </w:p>
    <w:sectPr>
      <w:headerReference r:id="rId3" w:type="default"/>
      <w:pgSz w:w="12240" w:h="15840"/>
      <w:pgMar w:top="1100" w:right="1633" w:bottom="1043" w:left="1633"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99F1">
    <w:pPr>
      <w:pStyle w:val="5"/>
      <w:rPr>
        <w:rFonts w:hint="eastAsia" w:ascii="楷体" w:hAnsi="楷体" w:eastAsia="楷体"/>
      </w:rPr>
    </w:pPr>
    <w:r>
      <w:rPr>
        <w:rFonts w:hint="eastAsia" w:ascii="楷体" w:hAnsi="楷体" w:eastAsia="楷体"/>
      </w:rPr>
      <w:t xml:space="preserve">山东金帝精密机械科技股份有限公司 </w:t>
    </w:r>
    <w:r>
      <w:rPr>
        <w:rFonts w:ascii="楷体" w:hAnsi="楷体" w:eastAsia="楷体"/>
      </w:rPr>
      <w:t xml:space="preserve">                                          </w:t>
    </w:r>
    <w:r>
      <w:rPr>
        <w:rFonts w:hint="eastAsia" w:ascii="楷体" w:hAnsi="楷体" w:eastAsia="楷体"/>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GQxNmMzYTcwYjk0ZmU1Y2E2MWRhMzUyNWU5ZWQifQ=="/>
  </w:docVars>
  <w:rsids>
    <w:rsidRoot w:val="00172A27"/>
    <w:rsid w:val="00000D18"/>
    <w:rsid w:val="000076A8"/>
    <w:rsid w:val="00013B2C"/>
    <w:rsid w:val="000251BC"/>
    <w:rsid w:val="00031EDC"/>
    <w:rsid w:val="00032FBF"/>
    <w:rsid w:val="0004190F"/>
    <w:rsid w:val="0006665D"/>
    <w:rsid w:val="000752AD"/>
    <w:rsid w:val="000B7145"/>
    <w:rsid w:val="000C0917"/>
    <w:rsid w:val="000C646D"/>
    <w:rsid w:val="000D1EEA"/>
    <w:rsid w:val="000E0A29"/>
    <w:rsid w:val="000E4A02"/>
    <w:rsid w:val="000E4CDF"/>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1F217D"/>
    <w:rsid w:val="002051B0"/>
    <w:rsid w:val="0021568D"/>
    <w:rsid w:val="002421F3"/>
    <w:rsid w:val="0025795E"/>
    <w:rsid w:val="002A590A"/>
    <w:rsid w:val="002A5DDA"/>
    <w:rsid w:val="002B1EA1"/>
    <w:rsid w:val="002B2792"/>
    <w:rsid w:val="002B5738"/>
    <w:rsid w:val="002C7C5F"/>
    <w:rsid w:val="003046C0"/>
    <w:rsid w:val="003146EB"/>
    <w:rsid w:val="003168B2"/>
    <w:rsid w:val="00325AE8"/>
    <w:rsid w:val="00342805"/>
    <w:rsid w:val="00356C12"/>
    <w:rsid w:val="0036096D"/>
    <w:rsid w:val="003712F0"/>
    <w:rsid w:val="00372B7B"/>
    <w:rsid w:val="00382BB7"/>
    <w:rsid w:val="00385F42"/>
    <w:rsid w:val="00394720"/>
    <w:rsid w:val="003A22AA"/>
    <w:rsid w:val="003C56D1"/>
    <w:rsid w:val="003D2184"/>
    <w:rsid w:val="003E6473"/>
    <w:rsid w:val="003F6DC0"/>
    <w:rsid w:val="00402082"/>
    <w:rsid w:val="00415566"/>
    <w:rsid w:val="0042296F"/>
    <w:rsid w:val="00426B09"/>
    <w:rsid w:val="004413F5"/>
    <w:rsid w:val="00453D13"/>
    <w:rsid w:val="00456D35"/>
    <w:rsid w:val="00461E20"/>
    <w:rsid w:val="004646BB"/>
    <w:rsid w:val="00464AC6"/>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515C2"/>
    <w:rsid w:val="00556BB3"/>
    <w:rsid w:val="0056159D"/>
    <w:rsid w:val="00563FA2"/>
    <w:rsid w:val="005703A5"/>
    <w:rsid w:val="005761E2"/>
    <w:rsid w:val="005858D9"/>
    <w:rsid w:val="0059023D"/>
    <w:rsid w:val="00593A35"/>
    <w:rsid w:val="005B02EB"/>
    <w:rsid w:val="005D4B0E"/>
    <w:rsid w:val="005F5AB1"/>
    <w:rsid w:val="0060293E"/>
    <w:rsid w:val="00605E6F"/>
    <w:rsid w:val="00613EDC"/>
    <w:rsid w:val="0062262A"/>
    <w:rsid w:val="006264DF"/>
    <w:rsid w:val="00627ADB"/>
    <w:rsid w:val="006377E9"/>
    <w:rsid w:val="00646058"/>
    <w:rsid w:val="00661F6B"/>
    <w:rsid w:val="00664FF6"/>
    <w:rsid w:val="006655B9"/>
    <w:rsid w:val="006672F6"/>
    <w:rsid w:val="006B22F5"/>
    <w:rsid w:val="006C7C57"/>
    <w:rsid w:val="006D2E8D"/>
    <w:rsid w:val="006D389E"/>
    <w:rsid w:val="00711238"/>
    <w:rsid w:val="0071206F"/>
    <w:rsid w:val="00712771"/>
    <w:rsid w:val="00716A70"/>
    <w:rsid w:val="00720F84"/>
    <w:rsid w:val="0073320D"/>
    <w:rsid w:val="00736A80"/>
    <w:rsid w:val="00742D08"/>
    <w:rsid w:val="007460EB"/>
    <w:rsid w:val="00746C2A"/>
    <w:rsid w:val="007713DA"/>
    <w:rsid w:val="00792EEF"/>
    <w:rsid w:val="007A4530"/>
    <w:rsid w:val="007A6F30"/>
    <w:rsid w:val="007A7D7C"/>
    <w:rsid w:val="007B371D"/>
    <w:rsid w:val="007B4CF9"/>
    <w:rsid w:val="007D738A"/>
    <w:rsid w:val="007F2858"/>
    <w:rsid w:val="007F717B"/>
    <w:rsid w:val="007F74C6"/>
    <w:rsid w:val="007F7552"/>
    <w:rsid w:val="00800D77"/>
    <w:rsid w:val="008046CB"/>
    <w:rsid w:val="00804B8F"/>
    <w:rsid w:val="00804DE1"/>
    <w:rsid w:val="008057B4"/>
    <w:rsid w:val="008405F3"/>
    <w:rsid w:val="0084397E"/>
    <w:rsid w:val="008525B9"/>
    <w:rsid w:val="00854B7A"/>
    <w:rsid w:val="00866709"/>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726C"/>
    <w:rsid w:val="0098145D"/>
    <w:rsid w:val="009830FD"/>
    <w:rsid w:val="00986A7C"/>
    <w:rsid w:val="009918C4"/>
    <w:rsid w:val="009A084D"/>
    <w:rsid w:val="009B005C"/>
    <w:rsid w:val="009B0125"/>
    <w:rsid w:val="009B58AF"/>
    <w:rsid w:val="009C379C"/>
    <w:rsid w:val="009D40D8"/>
    <w:rsid w:val="009D718A"/>
    <w:rsid w:val="009E1B35"/>
    <w:rsid w:val="009E74AD"/>
    <w:rsid w:val="009F29D5"/>
    <w:rsid w:val="009F3F06"/>
    <w:rsid w:val="009F539F"/>
    <w:rsid w:val="00A0202F"/>
    <w:rsid w:val="00A05634"/>
    <w:rsid w:val="00A127DE"/>
    <w:rsid w:val="00A24A6E"/>
    <w:rsid w:val="00A55870"/>
    <w:rsid w:val="00A62859"/>
    <w:rsid w:val="00A6428F"/>
    <w:rsid w:val="00A73B46"/>
    <w:rsid w:val="00A82D19"/>
    <w:rsid w:val="00A91197"/>
    <w:rsid w:val="00A93B61"/>
    <w:rsid w:val="00A950CC"/>
    <w:rsid w:val="00A96029"/>
    <w:rsid w:val="00AA1054"/>
    <w:rsid w:val="00AA36D7"/>
    <w:rsid w:val="00AB3F05"/>
    <w:rsid w:val="00AC1815"/>
    <w:rsid w:val="00AC36A7"/>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64EA"/>
    <w:rsid w:val="00C3372B"/>
    <w:rsid w:val="00C358B5"/>
    <w:rsid w:val="00C42CBD"/>
    <w:rsid w:val="00C4451C"/>
    <w:rsid w:val="00C47C64"/>
    <w:rsid w:val="00C51B18"/>
    <w:rsid w:val="00C5461F"/>
    <w:rsid w:val="00C61A3F"/>
    <w:rsid w:val="00C63FD3"/>
    <w:rsid w:val="00C70626"/>
    <w:rsid w:val="00C95434"/>
    <w:rsid w:val="00CA27D4"/>
    <w:rsid w:val="00CA2A45"/>
    <w:rsid w:val="00CA6F63"/>
    <w:rsid w:val="00CC62F4"/>
    <w:rsid w:val="00CC75B4"/>
    <w:rsid w:val="00CE3455"/>
    <w:rsid w:val="00CF0E73"/>
    <w:rsid w:val="00CF47E1"/>
    <w:rsid w:val="00CF6E94"/>
    <w:rsid w:val="00D03EE5"/>
    <w:rsid w:val="00D0634E"/>
    <w:rsid w:val="00D1386F"/>
    <w:rsid w:val="00D156EC"/>
    <w:rsid w:val="00D320C3"/>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B04BE"/>
    <w:rsid w:val="00FE1942"/>
    <w:rsid w:val="00FE2E5A"/>
    <w:rsid w:val="00FF5BE3"/>
    <w:rsid w:val="021F2F1C"/>
    <w:rsid w:val="02350F57"/>
    <w:rsid w:val="028B5457"/>
    <w:rsid w:val="04484531"/>
    <w:rsid w:val="05FE4D9E"/>
    <w:rsid w:val="062A4F87"/>
    <w:rsid w:val="065D7953"/>
    <w:rsid w:val="06624721"/>
    <w:rsid w:val="06B50CF4"/>
    <w:rsid w:val="06FA704F"/>
    <w:rsid w:val="07AD40C1"/>
    <w:rsid w:val="07E7798A"/>
    <w:rsid w:val="082C7F0C"/>
    <w:rsid w:val="088755BB"/>
    <w:rsid w:val="08EE04EE"/>
    <w:rsid w:val="093E76C7"/>
    <w:rsid w:val="09574760"/>
    <w:rsid w:val="09714747"/>
    <w:rsid w:val="09D019BF"/>
    <w:rsid w:val="0A1026E6"/>
    <w:rsid w:val="0A63050D"/>
    <w:rsid w:val="0AEE023D"/>
    <w:rsid w:val="0BBA3B06"/>
    <w:rsid w:val="0BD71E82"/>
    <w:rsid w:val="0C8A2C23"/>
    <w:rsid w:val="0DF227A4"/>
    <w:rsid w:val="0E433671"/>
    <w:rsid w:val="0E734FCF"/>
    <w:rsid w:val="0E744C7A"/>
    <w:rsid w:val="0E76252A"/>
    <w:rsid w:val="0E7917D2"/>
    <w:rsid w:val="0E8D1CD1"/>
    <w:rsid w:val="0EAB2B6B"/>
    <w:rsid w:val="0ECF2B6F"/>
    <w:rsid w:val="0F6C1DB4"/>
    <w:rsid w:val="0F6F5A6E"/>
    <w:rsid w:val="0FB35FED"/>
    <w:rsid w:val="104135F9"/>
    <w:rsid w:val="1136523C"/>
    <w:rsid w:val="11DB182B"/>
    <w:rsid w:val="12541D09"/>
    <w:rsid w:val="12B83A1C"/>
    <w:rsid w:val="13084BF5"/>
    <w:rsid w:val="134A4EBA"/>
    <w:rsid w:val="13804818"/>
    <w:rsid w:val="15700933"/>
    <w:rsid w:val="15872EC9"/>
    <w:rsid w:val="163D4862"/>
    <w:rsid w:val="16AB4A88"/>
    <w:rsid w:val="17825B79"/>
    <w:rsid w:val="17CF06B3"/>
    <w:rsid w:val="18A62EAB"/>
    <w:rsid w:val="1AB248CF"/>
    <w:rsid w:val="1AF57E02"/>
    <w:rsid w:val="1B961A2C"/>
    <w:rsid w:val="1C281B11"/>
    <w:rsid w:val="1C393FCE"/>
    <w:rsid w:val="1C4A1A87"/>
    <w:rsid w:val="1D5F5185"/>
    <w:rsid w:val="1D646B79"/>
    <w:rsid w:val="1D94745E"/>
    <w:rsid w:val="1E2F53D8"/>
    <w:rsid w:val="1E543091"/>
    <w:rsid w:val="1F114ADE"/>
    <w:rsid w:val="1F155ECE"/>
    <w:rsid w:val="1F3031B6"/>
    <w:rsid w:val="1FF673CA"/>
    <w:rsid w:val="20FC3C98"/>
    <w:rsid w:val="22827E15"/>
    <w:rsid w:val="22AF4D3A"/>
    <w:rsid w:val="2370112B"/>
    <w:rsid w:val="23A83C63"/>
    <w:rsid w:val="23DB3F63"/>
    <w:rsid w:val="24465EFD"/>
    <w:rsid w:val="24DE5462"/>
    <w:rsid w:val="25333A00"/>
    <w:rsid w:val="2562533C"/>
    <w:rsid w:val="269229A8"/>
    <w:rsid w:val="26DA5C3E"/>
    <w:rsid w:val="2745371A"/>
    <w:rsid w:val="27CE7A10"/>
    <w:rsid w:val="27F600B2"/>
    <w:rsid w:val="28EA2F04"/>
    <w:rsid w:val="29F71032"/>
    <w:rsid w:val="2AEF5D34"/>
    <w:rsid w:val="2B1B32F7"/>
    <w:rsid w:val="2B3F3269"/>
    <w:rsid w:val="2C1A3224"/>
    <w:rsid w:val="2C9C2162"/>
    <w:rsid w:val="2CBA5C99"/>
    <w:rsid w:val="2D1759B5"/>
    <w:rsid w:val="2D4402E1"/>
    <w:rsid w:val="2D7E0830"/>
    <w:rsid w:val="2D9D235F"/>
    <w:rsid w:val="2E00644A"/>
    <w:rsid w:val="2E56402D"/>
    <w:rsid w:val="2E7712D2"/>
    <w:rsid w:val="2F8D1C03"/>
    <w:rsid w:val="30685D32"/>
    <w:rsid w:val="30DE13F4"/>
    <w:rsid w:val="323C47BB"/>
    <w:rsid w:val="3321133C"/>
    <w:rsid w:val="33615BDC"/>
    <w:rsid w:val="342A2472"/>
    <w:rsid w:val="34FC2660"/>
    <w:rsid w:val="360C6034"/>
    <w:rsid w:val="3680281D"/>
    <w:rsid w:val="36C2479A"/>
    <w:rsid w:val="36F079A3"/>
    <w:rsid w:val="372206EE"/>
    <w:rsid w:val="37586C7E"/>
    <w:rsid w:val="38174ABC"/>
    <w:rsid w:val="38EF7122"/>
    <w:rsid w:val="3A396F6B"/>
    <w:rsid w:val="3CDF3E63"/>
    <w:rsid w:val="3D235CB1"/>
    <w:rsid w:val="3D54230E"/>
    <w:rsid w:val="3DB039E8"/>
    <w:rsid w:val="3F3B5533"/>
    <w:rsid w:val="3F855194"/>
    <w:rsid w:val="3F9E5AF5"/>
    <w:rsid w:val="3FFB177B"/>
    <w:rsid w:val="406A5594"/>
    <w:rsid w:val="41A87A44"/>
    <w:rsid w:val="41B15F81"/>
    <w:rsid w:val="41BE41FA"/>
    <w:rsid w:val="42417305"/>
    <w:rsid w:val="42777F20"/>
    <w:rsid w:val="42A45AE6"/>
    <w:rsid w:val="42B51AA1"/>
    <w:rsid w:val="42CB6BCE"/>
    <w:rsid w:val="42DD053E"/>
    <w:rsid w:val="43386CFB"/>
    <w:rsid w:val="43892C26"/>
    <w:rsid w:val="43D81D74"/>
    <w:rsid w:val="44A26356"/>
    <w:rsid w:val="44A616A1"/>
    <w:rsid w:val="45A51959"/>
    <w:rsid w:val="462C02CC"/>
    <w:rsid w:val="47AA594C"/>
    <w:rsid w:val="47EA3E68"/>
    <w:rsid w:val="485E5304"/>
    <w:rsid w:val="486E77C8"/>
    <w:rsid w:val="489772F0"/>
    <w:rsid w:val="48981C49"/>
    <w:rsid w:val="493E26B7"/>
    <w:rsid w:val="49D42A65"/>
    <w:rsid w:val="4A4F27DB"/>
    <w:rsid w:val="4AFA62A3"/>
    <w:rsid w:val="4B284047"/>
    <w:rsid w:val="4B48362D"/>
    <w:rsid w:val="4BA12BC2"/>
    <w:rsid w:val="4C0D2006"/>
    <w:rsid w:val="4C8074D6"/>
    <w:rsid w:val="4C9C48D0"/>
    <w:rsid w:val="4EEE652E"/>
    <w:rsid w:val="4EF63225"/>
    <w:rsid w:val="50646EE4"/>
    <w:rsid w:val="51295E33"/>
    <w:rsid w:val="53257A81"/>
    <w:rsid w:val="53AB6CD4"/>
    <w:rsid w:val="546D21DB"/>
    <w:rsid w:val="556331D3"/>
    <w:rsid w:val="56DB79FF"/>
    <w:rsid w:val="57392849"/>
    <w:rsid w:val="580A7B81"/>
    <w:rsid w:val="593F3A1A"/>
    <w:rsid w:val="59871AC3"/>
    <w:rsid w:val="59D309F0"/>
    <w:rsid w:val="5A1A017F"/>
    <w:rsid w:val="5A364A3A"/>
    <w:rsid w:val="5A916CD3"/>
    <w:rsid w:val="5AFC6067"/>
    <w:rsid w:val="5BA16936"/>
    <w:rsid w:val="5BE709C6"/>
    <w:rsid w:val="5BEA4B0C"/>
    <w:rsid w:val="5C5B500F"/>
    <w:rsid w:val="5D470628"/>
    <w:rsid w:val="5DB01CA7"/>
    <w:rsid w:val="5DF179D9"/>
    <w:rsid w:val="5E396414"/>
    <w:rsid w:val="5E6E0245"/>
    <w:rsid w:val="5ED15115"/>
    <w:rsid w:val="5ED82947"/>
    <w:rsid w:val="5F1A6ABC"/>
    <w:rsid w:val="5F3D09FC"/>
    <w:rsid w:val="5F571ABE"/>
    <w:rsid w:val="604E62A2"/>
    <w:rsid w:val="608D588B"/>
    <w:rsid w:val="612A4AE1"/>
    <w:rsid w:val="61AE4130"/>
    <w:rsid w:val="61FE5408"/>
    <w:rsid w:val="628D6DFD"/>
    <w:rsid w:val="62DE42A4"/>
    <w:rsid w:val="64421FF9"/>
    <w:rsid w:val="65444B12"/>
    <w:rsid w:val="660202AA"/>
    <w:rsid w:val="67BD3F72"/>
    <w:rsid w:val="67DC5256"/>
    <w:rsid w:val="67E5006B"/>
    <w:rsid w:val="68523C9C"/>
    <w:rsid w:val="69735746"/>
    <w:rsid w:val="69F60125"/>
    <w:rsid w:val="6A4946F9"/>
    <w:rsid w:val="6A694D9B"/>
    <w:rsid w:val="6ADF0C04"/>
    <w:rsid w:val="6B6E799E"/>
    <w:rsid w:val="6B8C6F93"/>
    <w:rsid w:val="6C266F3E"/>
    <w:rsid w:val="6C835B15"/>
    <w:rsid w:val="6D8601D1"/>
    <w:rsid w:val="6D88378A"/>
    <w:rsid w:val="6E254810"/>
    <w:rsid w:val="6E9248C1"/>
    <w:rsid w:val="6F2226D7"/>
    <w:rsid w:val="6F3A28AE"/>
    <w:rsid w:val="6F581E54"/>
    <w:rsid w:val="6FB62831"/>
    <w:rsid w:val="70CE7706"/>
    <w:rsid w:val="70DD4CE7"/>
    <w:rsid w:val="7143510B"/>
    <w:rsid w:val="71C034F3"/>
    <w:rsid w:val="72946600"/>
    <w:rsid w:val="72C53305"/>
    <w:rsid w:val="72C57C74"/>
    <w:rsid w:val="72CE7E91"/>
    <w:rsid w:val="72D40618"/>
    <w:rsid w:val="72DC5F66"/>
    <w:rsid w:val="730E401F"/>
    <w:rsid w:val="735C724B"/>
    <w:rsid w:val="73775FE8"/>
    <w:rsid w:val="7399049F"/>
    <w:rsid w:val="73B10D49"/>
    <w:rsid w:val="74F57957"/>
    <w:rsid w:val="74FC2707"/>
    <w:rsid w:val="75A60C51"/>
    <w:rsid w:val="75AD70BD"/>
    <w:rsid w:val="75EE10A6"/>
    <w:rsid w:val="763B3A90"/>
    <w:rsid w:val="77022A88"/>
    <w:rsid w:val="77594010"/>
    <w:rsid w:val="7762674F"/>
    <w:rsid w:val="783830F2"/>
    <w:rsid w:val="784C05C2"/>
    <w:rsid w:val="784F4498"/>
    <w:rsid w:val="79865022"/>
    <w:rsid w:val="7A787CE0"/>
    <w:rsid w:val="7AA634A2"/>
    <w:rsid w:val="7B3B1E3C"/>
    <w:rsid w:val="7B8B16C1"/>
    <w:rsid w:val="7BB557D8"/>
    <w:rsid w:val="7BC73422"/>
    <w:rsid w:val="7C52568F"/>
    <w:rsid w:val="7C605FFE"/>
    <w:rsid w:val="7CA53A11"/>
    <w:rsid w:val="7CCD740C"/>
    <w:rsid w:val="7D5C3DD6"/>
    <w:rsid w:val="7DAC5273"/>
    <w:rsid w:val="7E510333"/>
    <w:rsid w:val="7E5C4657"/>
    <w:rsid w:val="7E694F72"/>
    <w:rsid w:val="7EC30AC6"/>
    <w:rsid w:val="7F1954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alloon Text"/>
    <w:basedOn w:val="1"/>
    <w:link w:val="20"/>
    <w:semiHidden/>
    <w:unhideWhenUsed/>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0"/>
    <w:rPr>
      <w:b/>
      <w:bCs/>
    </w:rPr>
  </w:style>
  <w:style w:type="table" w:styleId="8">
    <w:name w:val="Table Grid"/>
    <w:basedOn w:val="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0"/>
    <w:rPr>
      <w:sz w:val="21"/>
      <w:szCs w:val="21"/>
    </w:rPr>
  </w:style>
  <w:style w:type="paragraph" w:customStyle="1" w:styleId="11">
    <w:name w:val="Table Paragraph"/>
    <w:basedOn w:val="1"/>
    <w:qFormat/>
    <w:uiPriority w:val="0"/>
    <w:pPr>
      <w:jc w:val="left"/>
    </w:pPr>
    <w:rPr>
      <w:kern w:val="0"/>
      <w:sz w:val="22"/>
      <w:szCs w:val="22"/>
    </w:rPr>
  </w:style>
  <w:style w:type="table" w:customStyle="1" w:styleId="12">
    <w:name w:val="Table Normal"/>
    <w:basedOn w:val="7"/>
    <w:semiHidden/>
    <w:qFormat/>
    <w:uiPriority w:val="0"/>
    <w:tblPr>
      <w:tblCellMar>
        <w:left w:w="0" w:type="dxa"/>
        <w:right w:w="0" w:type="dxa"/>
      </w:tblCellMar>
    </w:tblPr>
  </w:style>
  <w:style w:type="character" w:customStyle="1" w:styleId="13">
    <w:name w:val="页眉 字符"/>
    <w:link w:val="5"/>
    <w:qFormat/>
    <w:uiPriority w:val="0"/>
    <w:rPr>
      <w:rFonts w:cs="Times New Roman"/>
      <w:kern w:val="2"/>
      <w:sz w:val="18"/>
      <w:szCs w:val="18"/>
    </w:rPr>
  </w:style>
  <w:style w:type="character" w:customStyle="1" w:styleId="14">
    <w:name w:val="页脚 字符"/>
    <w:link w:val="4"/>
    <w:qFormat/>
    <w:uiPriority w:val="0"/>
    <w:rPr>
      <w:rFonts w:cs="Times New Roman"/>
      <w:kern w:val="2"/>
      <w:sz w:val="18"/>
      <w:szCs w:val="18"/>
    </w:rPr>
  </w:style>
  <w:style w:type="paragraph" w:customStyle="1" w:styleId="15">
    <w:name w:val="列表段落1"/>
    <w:basedOn w:val="1"/>
    <w:qFormat/>
    <w:uiPriority w:val="99"/>
    <w:pPr>
      <w:ind w:firstLine="420" w:firstLineChars="200"/>
    </w:pPr>
  </w:style>
  <w:style w:type="character" w:customStyle="1" w:styleId="16">
    <w:name w:val="oli-avatar-text"/>
    <w:basedOn w:val="9"/>
    <w:qFormat/>
    <w:uiPriority w:val="0"/>
  </w:style>
  <w:style w:type="paragraph" w:styleId="17">
    <w:name w:val="List Paragraph"/>
    <w:basedOn w:val="1"/>
    <w:qFormat/>
    <w:uiPriority w:val="99"/>
    <w:pPr>
      <w:ind w:firstLine="420" w:firstLineChars="200"/>
    </w:pPr>
  </w:style>
  <w:style w:type="character" w:customStyle="1" w:styleId="18">
    <w:name w:val="批注文字 字符"/>
    <w:basedOn w:val="9"/>
    <w:link w:val="2"/>
    <w:semiHidden/>
    <w:qFormat/>
    <w:uiPriority w:val="0"/>
    <w:rPr>
      <w:rFonts w:cs="Times New Roman"/>
      <w:kern w:val="2"/>
      <w:sz w:val="21"/>
      <w:szCs w:val="24"/>
    </w:rPr>
  </w:style>
  <w:style w:type="character" w:customStyle="1" w:styleId="19">
    <w:name w:val="批注主题 字符"/>
    <w:basedOn w:val="18"/>
    <w:link w:val="6"/>
    <w:semiHidden/>
    <w:qFormat/>
    <w:uiPriority w:val="0"/>
    <w:rPr>
      <w:rFonts w:cs="Times New Roman"/>
      <w:b/>
      <w:bCs/>
      <w:kern w:val="2"/>
      <w:sz w:val="21"/>
      <w:szCs w:val="24"/>
    </w:rPr>
  </w:style>
  <w:style w:type="character" w:customStyle="1" w:styleId="20">
    <w:name w:val="批注框文本 字符"/>
    <w:basedOn w:val="9"/>
    <w:link w:val="3"/>
    <w:semiHidden/>
    <w:qFormat/>
    <w:uiPriority w:val="0"/>
    <w:rPr>
      <w:rFonts w:cs="Times New Roman"/>
      <w:kern w:val="2"/>
      <w:sz w:val="18"/>
      <w:szCs w:val="18"/>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 w:type="character" w:customStyle="1" w:styleId="23">
    <w:name w:val="font11"/>
    <w:basedOn w:val="9"/>
    <w:qFormat/>
    <w:uiPriority w:val="0"/>
    <w:rPr>
      <w:rFonts w:hint="eastAsia" w:ascii="宋体" w:hAnsi="宋体" w:eastAsia="宋体" w:cs="宋体"/>
      <w:color w:val="000000"/>
      <w:sz w:val="21"/>
      <w:szCs w:val="21"/>
      <w:u w:val="none"/>
    </w:rPr>
  </w:style>
  <w:style w:type="character" w:customStyle="1" w:styleId="24">
    <w:name w:val="font21"/>
    <w:basedOn w:val="9"/>
    <w:qFormat/>
    <w:uiPriority w:val="0"/>
    <w:rPr>
      <w:rFonts w:hint="default" w:ascii="Times New Roman" w:hAnsi="Times New Roman" w:cs="Times New Roman"/>
      <w:color w:val="000000"/>
      <w:sz w:val="21"/>
      <w:szCs w:val="21"/>
      <w:u w:val="none"/>
    </w:rPr>
  </w:style>
  <w:style w:type="paragraph" w:customStyle="1" w:styleId="25">
    <w:name w:val="修订2"/>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4</Pages>
  <Words>3048</Words>
  <Characters>3124</Characters>
  <Lines>16</Lines>
  <Paragraphs>4</Paragraphs>
  <TotalTime>211</TotalTime>
  <ScaleCrop>false</ScaleCrop>
  <LinksUpToDate>false</LinksUpToDate>
  <CharactersWithSpaces>3201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2022-11-11T07:57:00Z</dcterms:created>
  <dc:creator>admin</dc:creator>
  <cp:lastModifiedBy>姜怡</cp:lastModifiedBy>
  <cp:lastPrinted>2025-02-14T06:02:00Z</cp:lastPrinted>
  <dcterms:modified xsi:type="dcterms:W3CDTF">2026-05-29T06:48:16Z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8CDCF04A83DF44E89019682932690EDB_12</vt:lpwstr>
  </property>
  <property fmtid="{D5CDD505-2E9C-101B-9397-08002B2CF9AE}" pid="4" name="KSOTemplateDocerSaveRecord">
    <vt:lpwstr>eyJoZGlkIjoiNDdiZGQxNmMzYTcwYjk0ZmU1Y2E2MWRhMzUyNWU5ZWQiLCJ1c2VySWQiOiIzODQ4ODI1MDMifQ==</vt:lpwstr>
  </property>
</Properties>
</file>