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2DDF1">
      <w:pPr>
        <w:jc w:val="left"/>
        <w:rPr>
          <w:rFonts w:hint="eastAsia" w:ascii="宋体" w:hAnsi="宋体"/>
          <w:sz w:val="24"/>
          <w:szCs w:val="24"/>
        </w:rPr>
      </w:pPr>
      <w:r>
        <w:rPr>
          <w:rFonts w:hint="eastAsia" w:ascii="宋体" w:hAnsi="宋体"/>
          <w:sz w:val="24"/>
          <w:szCs w:val="24"/>
        </w:rPr>
        <w:t>证券代码：</w:t>
      </w:r>
      <w:r>
        <w:rPr>
          <w:rFonts w:ascii="宋体" w:hAnsi="宋体"/>
          <w:sz w:val="24"/>
          <w:szCs w:val="24"/>
        </w:rPr>
        <w:t>603271</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ascii="宋体" w:hAnsi="宋体"/>
          <w:sz w:val="24"/>
          <w:szCs w:val="24"/>
        </w:rPr>
        <w:t>永杰新材</w:t>
      </w:r>
    </w:p>
    <w:p w14:paraId="5E5426FC">
      <w:pPr>
        <w:jc w:val="center"/>
        <w:rPr>
          <w:rFonts w:hint="eastAsia" w:ascii="黑体" w:hAnsi="黑体" w:eastAsia="黑体"/>
          <w:sz w:val="36"/>
          <w:szCs w:val="36"/>
        </w:rPr>
      </w:pPr>
      <w:r>
        <w:rPr>
          <w:rFonts w:hint="eastAsia" w:ascii="黑体" w:hAnsi="黑体" w:eastAsia="黑体"/>
          <w:sz w:val="36"/>
          <w:szCs w:val="36"/>
        </w:rPr>
        <w:t>永杰新材料股份有限公司</w:t>
      </w:r>
    </w:p>
    <w:p w14:paraId="27DE354B">
      <w:pPr>
        <w:jc w:val="center"/>
        <w:rPr>
          <w:rFonts w:hint="eastAsia" w:ascii="黑体" w:hAnsi="黑体" w:eastAsia="黑体"/>
          <w:sz w:val="36"/>
          <w:szCs w:val="36"/>
        </w:rPr>
      </w:pPr>
      <w:r>
        <w:rPr>
          <w:rFonts w:hint="eastAsia" w:ascii="黑体" w:hAnsi="黑体" w:eastAsia="黑体"/>
          <w:sz w:val="36"/>
          <w:szCs w:val="36"/>
        </w:rPr>
        <w:t>投资者关系活动记录表</w:t>
      </w:r>
      <w:bookmarkStart w:id="0" w:name="_GoBack"/>
      <w:bookmarkEnd w:id="0"/>
    </w:p>
    <w:p w14:paraId="2B9902F5">
      <w:pPr>
        <w:jc w:val="center"/>
        <w:rPr>
          <w:rFonts w:hint="eastAsia" w:ascii="黑体" w:hAnsi="黑体" w:eastAsia="黑体"/>
          <w:sz w:val="24"/>
          <w:szCs w:val="24"/>
        </w:rPr>
      </w:pPr>
    </w:p>
    <w:p w14:paraId="0247506E">
      <w:pPr>
        <w:ind w:right="0"/>
        <w:jc w:val="right"/>
        <w:rPr>
          <w:rFonts w:hint="eastAsia" w:ascii="黑体" w:hAnsi="黑体" w:eastAsia="黑体"/>
          <w:sz w:val="24"/>
          <w:szCs w:val="24"/>
        </w:rPr>
      </w:pPr>
      <w:r>
        <w:rPr>
          <w:rFonts w:hint="eastAsia" w:ascii="黑体" w:hAnsi="黑体" w:eastAsia="黑体"/>
          <w:sz w:val="24"/>
          <w:szCs w:val="24"/>
        </w:rPr>
        <w:t>编号：（2026-003）</w:t>
      </w:r>
    </w:p>
    <w:tbl>
      <w:tblPr>
        <w:tblStyle w:val="7"/>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4524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04E536F9">
            <w:pPr>
              <w:rPr>
                <w:sz w:val="24"/>
                <w:szCs w:val="24"/>
              </w:rPr>
            </w:pPr>
            <w:r>
              <w:rPr>
                <w:rFonts w:hint="eastAsia"/>
                <w:sz w:val="24"/>
                <w:szCs w:val="24"/>
              </w:rPr>
              <w:t>投资者关系活动类别</w:t>
            </w:r>
          </w:p>
        </w:tc>
        <w:tc>
          <w:tcPr>
            <w:tcW w:w="7191" w:type="dxa"/>
            <w:vAlign w:val="center"/>
          </w:tcPr>
          <w:p w14:paraId="687AABF9">
            <w:pPr>
              <w:spacing w:line="360" w:lineRule="auto"/>
              <w:rPr>
                <w:sz w:val="24"/>
                <w:szCs w:val="24"/>
              </w:rPr>
            </w:pPr>
            <w:r>
              <w:rPr>
                <w:rFonts w:hint="eastAsia" w:ascii="宋体" w:hAnsi="宋体" w:cs="宋体"/>
                <w:sz w:val="24"/>
                <w:szCs w:val="24"/>
              </w:rPr>
              <w:t>业绩说明会</w:t>
            </w:r>
          </w:p>
        </w:tc>
      </w:tr>
      <w:tr w14:paraId="53EAA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2049AE2A">
            <w:pPr>
              <w:rPr>
                <w:sz w:val="24"/>
                <w:szCs w:val="24"/>
              </w:rPr>
            </w:pPr>
            <w:r>
              <w:rPr>
                <w:rFonts w:hint="eastAsia"/>
                <w:sz w:val="24"/>
                <w:szCs w:val="24"/>
              </w:rPr>
              <w:t>活动主题</w:t>
            </w:r>
          </w:p>
        </w:tc>
        <w:tc>
          <w:tcPr>
            <w:tcW w:w="7191" w:type="dxa"/>
            <w:vAlign w:val="center"/>
          </w:tcPr>
          <w:p w14:paraId="45AB33AF">
            <w:pPr>
              <w:rPr>
                <w:sz w:val="24"/>
                <w:szCs w:val="24"/>
              </w:rPr>
            </w:pPr>
            <w:r>
              <w:rPr>
                <w:rFonts w:hint="eastAsia" w:ascii="宋体" w:hAnsi="宋体" w:cs="宋体"/>
                <w:bCs/>
                <w:iCs/>
                <w:color w:val="000000"/>
                <w:sz w:val="24"/>
                <w:lang w:val="en-GB"/>
              </w:rPr>
              <w:t>永杰新材</w:t>
            </w:r>
            <w:r>
              <w:rPr>
                <w:rFonts w:hint="eastAsia" w:ascii="宋体" w:hAnsi="宋体" w:cs="宋体"/>
                <w:bCs/>
                <w:iCs/>
                <w:color w:val="000000"/>
                <w:sz w:val="24"/>
              </w:rPr>
              <w:t>2026</w:t>
            </w:r>
            <w:r>
              <w:rPr>
                <w:rFonts w:hint="eastAsia" w:ascii="宋体" w:hAnsi="宋体" w:cs="宋体"/>
                <w:bCs/>
                <w:iCs/>
                <w:color w:val="000000"/>
                <w:sz w:val="24"/>
                <w:lang w:val="en-GB"/>
              </w:rPr>
              <w:t>年</w:t>
            </w:r>
            <w:r>
              <w:rPr>
                <w:rFonts w:hint="eastAsia" w:ascii="宋体" w:hAnsi="宋体" w:cs="宋体"/>
                <w:bCs/>
                <w:iCs/>
                <w:color w:val="000000"/>
                <w:sz w:val="24"/>
              </w:rPr>
              <w:t>第一季度业绩说明会</w:t>
            </w:r>
          </w:p>
        </w:tc>
      </w:tr>
      <w:tr w14:paraId="1C06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vAlign w:val="center"/>
          </w:tcPr>
          <w:p w14:paraId="6B99F603">
            <w:pPr>
              <w:rPr>
                <w:sz w:val="24"/>
                <w:szCs w:val="24"/>
              </w:rPr>
            </w:pPr>
            <w:r>
              <w:rPr>
                <w:rFonts w:hint="eastAsia"/>
                <w:sz w:val="24"/>
                <w:szCs w:val="24"/>
              </w:rPr>
              <w:t>时间</w:t>
            </w:r>
          </w:p>
        </w:tc>
        <w:tc>
          <w:tcPr>
            <w:tcW w:w="7191" w:type="dxa"/>
            <w:vAlign w:val="center"/>
          </w:tcPr>
          <w:p w14:paraId="0C7FC070">
            <w:pPr>
              <w:rPr>
                <w:sz w:val="24"/>
                <w:szCs w:val="24"/>
              </w:rPr>
            </w:pPr>
            <w:r>
              <w:rPr>
                <w:rFonts w:hint="eastAsia" w:ascii="宋体" w:hAnsi="宋体" w:cs="宋体"/>
                <w:bCs/>
                <w:iCs/>
                <w:color w:val="000000"/>
                <w:sz w:val="24"/>
              </w:rPr>
              <w:t>2026-05-29  13:00-14:00</w:t>
            </w:r>
          </w:p>
        </w:tc>
      </w:tr>
      <w:tr w14:paraId="04BE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35CBEE1B">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tcPr>
          <w:p w14:paraId="6B7A4039">
            <w:pPr>
              <w:rPr>
                <w:rFonts w:hint="eastAsia"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12"/>
                <w:rFonts w:hint="eastAsia" w:ascii="宋体" w:hAnsi="宋体"/>
                <w:bCs/>
                <w:sz w:val="24"/>
              </w:rPr>
              <w:t>https://roadshow.sseinfo.com</w:t>
            </w:r>
            <w:r>
              <w:rPr>
                <w:rStyle w:val="12"/>
                <w:rFonts w:hint="eastAsia" w:ascii="宋体" w:hAnsi="宋体"/>
                <w:bCs/>
                <w:sz w:val="24"/>
              </w:rPr>
              <w:fldChar w:fldCharType="end"/>
            </w:r>
          </w:p>
          <w:p w14:paraId="4BFEB04F">
            <w:pPr>
              <w:rPr>
                <w:sz w:val="24"/>
                <w:szCs w:val="24"/>
              </w:rPr>
            </w:pPr>
            <w:r>
              <w:rPr>
                <w:rFonts w:hint="eastAsia" w:ascii="宋体" w:hAnsi="宋体"/>
                <w:bCs/>
                <w:sz w:val="24"/>
              </w:rPr>
              <w:t>网络文字互动</w:t>
            </w:r>
          </w:p>
        </w:tc>
      </w:tr>
      <w:tr w14:paraId="2791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21E20BA2">
            <w:pPr>
              <w:rPr>
                <w:sz w:val="24"/>
                <w:szCs w:val="24"/>
              </w:rPr>
            </w:pPr>
            <w:r>
              <w:rPr>
                <w:rFonts w:hint="eastAsia"/>
                <w:sz w:val="24"/>
                <w:szCs w:val="24"/>
              </w:rPr>
              <w:t>参会人员</w:t>
            </w:r>
          </w:p>
        </w:tc>
        <w:tc>
          <w:tcPr>
            <w:tcW w:w="7191" w:type="dxa"/>
            <w:vAlign w:val="center"/>
          </w:tcPr>
          <w:p w14:paraId="566BCB5C">
            <w:pPr>
              <w:spacing w:line="360" w:lineRule="auto"/>
              <w:rPr>
                <w:rFonts w:hint="eastAsia" w:ascii="宋体" w:hAnsi="宋体" w:cs="宋体"/>
                <w:sz w:val="24"/>
                <w:szCs w:val="24"/>
              </w:rPr>
            </w:pPr>
            <w:r>
              <w:rPr>
                <w:rFonts w:hint="eastAsia" w:ascii="宋体" w:hAnsi="宋体" w:cs="宋体"/>
                <w:sz w:val="24"/>
                <w:szCs w:val="24"/>
              </w:rPr>
              <w:t>董事长兼总经理：沈建国</w:t>
            </w:r>
          </w:p>
          <w:p w14:paraId="0E65DCD4">
            <w:pPr>
              <w:spacing w:line="360" w:lineRule="auto"/>
              <w:rPr>
                <w:rFonts w:hint="eastAsia" w:ascii="宋体" w:hAnsi="宋体" w:cs="宋体"/>
                <w:sz w:val="24"/>
                <w:szCs w:val="24"/>
              </w:rPr>
            </w:pPr>
            <w:r>
              <w:rPr>
                <w:rFonts w:hint="eastAsia" w:ascii="宋体" w:hAnsi="宋体" w:cs="宋体"/>
                <w:sz w:val="24"/>
                <w:szCs w:val="24"/>
              </w:rPr>
              <w:t>副总经理兼财务总监：陈思</w:t>
            </w:r>
          </w:p>
          <w:p w14:paraId="3B7B6F7C">
            <w:pPr>
              <w:spacing w:line="360" w:lineRule="auto"/>
              <w:rPr>
                <w:rFonts w:hint="eastAsia" w:ascii="宋体" w:hAnsi="宋体" w:cs="宋体"/>
                <w:sz w:val="24"/>
                <w:szCs w:val="24"/>
              </w:rPr>
            </w:pPr>
            <w:r>
              <w:rPr>
                <w:rFonts w:hint="eastAsia" w:ascii="宋体" w:hAnsi="宋体" w:cs="宋体"/>
                <w:sz w:val="24"/>
                <w:szCs w:val="24"/>
              </w:rPr>
              <w:t>副总经理兼董事会秘书：杨洪辉</w:t>
            </w:r>
          </w:p>
          <w:p w14:paraId="77E5022A">
            <w:pPr>
              <w:spacing w:line="360" w:lineRule="auto"/>
              <w:rPr>
                <w:sz w:val="24"/>
                <w:szCs w:val="24"/>
              </w:rPr>
            </w:pPr>
            <w:r>
              <w:rPr>
                <w:rFonts w:hint="eastAsia" w:ascii="宋体" w:hAnsi="宋体" w:cs="宋体"/>
                <w:sz w:val="24"/>
                <w:szCs w:val="24"/>
              </w:rPr>
              <w:t>独立董事：徐小华、张大亮、毛骁骁</w:t>
            </w:r>
          </w:p>
        </w:tc>
      </w:tr>
      <w:tr w14:paraId="63984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vAlign w:val="center"/>
          </w:tcPr>
          <w:p w14:paraId="02D022EE">
            <w:pPr>
              <w:rPr>
                <w:sz w:val="24"/>
                <w:szCs w:val="24"/>
              </w:rPr>
            </w:pPr>
            <w:r>
              <w:rPr>
                <w:rFonts w:hint="eastAsia"/>
                <w:sz w:val="24"/>
                <w:szCs w:val="24"/>
              </w:rPr>
              <w:t>投资者关系活动主要内容介绍</w:t>
            </w:r>
          </w:p>
        </w:tc>
        <w:tc>
          <w:tcPr>
            <w:tcW w:w="7191" w:type="dxa"/>
          </w:tcPr>
          <w:p w14:paraId="05D8B22C">
            <w:pPr>
              <w:spacing w:before="156" w:beforeLines="50" w:line="460" w:lineRule="exact"/>
              <w:jc w:val="center"/>
              <w:rPr>
                <w:rFonts w:hint="eastAsia" w:ascii="宋体" w:hAnsi="宋体"/>
                <w:b/>
                <w:sz w:val="24"/>
              </w:rPr>
            </w:pPr>
            <w:r>
              <w:rPr>
                <w:rFonts w:hint="eastAsia" w:ascii="宋体" w:hAnsi="宋体"/>
                <w:b/>
                <w:sz w:val="24"/>
              </w:rPr>
              <w:t>投资者关系活动主要内容</w:t>
            </w:r>
          </w:p>
          <w:p w14:paraId="6537EDD1">
            <w:pPr>
              <w:spacing w:before="156" w:beforeLines="50" w:line="360" w:lineRule="auto"/>
              <w:rPr>
                <w:rFonts w:hint="eastAsia" w:ascii="宋体" w:hAnsi="宋体"/>
                <w:b/>
                <w:sz w:val="24"/>
              </w:rPr>
            </w:pPr>
            <w:r>
              <w:rPr>
                <w:rFonts w:hint="eastAsia" w:ascii="宋体" w:hAnsi="宋体"/>
                <w:b/>
                <w:sz w:val="24"/>
              </w:rPr>
              <w:t>一、公司简介</w:t>
            </w:r>
          </w:p>
          <w:p w14:paraId="2DAB65BA">
            <w:pPr>
              <w:spacing w:before="156" w:beforeLines="50" w:line="360" w:lineRule="auto"/>
              <w:ind w:firstLine="480" w:firstLineChars="200"/>
              <w:rPr>
                <w:rFonts w:hint="eastAsia" w:ascii="宋体" w:hAnsi="宋体"/>
                <w:bCs/>
                <w:sz w:val="24"/>
                <w:szCs w:val="24"/>
              </w:rPr>
            </w:pPr>
            <w:r>
              <w:rPr>
                <w:rFonts w:hint="eastAsia" w:ascii="宋体" w:hAnsi="宋体"/>
                <w:bCs/>
                <w:sz w:val="24"/>
                <w:szCs w:val="24"/>
              </w:rPr>
              <w:t>永杰新材设立于2003年，专注于高性能、高精度铝合金板带箔产品的研发与制造，为客户提供全方位的铝合金材料解决方案。公司坐落于浙江杭州。公司被评为国家级“绿色工厂”、“中国铝板带材十强企业”、浙江省“专精特新”企业等称号，生产的“锂离子动力电池结构件用铝合金板带”产品被认定为国家制造业单项冠军产品，“锂离子动力电池用铝箔”等3项产品获得浙江制造品字标认证。于2025年3月11日在上海主板挂牌上市（股票代码603271）。</w:t>
            </w:r>
          </w:p>
          <w:p w14:paraId="236A4FF6">
            <w:pPr>
              <w:spacing w:before="156" w:beforeLines="50" w:line="360" w:lineRule="auto"/>
              <w:ind w:firstLine="480" w:firstLineChars="200"/>
              <w:rPr>
                <w:rFonts w:hint="eastAsia" w:ascii="宋体" w:hAnsi="宋体"/>
                <w:bCs/>
                <w:sz w:val="24"/>
                <w:szCs w:val="24"/>
              </w:rPr>
            </w:pPr>
            <w:r>
              <w:rPr>
                <w:rFonts w:hint="eastAsia" w:ascii="宋体" w:hAnsi="宋体"/>
                <w:bCs/>
                <w:sz w:val="24"/>
                <w:szCs w:val="24"/>
              </w:rPr>
              <w:t>公司坚持产学研用紧密结合，拥有国家级博士后科研工作站和省级企业研究院。公司在锂电池和车辆轻量化领域具有较深的研究，参与完成了十余项国家、行业或团体标准的起草与修订；荣获“中国有色金属工业科学技术进步奖（一等奖）”和“浙江省科学技术进步奖”各1项，坚持以创新驱动发展，以客户为中心，走高品质发展之路，致力于成为世界级新能源铝合金引领者。</w:t>
            </w:r>
          </w:p>
          <w:p w14:paraId="408A5D78">
            <w:pPr>
              <w:spacing w:before="156" w:beforeLines="50" w:line="360" w:lineRule="auto"/>
              <w:ind w:firstLine="480" w:firstLineChars="200"/>
              <w:rPr>
                <w:rFonts w:hint="eastAsia" w:ascii="宋体" w:hAnsi="宋体"/>
                <w:bCs/>
                <w:sz w:val="24"/>
                <w:szCs w:val="24"/>
              </w:rPr>
            </w:pPr>
            <w:r>
              <w:rPr>
                <w:rFonts w:hint="eastAsia" w:ascii="宋体" w:hAnsi="宋体"/>
                <w:bCs/>
                <w:sz w:val="24"/>
                <w:szCs w:val="24"/>
              </w:rPr>
              <w:t>2026年第一季度，公司实现营业收入24.08亿元，同比增长21.59%，实现归属于上市公司股东的净利润1.19亿元，同比增长57.58%。归属于上市公司股东的扣除非经常性损益的净利润1.35亿元，同比增长64.73%；基本每股收益为0.61元，同比增长19.61%。</w:t>
            </w:r>
          </w:p>
          <w:p w14:paraId="7461523C">
            <w:pPr>
              <w:spacing w:before="156" w:beforeLines="50" w:line="360" w:lineRule="auto"/>
              <w:rPr>
                <w:rFonts w:hint="eastAsia" w:ascii="宋体" w:hAnsi="宋体"/>
                <w:b/>
                <w:sz w:val="24"/>
              </w:rPr>
            </w:pPr>
            <w:r>
              <w:rPr>
                <w:rFonts w:hint="eastAsia" w:ascii="宋体" w:hAnsi="宋体"/>
                <w:b/>
                <w:sz w:val="24"/>
              </w:rPr>
              <w:t>二、互动交流情况</w:t>
            </w:r>
          </w:p>
          <w:p w14:paraId="4A0A90EF">
            <w:pPr>
              <w:spacing w:before="156" w:beforeLines="50" w:line="360" w:lineRule="auto"/>
              <w:rPr>
                <w:rFonts w:hint="eastAsia" w:ascii="宋体" w:hAnsi="宋体"/>
                <w:b/>
                <w:bCs/>
                <w:sz w:val="24"/>
                <w:szCs w:val="24"/>
              </w:rPr>
            </w:pPr>
            <w:r>
              <w:rPr>
                <w:rFonts w:hint="eastAsia" w:ascii="宋体" w:hAnsi="宋体"/>
                <w:b/>
                <w:sz w:val="24"/>
              </w:rPr>
              <w:t>Q1、问</w:t>
            </w:r>
            <w:r>
              <w:rPr>
                <w:rFonts w:hint="eastAsia" w:ascii="宋体" w:hAnsi="宋体"/>
                <w:b/>
                <w:bCs/>
                <w:sz w:val="24"/>
                <w:szCs w:val="24"/>
              </w:rPr>
              <w:t>:</w:t>
            </w:r>
            <w:r>
              <w:rPr>
                <w:rFonts w:ascii="siyuan" w:hAnsi="siyuan"/>
                <w:color w:val="00040D"/>
                <w:szCs w:val="21"/>
                <w:shd w:val="clear" w:color="auto" w:fill="FFFFFF"/>
              </w:rPr>
              <w:t xml:space="preserve"> </w:t>
            </w:r>
            <w:r>
              <w:rPr>
                <w:rFonts w:ascii="宋体" w:hAnsi="宋体"/>
                <w:b/>
                <w:bCs/>
                <w:sz w:val="24"/>
                <w:szCs w:val="24"/>
              </w:rPr>
              <w:t>面对较高的有息负债率，公司目前的融资成本是否有下降空间</w:t>
            </w:r>
            <w:r>
              <w:rPr>
                <w:rFonts w:hint="eastAsia" w:ascii="宋体" w:hAnsi="宋体"/>
                <w:b/>
                <w:bCs/>
                <w:sz w:val="24"/>
                <w:szCs w:val="24"/>
              </w:rPr>
              <w:t>？</w:t>
            </w:r>
          </w:p>
          <w:p w14:paraId="67276086">
            <w:pPr>
              <w:spacing w:before="156" w:beforeLines="50" w:line="360" w:lineRule="auto"/>
              <w:rPr>
                <w:rFonts w:hint="eastAsia" w:ascii="宋体" w:hAnsi="宋体"/>
                <w:bCs/>
                <w:sz w:val="24"/>
                <w:szCs w:val="24"/>
              </w:rPr>
            </w:pPr>
            <w:r>
              <w:rPr>
                <w:rFonts w:hint="eastAsia" w:ascii="宋体" w:hAnsi="宋体"/>
                <w:bCs/>
                <w:sz w:val="24"/>
                <w:szCs w:val="24"/>
              </w:rPr>
              <w:t>答:尊敬的投资者，您好！</w:t>
            </w:r>
            <w:r>
              <w:rPr>
                <w:rFonts w:ascii="宋体" w:hAnsi="宋体"/>
                <w:bCs/>
                <w:sz w:val="24"/>
                <w:szCs w:val="24"/>
              </w:rPr>
              <w:t>目前公司的有息负债率显著低于可比公司平均水平，整体财务结构较为稳健，也为我们维持较低的融资成本提供了良好基础。管理层会持续关注货币政策和资本市场变化，通过多元化融资渠道、优化债务期限结构等方式，进一步做好融资成本的精细化管控，努力保持合理的成本水平。感谢您的关注！</w:t>
            </w:r>
          </w:p>
          <w:p w14:paraId="2BF84424">
            <w:pPr>
              <w:spacing w:before="156" w:beforeLines="50" w:line="360" w:lineRule="auto"/>
              <w:rPr>
                <w:rFonts w:hint="eastAsia" w:ascii="宋体" w:hAnsi="宋体"/>
                <w:b/>
                <w:bCs/>
                <w:sz w:val="24"/>
                <w:szCs w:val="24"/>
              </w:rPr>
            </w:pPr>
            <w:r>
              <w:rPr>
                <w:rFonts w:hint="eastAsia" w:ascii="宋体" w:hAnsi="宋体"/>
                <w:b/>
                <w:bCs/>
                <w:sz w:val="24"/>
                <w:szCs w:val="24"/>
              </w:rPr>
              <w:t>Q2、</w:t>
            </w:r>
            <w:r>
              <w:rPr>
                <w:rFonts w:hint="eastAsia" w:ascii="宋体" w:hAnsi="宋体"/>
                <w:b/>
                <w:sz w:val="24"/>
              </w:rPr>
              <w:t>问：</w:t>
            </w:r>
            <w:r>
              <w:rPr>
                <w:rFonts w:ascii="宋体" w:hAnsi="宋体"/>
                <w:b/>
                <w:bCs/>
                <w:sz w:val="24"/>
                <w:szCs w:val="24"/>
              </w:rPr>
              <w:t>在核心厂房租赁期仅剩不到半年的紧迫情况下，公司除了磋商续租外，是否有具体的异地搬迁或备用产能落地的时间表？</w:t>
            </w:r>
          </w:p>
          <w:p w14:paraId="261DC69E">
            <w:pPr>
              <w:spacing w:before="156" w:beforeLines="50" w:line="360" w:lineRule="auto"/>
              <w:rPr>
                <w:rFonts w:hint="eastAsia" w:ascii="宋体" w:hAnsi="宋体" w:eastAsia="宋体"/>
                <w:sz w:val="24"/>
                <w:szCs w:val="24"/>
                <w:lang w:eastAsia="zh-CN"/>
              </w:rPr>
            </w:pPr>
            <w:r>
              <w:rPr>
                <w:rFonts w:hint="eastAsia" w:ascii="宋体" w:hAnsi="宋体"/>
                <w:sz w:val="24"/>
                <w:szCs w:val="24"/>
              </w:rPr>
              <w:t>答:</w:t>
            </w:r>
            <w:r>
              <w:rPr>
                <w:rFonts w:hint="eastAsia"/>
              </w:rPr>
              <w:t xml:space="preserve"> </w:t>
            </w:r>
            <w:r>
              <w:rPr>
                <w:rFonts w:ascii="宋体" w:hAnsi="宋体"/>
                <w:sz w:val="24"/>
                <w:szCs w:val="24"/>
              </w:rPr>
              <w:t>尊敬的投资者，您好！奥科宁克秦皇岛租赁的相关资产自2005年起即由其实际占有使用，双方长期保持稳定的租赁合作关系，历次租期届满后均顺利完成续签。根据现行租赁合同约定，奥科宁克秦皇岛作为承租人对租赁资产享有优先续租权、优先购买权。双方正在积极致力推进租赁资产转让准备事宜，基于目前进展判断，按照该方案持续推进可能性较大，异地搬迁的可能性低。</w:t>
            </w:r>
          </w:p>
          <w:p w14:paraId="0CB1B18A">
            <w:pPr>
              <w:spacing w:before="156" w:beforeLines="50" w:line="360" w:lineRule="auto"/>
              <w:rPr>
                <w:rFonts w:hint="eastAsia" w:ascii="宋体" w:hAnsi="宋体"/>
                <w:b/>
                <w:bCs/>
                <w:sz w:val="24"/>
                <w:szCs w:val="24"/>
              </w:rPr>
            </w:pPr>
            <w:r>
              <w:rPr>
                <w:rFonts w:hint="eastAsia" w:ascii="宋体" w:hAnsi="宋体"/>
                <w:b/>
                <w:bCs/>
                <w:sz w:val="24"/>
                <w:szCs w:val="24"/>
              </w:rPr>
              <w:t>Q3、问：</w:t>
            </w:r>
            <w:r>
              <w:rPr>
                <w:rFonts w:ascii="宋体" w:hAnsi="宋体"/>
                <w:b/>
                <w:bCs/>
                <w:sz w:val="24"/>
                <w:szCs w:val="24"/>
              </w:rPr>
              <w:t>公司在固态电池壳体或关键结构件材料方面的研发目前处于什么阶段？</w:t>
            </w:r>
          </w:p>
          <w:p w14:paraId="41DD587B">
            <w:pPr>
              <w:spacing w:before="156" w:beforeLines="50" w:line="360" w:lineRule="auto"/>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生产的软包电池铝塑膜用铝箔、正极集流体用铝箔等产品可应用于固态电池，具体使用场景需根据客户产品范围确定，公司与知名高校、研究院所、客户紧密协同研发，不断提升产品综合性能，已在高成形性能、高耐腐蚀铝箔上进行了相应的技术储备。感谢您的关注！</w:t>
            </w:r>
          </w:p>
        </w:tc>
      </w:tr>
    </w:tbl>
    <w:p w14:paraId="653D6BD6"/>
    <w:p w14:paraId="005EEFAD"/>
    <w:p w14:paraId="0503B201"/>
    <w:sectPr>
      <w:headerReference r:id="rId3" w:type="default"/>
      <w:pgSz w:w="11906" w:h="16838"/>
      <w:pgMar w:top="1270" w:right="1633" w:bottom="127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8CB3">
    <w:pPr>
      <w:pStyle w:val="5"/>
      <w:tabs>
        <w:tab w:val="clear" w:pos="4153"/>
      </w:tabs>
      <w:jc w:val="right"/>
    </w:pPr>
    <w:r>
      <w:rPr>
        <w:rFonts w:hint="eastAsia"/>
      </w:rPr>
      <w:t>永杰新材料股份有限公司投资者关系活动记录表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9F3344"/>
    <w:rsid w:val="00007ADB"/>
    <w:rsid w:val="000C75E6"/>
    <w:rsid w:val="001E232F"/>
    <w:rsid w:val="001F626B"/>
    <w:rsid w:val="002943DA"/>
    <w:rsid w:val="00350ACD"/>
    <w:rsid w:val="003D483E"/>
    <w:rsid w:val="00407AF1"/>
    <w:rsid w:val="004364B0"/>
    <w:rsid w:val="00461B98"/>
    <w:rsid w:val="004B50F5"/>
    <w:rsid w:val="004D22CE"/>
    <w:rsid w:val="00534B68"/>
    <w:rsid w:val="00581DB3"/>
    <w:rsid w:val="00586A7C"/>
    <w:rsid w:val="005B7646"/>
    <w:rsid w:val="005C419A"/>
    <w:rsid w:val="005F7EF4"/>
    <w:rsid w:val="00624243"/>
    <w:rsid w:val="006276AC"/>
    <w:rsid w:val="00644FF6"/>
    <w:rsid w:val="006A7976"/>
    <w:rsid w:val="007529C8"/>
    <w:rsid w:val="00791B12"/>
    <w:rsid w:val="007E2D9E"/>
    <w:rsid w:val="008A491F"/>
    <w:rsid w:val="008C41A6"/>
    <w:rsid w:val="008E54AE"/>
    <w:rsid w:val="008F26BC"/>
    <w:rsid w:val="009F3344"/>
    <w:rsid w:val="00AF7F1D"/>
    <w:rsid w:val="00B031E8"/>
    <w:rsid w:val="00B126F3"/>
    <w:rsid w:val="00BA267A"/>
    <w:rsid w:val="00BE22FC"/>
    <w:rsid w:val="00C55202"/>
    <w:rsid w:val="00CB723A"/>
    <w:rsid w:val="00CF65BE"/>
    <w:rsid w:val="00D40A34"/>
    <w:rsid w:val="00D659D6"/>
    <w:rsid w:val="00E17CAE"/>
    <w:rsid w:val="00E25203"/>
    <w:rsid w:val="00E2782D"/>
    <w:rsid w:val="00E302F2"/>
    <w:rsid w:val="00E677CB"/>
    <w:rsid w:val="00ED790B"/>
    <w:rsid w:val="00F56104"/>
    <w:rsid w:val="00F56FF8"/>
    <w:rsid w:val="00F63864"/>
    <w:rsid w:val="00F80336"/>
    <w:rsid w:val="00FA3526"/>
    <w:rsid w:val="00FB64DB"/>
    <w:rsid w:val="00FB691C"/>
    <w:rsid w:val="00FC15A3"/>
    <w:rsid w:val="04D173E0"/>
    <w:rsid w:val="095E5B03"/>
    <w:rsid w:val="0D3228BF"/>
    <w:rsid w:val="0EE502A1"/>
    <w:rsid w:val="0FE657F3"/>
    <w:rsid w:val="13AC347F"/>
    <w:rsid w:val="17092D7A"/>
    <w:rsid w:val="1CB2496B"/>
    <w:rsid w:val="1DEC4FEE"/>
    <w:rsid w:val="26D46B1D"/>
    <w:rsid w:val="285F5C4A"/>
    <w:rsid w:val="29E04E95"/>
    <w:rsid w:val="29EC23D0"/>
    <w:rsid w:val="2A1701E9"/>
    <w:rsid w:val="2E156399"/>
    <w:rsid w:val="3069586F"/>
    <w:rsid w:val="383F5035"/>
    <w:rsid w:val="3AB1148B"/>
    <w:rsid w:val="3D2B1EE6"/>
    <w:rsid w:val="3E353EED"/>
    <w:rsid w:val="43771552"/>
    <w:rsid w:val="46A13EB4"/>
    <w:rsid w:val="48742B93"/>
    <w:rsid w:val="48EB0C22"/>
    <w:rsid w:val="4A0A3D88"/>
    <w:rsid w:val="4A1268AE"/>
    <w:rsid w:val="4D5D76E1"/>
    <w:rsid w:val="4EBD009C"/>
    <w:rsid w:val="515A2F89"/>
    <w:rsid w:val="55E17CFD"/>
    <w:rsid w:val="5CA13882"/>
    <w:rsid w:val="61B42C51"/>
    <w:rsid w:val="670E1BEF"/>
    <w:rsid w:val="6F6203B6"/>
    <w:rsid w:val="74365CEE"/>
    <w:rsid w:val="758D193E"/>
    <w:rsid w:val="75DF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9"/>
    <w:qFormat/>
    <w:uiPriority w:val="0"/>
    <w:rPr>
      <w:b/>
      <w:bCs/>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0"/>
    <w:rPr>
      <w:b/>
    </w:rPr>
  </w:style>
  <w:style w:type="character" w:styleId="11">
    <w:name w:val="FollowedHyperlink"/>
    <w:basedOn w:val="9"/>
    <w:uiPriority w:val="0"/>
    <w:rPr>
      <w:color w:val="800080" w:themeColor="followedHyperlink"/>
      <w:u w:val="single"/>
      <w14:textFill>
        <w14:solidFill>
          <w14:schemeClr w14:val="folHlink"/>
        </w14:solidFill>
      </w14:textFill>
    </w:rPr>
  </w:style>
  <w:style w:type="character" w:styleId="12">
    <w:name w:val="Hyperlink"/>
    <w:unhideWhenUsed/>
    <w:qFormat/>
    <w:uiPriority w:val="99"/>
    <w:rPr>
      <w:color w:val="0563C1"/>
      <w:u w:val="single"/>
    </w:rPr>
  </w:style>
  <w:style w:type="character" w:styleId="13">
    <w:name w:val="annotation reference"/>
    <w:basedOn w:val="9"/>
    <w:qFormat/>
    <w:uiPriority w:val="0"/>
    <w:rPr>
      <w:sz w:val="21"/>
      <w:szCs w:val="21"/>
    </w:rPr>
  </w:style>
  <w:style w:type="paragraph" w:customStyle="1" w:styleId="14">
    <w:name w:val="_Style 6"/>
    <w:basedOn w:val="1"/>
    <w:qFormat/>
    <w:uiPriority w:val="34"/>
    <w:pPr>
      <w:ind w:firstLine="420" w:firstLineChars="200"/>
    </w:pPr>
  </w:style>
  <w:style w:type="paragraph" w:customStyle="1" w:styleId="15">
    <w:name w:val="修订1"/>
    <w:hidden/>
    <w:unhideWhenUsed/>
    <w:qFormat/>
    <w:uiPriority w:val="99"/>
    <w:rPr>
      <w:rFonts w:ascii="Calibri" w:hAnsi="Calibri" w:eastAsia="宋体" w:cs="Times New Roman"/>
      <w:kern w:val="2"/>
      <w:sz w:val="21"/>
      <w:szCs w:val="22"/>
      <w:lang w:val="en-US" w:eastAsia="zh-CN" w:bidi="ar-SA"/>
    </w:rPr>
  </w:style>
  <w:style w:type="character" w:customStyle="1" w:styleId="16">
    <w:name w:val="页脚 字符"/>
    <w:link w:val="4"/>
    <w:qFormat/>
    <w:uiPriority w:val="0"/>
    <w:rPr>
      <w:kern w:val="2"/>
      <w:sz w:val="18"/>
      <w:szCs w:val="18"/>
    </w:rPr>
  </w:style>
  <w:style w:type="paragraph" w:customStyle="1" w:styleId="17">
    <w:name w:val="修订2"/>
    <w:hidden/>
    <w:unhideWhenUsed/>
    <w:qFormat/>
    <w:uiPriority w:val="99"/>
    <w:rPr>
      <w:rFonts w:ascii="Calibri" w:hAnsi="Calibri" w:eastAsia="宋体" w:cs="Times New Roman"/>
      <w:kern w:val="2"/>
      <w:sz w:val="21"/>
      <w:szCs w:val="22"/>
      <w:lang w:val="en-US" w:eastAsia="zh-CN" w:bidi="ar-SA"/>
    </w:rPr>
  </w:style>
  <w:style w:type="character" w:customStyle="1" w:styleId="18">
    <w:name w:val="批注文字 字符"/>
    <w:basedOn w:val="9"/>
    <w:link w:val="3"/>
    <w:qFormat/>
    <w:uiPriority w:val="0"/>
    <w:rPr>
      <w:rFonts w:ascii="Calibri" w:hAnsi="Calibri"/>
      <w:kern w:val="2"/>
      <w:sz w:val="21"/>
      <w:szCs w:val="22"/>
    </w:rPr>
  </w:style>
  <w:style w:type="character" w:customStyle="1" w:styleId="19">
    <w:name w:val="批注主题 字符"/>
    <w:basedOn w:val="18"/>
    <w:link w:val="6"/>
    <w:qFormat/>
    <w:uiPriority w:val="0"/>
    <w:rPr>
      <w:rFonts w:ascii="Calibri" w:hAnsi="Calibri"/>
      <w:b/>
      <w:bCs/>
      <w:kern w:val="2"/>
      <w:sz w:val="21"/>
      <w:szCs w:val="22"/>
    </w:rPr>
  </w:style>
  <w:style w:type="paragraph" w:customStyle="1" w:styleId="20">
    <w:name w:val="修订3"/>
    <w:hidden/>
    <w:unhideWhenUsed/>
    <w:qFormat/>
    <w:uiPriority w:val="99"/>
    <w:rPr>
      <w:rFonts w:ascii="Calibri" w:hAnsi="Calibri" w:eastAsia="宋体" w:cs="Times New Roman"/>
      <w:kern w:val="2"/>
      <w:sz w:val="21"/>
      <w:szCs w:val="22"/>
      <w:lang w:val="en-US" w:eastAsia="zh-CN" w:bidi="ar-SA"/>
    </w:rPr>
  </w:style>
  <w:style w:type="paragraph" w:customStyle="1" w:styleId="21">
    <w:name w:val="修订4"/>
    <w:hidden/>
    <w:unhideWhenUsed/>
    <w:qFormat/>
    <w:uiPriority w:val="99"/>
    <w:rPr>
      <w:rFonts w:ascii="Calibri" w:hAnsi="Calibri" w:eastAsia="宋体" w:cs="Times New Roman"/>
      <w:kern w:val="2"/>
      <w:sz w:val="21"/>
      <w:szCs w:val="22"/>
      <w:lang w:val="en-US" w:eastAsia="zh-CN" w:bidi="ar-SA"/>
    </w:rPr>
  </w:style>
  <w:style w:type="paragraph" w:customStyle="1" w:styleId="22">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cfe40753-eb03-469a-905e-0c2655fd6375</errorID>
      <errorWord>永永</errorWord>
      <group>L1_Word</group>
      <groupName>字词问题</groupName>
      <ability>L2_Typo</ability>
      <abilityName>字词错误</abilityName>
      <candidateList>
        <item>永</item>
      </candidateList>
      <explain/>
      <paraID>382C2AFA</paraID>
      <start>0</start>
      <end>1</end>
      <status>modified</status>
      <modifiedWord>永</modifiedWord>
      <trackRevisions>false</trackRevisions>
    </reviewItem>
    <reviewItem>
      <errorID>ae38cad7-7305-4881-98a7-13ab144848a9</errorID>
      <errorWord>用</errorWord>
      <group>L1_Word</group>
      <groupName>字词问题</groupName>
      <ability>L2_Typo</ability>
      <abilityName>字词错误</abilityName>
      <candidateList>
        <item>用于</item>
      </candidateList>
      <explain/>
      <paraID>70187F61</paraID>
      <start>395</start>
      <end>397</end>
      <status>modified</status>
      <modifiedWord>用于</modifiedWord>
      <trackRevisions>false</trackRevisions>
    </reviewItem>
    <reviewItem>
      <errorID>6085bb12-9e44-44bd-b961-5aaef24bf9e8</errorID>
      <errorWord>结构有</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13258810</paraID>
      <start>94</start>
      <end>96</end>
      <status>modified</status>
      <modifiedWord>结构</modifiedWord>
      <trackRevisions>false</trackRevisions>
    </reviewItem>
    <reviewItem>
      <errorID>d2607aa7-b531-4105-9b10-62a7695fef61</errorID>
      <errorWord>仅有</errorWord>
      <group>L1_Word</group>
      <groupName>字词问题</groupName>
      <ability>L2_Typo</ability>
      <abilityName>字词错误</abilityName>
      <candidateList>
        <item>仅</item>
      </candidateList>
      <explain/>
      <paraID>13258810</paraID>
      <start>96</start>
      <end>98</end>
      <status>ignored</status>
      <modifiedWord/>
      <trackRevisions>false</trackRevisions>
    </reviewItem>
    <reviewItem>
      <errorID>9e3a6905-8578-4cfa-9720-ea13ba734bac</errorID>
      <errorWord>处</errorWord>
      <group>L1_Word</group>
      <groupName>字词问题</groupName>
      <ability>L2_Typo</ability>
      <abilityName>字词错误</abilityName>
      <candidateList>
        <item>处于</item>
      </candidateList>
      <explain>〈动〉在某种地位或状态：～优势｜伤员～昏迷状态。</explain>
      <paraID>13258810</paraID>
      <start>324</start>
      <end>326</end>
      <status>modified</status>
      <modifiedWord>处于</modifiedWord>
      <trackRevisions>false</trackRevisions>
    </reviewItem>
    <reviewItem>
      <errorID>3a0ff5fa-d982-4f00-9cd0-90aa93f1c8e6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564A2755</paraID>
      <start>22</start>
      <end>23</end>
      <status>modified</status>
      <modifiedWord>—</modifiedWord>
      <trackRevisions>false</trackRevisions>
    </reviewItem>
    <reviewItem>
      <errorID>35802f9e-ab08-46d3-9289-d0d3c718286d</errorID>
      <errorWord>正</errorWord>
      <group>L1_Word</group>
      <groupName>字词问题</groupName>
      <ability>L2_Typo</ability>
      <abilityName>字词错误</abilityName>
      <candidateList>
        <item>正在</item>
      </candidateList>
      <explain/>
      <paraID>564A2755</paraID>
      <start>277</start>
      <end>278</end>
      <status>ignored</status>
      <modifiedWord/>
      <trackRevisions>false</trackRevisions>
    </reviewItem>
    <reviewItem>
      <errorID>28dd6f07-3730-4edd-83da-4f848781fdfe</errorID>
      <errorWord>处</errorWord>
      <group>L1_Word</group>
      <groupName>字词问题</groupName>
      <ability>L2_Typo</ability>
      <abilityName>字词错误</abilityName>
      <candidateList>
        <item>处于</item>
      </candidateList>
      <explain>〈动〉在某种地位或状态：～优势｜伤员～昏迷状态。</explain>
      <paraID>564A2755</paraID>
      <start>291</start>
      <end>293</end>
      <status>modified</status>
      <modifiedWord>处于</modifiedWord>
      <trackRevisions>false</trackRevisions>
    </reviewItem>
  </reviewItems>
  <config/>
</contractReview>
</file>

<file path=customXml/itemProps1.xml><?xml version="1.0" encoding="utf-8"?>
<ds:datastoreItem xmlns:ds="http://schemas.openxmlformats.org/officeDocument/2006/customXml" ds:itemID="{D5383E41-7629-469E-9E1E-75512D590C1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1301</Words>
  <Characters>1418</Characters>
  <Lines>10</Lines>
  <Paragraphs>2</Paragraphs>
  <TotalTime>0</TotalTime>
  <ScaleCrop>false</ScaleCrop>
  <LinksUpToDate>false</LinksUpToDate>
  <CharactersWithSpaces>1460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2026-04-16T06:42:00Z</dcterms:created>
  <dc:creator>Administrator</dc:creator>
  <cp:lastModifiedBy>总经办通用</cp:lastModifiedBy>
  <dcterms:modified xsi:type="dcterms:W3CDTF">2026-05-29T07:46:46Z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6F3002E39C044F5EA12BCD41116934F9_13</vt:lpwstr>
  </property>
  <property fmtid="{D5CDD505-2E9C-101B-9397-08002B2CF9AE}" pid="4" name="KSOTemplateDocerSaveRecord">
    <vt:lpwstr>eyJoZGlkIjoiYzcyOWIzMjUwMDM0ZTQyY2FlNmIwMTc5YzBjYjQ3YjciLCJ1c2VySWQiOiIxMzQ1NTk1MTM1In0=</vt:lpwstr>
  </property>
</Properties>
</file>