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5C733">
      <w:pPr>
        <w:spacing w:line="360" w:lineRule="auto"/>
        <w:rPr>
          <w:rFonts w:hint="eastAsia" w:ascii="仿宋_GB2312" w:eastAsia="仿宋_GB2312"/>
          <w:bCs/>
          <w:iCs/>
          <w:color w:val="000000"/>
          <w:sz w:val="28"/>
          <w:szCs w:val="28"/>
        </w:rPr>
      </w:pPr>
      <w:r>
        <w:rPr>
          <w:rFonts w:hint="eastAsia" w:ascii="仿宋_GB2312" w:hAnsi="宋体" w:eastAsia="仿宋_GB2312"/>
          <w:bCs/>
          <w:iCs/>
          <w:color w:val="000000"/>
          <w:sz w:val="28"/>
          <w:szCs w:val="28"/>
        </w:rPr>
        <w:t xml:space="preserve">证券代码：600262     </w:t>
      </w:r>
      <w:r>
        <w:rPr>
          <w:rFonts w:hint="eastAsia" w:ascii="仿宋_GB2312" w:eastAsia="仿宋_GB2312"/>
          <w:bCs/>
          <w:iCs/>
          <w:color w:val="000000"/>
          <w:sz w:val="28"/>
          <w:szCs w:val="28"/>
        </w:rPr>
        <w:t xml:space="preserve">                    </w:t>
      </w:r>
      <w:r>
        <w:rPr>
          <w:rFonts w:hint="eastAsia" w:ascii="仿宋_GB2312" w:hAnsi="宋体" w:eastAsia="仿宋_GB2312"/>
          <w:bCs/>
          <w:iCs/>
          <w:color w:val="000000"/>
          <w:sz w:val="28"/>
          <w:szCs w:val="28"/>
        </w:rPr>
        <w:t>证券简称：北方股份</w:t>
      </w:r>
    </w:p>
    <w:p w14:paraId="734BC310">
      <w:pPr>
        <w:ind w:firstLine="720" w:firstLineChars="200"/>
        <w:jc w:val="center"/>
        <w:rPr>
          <w:rFonts w:ascii="方正小标宋简体" w:eastAsia="方正小标宋简体"/>
          <w:sz w:val="36"/>
          <w:szCs w:val="36"/>
        </w:rPr>
      </w:pPr>
    </w:p>
    <w:p w14:paraId="32B05DB9">
      <w:pPr>
        <w:ind w:firstLine="720" w:firstLineChars="200"/>
        <w:jc w:val="center"/>
        <w:rPr>
          <w:rFonts w:ascii="方正小标宋简体" w:eastAsia="方正小标宋简体"/>
          <w:sz w:val="36"/>
          <w:szCs w:val="36"/>
        </w:rPr>
      </w:pPr>
      <w:r>
        <w:rPr>
          <w:rFonts w:hint="eastAsia" w:ascii="方正小标宋简体" w:eastAsia="方正小标宋简体"/>
          <w:sz w:val="36"/>
          <w:szCs w:val="36"/>
        </w:rPr>
        <w:t>内蒙古北方重型汽车股份有限公司</w:t>
      </w:r>
    </w:p>
    <w:p w14:paraId="651D767B">
      <w:pPr>
        <w:ind w:firstLine="720" w:firstLineChars="200"/>
        <w:jc w:val="center"/>
        <w:rPr>
          <w:rFonts w:ascii="方正小标宋简体" w:eastAsia="方正小标宋简体"/>
          <w:sz w:val="36"/>
          <w:szCs w:val="36"/>
        </w:rPr>
      </w:pPr>
      <w:r>
        <w:rPr>
          <w:rFonts w:hint="eastAsia" w:ascii="方正小标宋简体" w:eastAsia="方正小标宋简体"/>
          <w:sz w:val="36"/>
          <w:szCs w:val="36"/>
        </w:rPr>
        <w:t>投资者关系活动记录表</w:t>
      </w:r>
    </w:p>
    <w:p w14:paraId="3477B08B">
      <w:pPr>
        <w:rPr>
          <w:rFonts w:hint="eastAsia" w:ascii="仿宋_GB2312" w:eastAsia="仿宋_GB2312"/>
          <w:sz w:val="28"/>
          <w:szCs w:val="28"/>
          <w:lang w:val="en-US" w:eastAsia="zh-CN"/>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28"/>
          <w:szCs w:val="28"/>
        </w:rPr>
        <w:t>编号：2</w:t>
      </w:r>
      <w:r>
        <w:rPr>
          <w:rFonts w:ascii="仿宋_GB2312" w:eastAsia="仿宋_GB2312"/>
          <w:sz w:val="28"/>
          <w:szCs w:val="28"/>
        </w:rPr>
        <w:t>02</w:t>
      </w:r>
      <w:r>
        <w:rPr>
          <w:rFonts w:hint="eastAsia" w:ascii="仿宋_GB2312" w:eastAsia="仿宋_GB2312"/>
          <w:sz w:val="28"/>
          <w:szCs w:val="28"/>
          <w:lang w:val="en-US" w:eastAsia="zh-CN"/>
        </w:rPr>
        <w:t>6</w:t>
      </w:r>
      <w:r>
        <w:rPr>
          <w:rFonts w:ascii="仿宋_GB2312" w:eastAsia="仿宋_GB2312"/>
          <w:sz w:val="28"/>
          <w:szCs w:val="28"/>
        </w:rPr>
        <w:t>-00</w:t>
      </w:r>
      <w:r>
        <w:rPr>
          <w:rFonts w:hint="eastAsia" w:ascii="仿宋_GB2312" w:eastAsia="仿宋_GB2312"/>
          <w:sz w:val="28"/>
          <w:szCs w:val="28"/>
          <w:lang w:val="en-US" w:eastAsia="zh-CN"/>
        </w:rPr>
        <w:t>3</w:t>
      </w:r>
    </w:p>
    <w:tbl>
      <w:tblPr>
        <w:tblStyle w:val="5"/>
        <w:tblW w:w="985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361"/>
        <w:gridCol w:w="6829"/>
      </w:tblGrid>
      <w:tr w14:paraId="7131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D03FC33">
            <w:pPr>
              <w:jc w:val="center"/>
              <w:rPr>
                <w:rFonts w:hint="eastAsia" w:ascii="仿宋_GB2312" w:eastAsia="仿宋_GB2312"/>
                <w:sz w:val="28"/>
                <w:szCs w:val="28"/>
                <w:highlight w:val="none"/>
              </w:rPr>
            </w:pPr>
          </w:p>
          <w:p w14:paraId="0B8F6A04">
            <w:pPr>
              <w:jc w:val="center"/>
              <w:rPr>
                <w:rFonts w:hint="eastAsia" w:ascii="仿宋_GB2312" w:eastAsia="仿宋_GB2312"/>
                <w:sz w:val="28"/>
                <w:szCs w:val="28"/>
                <w:highlight w:val="none"/>
              </w:rPr>
            </w:pPr>
            <w:r>
              <w:rPr>
                <w:rFonts w:hint="eastAsia" w:ascii="仿宋_GB2312" w:eastAsia="仿宋_GB2312"/>
                <w:sz w:val="28"/>
                <w:szCs w:val="28"/>
                <w:highlight w:val="none"/>
              </w:rPr>
              <w:t>接待方式</w:t>
            </w:r>
          </w:p>
          <w:p w14:paraId="534C1E7F">
            <w:pPr>
              <w:jc w:val="center"/>
              <w:rPr>
                <w:rFonts w:ascii="仿宋_GB2312" w:eastAsia="仿宋_GB2312"/>
                <w:sz w:val="28"/>
                <w:szCs w:val="28"/>
              </w:rPr>
            </w:pPr>
          </w:p>
        </w:tc>
        <w:tc>
          <w:tcPr>
            <w:tcW w:w="8190" w:type="dxa"/>
            <w:gridSpan w:val="2"/>
          </w:tcPr>
          <w:p w14:paraId="06E656C4">
            <w:pPr>
              <w:rPr>
                <w:rFonts w:ascii="仿宋_GB2312" w:eastAsia="仿宋_GB2312"/>
                <w:sz w:val="28"/>
                <w:szCs w:val="28"/>
              </w:rPr>
            </w:pPr>
            <w:r>
              <w:rPr>
                <w:rFonts w:hint="eastAsia" w:ascii="仿宋_GB2312" w:eastAsia="仿宋_GB2312"/>
                <w:sz w:val="28"/>
                <w:szCs w:val="28"/>
              </w:rPr>
              <w:t>□特定对象调研  □分析师会议   □媒体采访</w:t>
            </w:r>
          </w:p>
          <w:p w14:paraId="60A17B35">
            <w:pPr>
              <w:rPr>
                <w:rFonts w:ascii="仿宋_GB2312" w:eastAsia="仿宋_GB2312"/>
                <w:sz w:val="28"/>
                <w:szCs w:val="28"/>
              </w:rPr>
            </w:pPr>
            <w:r>
              <w:rPr>
                <w:rFonts w:hint="eastAsia" w:ascii="仿宋_GB2312" w:eastAsia="仿宋_GB2312"/>
                <w:sz w:val="28"/>
                <w:szCs w:val="28"/>
              </w:rPr>
              <w:t>√业绩说明会    □新闻发布会   □路演活动</w:t>
            </w:r>
          </w:p>
          <w:p w14:paraId="1F8746DD">
            <w:pPr>
              <w:rPr>
                <w:rFonts w:ascii="仿宋_GB2312" w:eastAsia="仿宋_GB2312"/>
                <w:sz w:val="28"/>
                <w:szCs w:val="28"/>
              </w:rPr>
            </w:pPr>
            <w:r>
              <w:rPr>
                <w:rFonts w:hint="eastAsia" w:ascii="仿宋_GB2312" w:eastAsia="仿宋_GB2312"/>
                <w:sz w:val="28"/>
                <w:szCs w:val="28"/>
              </w:rPr>
              <w:t>□现场参观      □其它</w:t>
            </w:r>
          </w:p>
        </w:tc>
      </w:tr>
      <w:tr w14:paraId="11DE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9" w:type="dxa"/>
            <w:gridSpan w:val="2"/>
            <w:vAlign w:val="center"/>
          </w:tcPr>
          <w:p w14:paraId="2903C1E8">
            <w:pPr>
              <w:jc w:val="center"/>
              <w:rPr>
                <w:rFonts w:ascii="仿宋_GB2312" w:eastAsia="仿宋_GB2312"/>
                <w:sz w:val="28"/>
                <w:szCs w:val="28"/>
              </w:rPr>
            </w:pPr>
            <w:r>
              <w:rPr>
                <w:rFonts w:hint="eastAsia" w:ascii="仿宋_GB2312" w:eastAsia="仿宋_GB2312"/>
                <w:sz w:val="28"/>
                <w:szCs w:val="28"/>
              </w:rPr>
              <w:t>时间</w:t>
            </w:r>
          </w:p>
        </w:tc>
        <w:tc>
          <w:tcPr>
            <w:tcW w:w="6829" w:type="dxa"/>
          </w:tcPr>
          <w:p w14:paraId="73D2E77D">
            <w:pPr>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default"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日上午</w:t>
            </w:r>
            <w:r>
              <w:rPr>
                <w:rFonts w:hint="eastAsia" w:ascii="仿宋_GB2312" w:eastAsia="仿宋_GB2312"/>
                <w:sz w:val="28"/>
                <w:szCs w:val="28"/>
                <w:lang w:val="en-US" w:eastAsia="zh-CN"/>
              </w:rPr>
              <w:t>10</w:t>
            </w:r>
            <w:r>
              <w:rPr>
                <w:rFonts w:hint="eastAsia" w:ascii="仿宋_GB2312" w:eastAsia="仿宋_GB2312"/>
                <w:sz w:val="28"/>
                <w:szCs w:val="28"/>
              </w:rPr>
              <w:t>:</w:t>
            </w:r>
            <w:r>
              <w:rPr>
                <w:rFonts w:ascii="仿宋_GB2312" w:eastAsia="仿宋_GB2312"/>
                <w:sz w:val="28"/>
                <w:szCs w:val="28"/>
              </w:rPr>
              <w:t>00-1</w:t>
            </w:r>
            <w:r>
              <w:rPr>
                <w:rFonts w:hint="eastAsia" w:ascii="仿宋_GB2312" w:eastAsia="仿宋_GB2312"/>
                <w:sz w:val="28"/>
                <w:szCs w:val="28"/>
                <w:lang w:val="en-US" w:eastAsia="zh-CN"/>
              </w:rPr>
              <w:t>1</w:t>
            </w:r>
            <w:r>
              <w:rPr>
                <w:rFonts w:ascii="仿宋_GB2312" w:eastAsia="仿宋_GB2312"/>
                <w:sz w:val="28"/>
                <w:szCs w:val="28"/>
              </w:rPr>
              <w:t>:</w:t>
            </w:r>
            <w:r>
              <w:rPr>
                <w:rFonts w:hint="eastAsia" w:ascii="仿宋_GB2312" w:eastAsia="仿宋_GB2312"/>
                <w:sz w:val="28"/>
                <w:szCs w:val="28"/>
                <w:lang w:val="en-US" w:eastAsia="zh-CN"/>
              </w:rPr>
              <w:t>3</w:t>
            </w:r>
            <w:r>
              <w:rPr>
                <w:rFonts w:ascii="仿宋_GB2312" w:eastAsia="仿宋_GB2312"/>
                <w:sz w:val="28"/>
                <w:szCs w:val="28"/>
              </w:rPr>
              <w:t>0</w:t>
            </w:r>
          </w:p>
        </w:tc>
      </w:tr>
      <w:tr w14:paraId="3D4D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9" w:type="dxa"/>
            <w:gridSpan w:val="2"/>
            <w:vAlign w:val="center"/>
          </w:tcPr>
          <w:p w14:paraId="09CCC591">
            <w:pPr>
              <w:jc w:val="center"/>
              <w:rPr>
                <w:rFonts w:ascii="仿宋_GB2312" w:eastAsia="仿宋_GB2312"/>
                <w:sz w:val="28"/>
                <w:szCs w:val="28"/>
              </w:rPr>
            </w:pPr>
            <w:r>
              <w:rPr>
                <w:rFonts w:hint="eastAsia" w:ascii="仿宋_GB2312" w:eastAsia="仿宋_GB2312"/>
                <w:sz w:val="28"/>
                <w:szCs w:val="28"/>
              </w:rPr>
              <w:t>地点</w:t>
            </w:r>
          </w:p>
        </w:tc>
        <w:tc>
          <w:tcPr>
            <w:tcW w:w="6829" w:type="dxa"/>
          </w:tcPr>
          <w:p w14:paraId="41DE3230">
            <w:pPr>
              <w:rPr>
                <w:rFonts w:ascii="仿宋_GB2312" w:eastAsia="仿宋_GB2312"/>
                <w:sz w:val="28"/>
                <w:szCs w:val="28"/>
              </w:rPr>
            </w:pPr>
            <w:r>
              <w:rPr>
                <w:rFonts w:hint="eastAsia" w:ascii="仿宋_GB2312" w:eastAsia="仿宋_GB2312"/>
                <w:sz w:val="28"/>
                <w:szCs w:val="28"/>
              </w:rPr>
              <w:t>上海证券交易所上证路演中心（网址：https://roadshow.sseinfo.com/）</w:t>
            </w:r>
          </w:p>
        </w:tc>
      </w:tr>
      <w:tr w14:paraId="09E4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9" w:type="dxa"/>
            <w:gridSpan w:val="2"/>
            <w:vAlign w:val="center"/>
          </w:tcPr>
          <w:p w14:paraId="302B579F">
            <w:pPr>
              <w:jc w:val="center"/>
              <w:rPr>
                <w:rFonts w:hint="eastAsia" w:ascii="仿宋_GB2312" w:eastAsia="仿宋_GB2312"/>
                <w:sz w:val="28"/>
                <w:szCs w:val="28"/>
              </w:rPr>
            </w:pPr>
            <w:r>
              <w:rPr>
                <w:rFonts w:hint="eastAsia" w:ascii="仿宋_GB2312" w:eastAsia="仿宋_GB2312"/>
                <w:sz w:val="28"/>
                <w:szCs w:val="28"/>
              </w:rPr>
              <w:t>接待单位及人员</w:t>
            </w:r>
          </w:p>
        </w:tc>
        <w:tc>
          <w:tcPr>
            <w:tcW w:w="6829" w:type="dxa"/>
          </w:tcPr>
          <w:p w14:paraId="744DCF8D">
            <w:pPr>
              <w:rPr>
                <w:rFonts w:hint="eastAsia" w:ascii="仿宋_GB2312" w:eastAsia="仿宋_GB2312"/>
                <w:sz w:val="28"/>
                <w:szCs w:val="28"/>
              </w:rPr>
            </w:pPr>
            <w:r>
              <w:rPr>
                <w:rFonts w:hint="eastAsia" w:ascii="仿宋_GB2312" w:eastAsia="仿宋_GB2312"/>
                <w:sz w:val="28"/>
                <w:szCs w:val="28"/>
              </w:rPr>
              <w:t>通过上证路演中心网络互动平台参与公司202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年</w:t>
            </w:r>
            <w:r>
              <w:rPr>
                <w:rFonts w:hint="eastAsia" w:ascii="仿宋_GB2312" w:eastAsia="仿宋_GB2312"/>
                <w:sz w:val="28"/>
                <w:szCs w:val="28"/>
              </w:rPr>
              <w:t>度暨202</w:t>
            </w:r>
            <w:r>
              <w:rPr>
                <w:rFonts w:hint="eastAsia" w:ascii="仿宋_GB2312" w:eastAsia="仿宋_GB2312"/>
                <w:sz w:val="28"/>
                <w:szCs w:val="28"/>
                <w:lang w:val="en-US" w:eastAsia="zh-CN"/>
              </w:rPr>
              <w:t>6</w:t>
            </w:r>
            <w:r>
              <w:rPr>
                <w:rFonts w:hint="eastAsia" w:ascii="仿宋_GB2312" w:eastAsia="仿宋_GB2312"/>
                <w:sz w:val="28"/>
                <w:szCs w:val="28"/>
              </w:rPr>
              <w:t>年第一季度业绩说明会的投资者</w:t>
            </w:r>
          </w:p>
        </w:tc>
      </w:tr>
      <w:tr w14:paraId="1AC2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9" w:type="dxa"/>
            <w:gridSpan w:val="2"/>
            <w:vAlign w:val="center"/>
          </w:tcPr>
          <w:p w14:paraId="3B84BA9B">
            <w:pPr>
              <w:jc w:val="center"/>
              <w:rPr>
                <w:rFonts w:ascii="仿宋_GB2312" w:eastAsia="仿宋_GB2312"/>
                <w:sz w:val="28"/>
                <w:szCs w:val="28"/>
              </w:rPr>
            </w:pPr>
            <w:r>
              <w:rPr>
                <w:rFonts w:hint="eastAsia" w:ascii="仿宋_GB2312" w:eastAsia="仿宋_GB2312"/>
                <w:sz w:val="28"/>
                <w:szCs w:val="28"/>
              </w:rPr>
              <w:t>公司接待人员</w:t>
            </w:r>
          </w:p>
        </w:tc>
        <w:tc>
          <w:tcPr>
            <w:tcW w:w="6829" w:type="dxa"/>
          </w:tcPr>
          <w:p w14:paraId="63D013DE">
            <w:pPr>
              <w:rPr>
                <w:rFonts w:hint="eastAsia" w:ascii="仿宋_GB2312" w:eastAsia="仿宋_GB2312"/>
                <w:sz w:val="28"/>
                <w:szCs w:val="28"/>
              </w:rPr>
            </w:pPr>
            <w:r>
              <w:rPr>
                <w:rFonts w:hint="eastAsia" w:ascii="仿宋_GB2312" w:eastAsia="仿宋_GB2312"/>
                <w:sz w:val="28"/>
                <w:szCs w:val="28"/>
              </w:rPr>
              <w:t>董事</w:t>
            </w:r>
            <w:r>
              <w:rPr>
                <w:rFonts w:hint="eastAsia" w:ascii="仿宋_GB2312" w:eastAsia="仿宋_GB2312"/>
                <w:sz w:val="28"/>
                <w:szCs w:val="28"/>
                <w:lang w:val="en-US" w:eastAsia="zh-CN"/>
              </w:rPr>
              <w:t>长：</w:t>
            </w:r>
            <w:r>
              <w:rPr>
                <w:rFonts w:hint="eastAsia" w:ascii="仿宋_GB2312" w:eastAsia="仿宋_GB2312"/>
                <w:sz w:val="28"/>
                <w:szCs w:val="28"/>
              </w:rPr>
              <w:t>王占山</w:t>
            </w:r>
          </w:p>
          <w:p w14:paraId="1DCA2C89">
            <w:pPr>
              <w:rPr>
                <w:rFonts w:hint="eastAsia" w:ascii="仿宋_GB2312" w:eastAsia="仿宋_GB2312"/>
                <w:sz w:val="28"/>
                <w:szCs w:val="28"/>
              </w:rPr>
            </w:pPr>
            <w:r>
              <w:rPr>
                <w:rFonts w:hint="eastAsia" w:ascii="仿宋_GB2312" w:eastAsia="仿宋_GB2312"/>
                <w:sz w:val="28"/>
                <w:szCs w:val="28"/>
              </w:rPr>
              <w:t>董事、党委书记、总经理</w:t>
            </w:r>
            <w:r>
              <w:rPr>
                <w:rFonts w:hint="eastAsia" w:ascii="仿宋_GB2312" w:eastAsia="仿宋_GB2312"/>
                <w:sz w:val="28"/>
                <w:szCs w:val="28"/>
                <w:lang w:val="en-US" w:eastAsia="zh-CN"/>
              </w:rPr>
              <w:t>：</w:t>
            </w:r>
            <w:r>
              <w:rPr>
                <w:rFonts w:hint="eastAsia" w:ascii="仿宋_GB2312" w:eastAsia="仿宋_GB2312"/>
                <w:sz w:val="28"/>
                <w:szCs w:val="28"/>
              </w:rPr>
              <w:t>郭海全</w:t>
            </w:r>
          </w:p>
          <w:p w14:paraId="643600F5">
            <w:pPr>
              <w:rPr>
                <w:rFonts w:hint="eastAsia" w:ascii="仿宋_GB2312" w:eastAsia="仿宋_GB2312"/>
                <w:sz w:val="28"/>
                <w:szCs w:val="28"/>
              </w:rPr>
            </w:pPr>
            <w:r>
              <w:rPr>
                <w:rFonts w:hint="eastAsia" w:ascii="仿宋_GB2312" w:eastAsia="仿宋_GB2312"/>
                <w:sz w:val="28"/>
                <w:szCs w:val="28"/>
              </w:rPr>
              <w:t>独立董事</w:t>
            </w:r>
            <w:r>
              <w:rPr>
                <w:rFonts w:hint="eastAsia" w:ascii="仿宋_GB2312" w:eastAsia="仿宋_GB2312"/>
                <w:sz w:val="28"/>
                <w:szCs w:val="28"/>
                <w:lang w:val="en-US" w:eastAsia="zh-CN"/>
              </w:rPr>
              <w:t>：</w:t>
            </w:r>
            <w:r>
              <w:rPr>
                <w:rFonts w:hint="eastAsia" w:ascii="仿宋_GB2312" w:eastAsia="仿宋_GB2312"/>
                <w:sz w:val="28"/>
                <w:szCs w:val="28"/>
              </w:rPr>
              <w:t>张继德</w:t>
            </w:r>
          </w:p>
          <w:p w14:paraId="30F57877">
            <w:pPr>
              <w:rPr>
                <w:rFonts w:hint="eastAsia" w:ascii="仿宋_GB2312" w:eastAsia="仿宋_GB2312"/>
                <w:sz w:val="28"/>
                <w:szCs w:val="28"/>
                <w:lang w:val="en-US" w:eastAsia="zh-CN"/>
              </w:rPr>
            </w:pPr>
            <w:r>
              <w:rPr>
                <w:rFonts w:hint="eastAsia" w:ascii="仿宋_GB2312" w:eastAsia="仿宋_GB2312"/>
                <w:sz w:val="28"/>
                <w:szCs w:val="28"/>
              </w:rPr>
              <w:t>独立董事</w:t>
            </w:r>
            <w:r>
              <w:rPr>
                <w:rFonts w:hint="eastAsia" w:ascii="仿宋_GB2312" w:eastAsia="仿宋_GB2312"/>
                <w:sz w:val="28"/>
                <w:szCs w:val="28"/>
                <w:lang w:val="en-US" w:eastAsia="zh-CN"/>
              </w:rPr>
              <w:t>：吕莹</w:t>
            </w:r>
          </w:p>
          <w:p w14:paraId="4DFD7AC4">
            <w:pPr>
              <w:rPr>
                <w:rFonts w:ascii="仿宋_GB2312" w:eastAsia="仿宋_GB2312"/>
                <w:sz w:val="28"/>
                <w:szCs w:val="28"/>
              </w:rPr>
            </w:pPr>
            <w:r>
              <w:rPr>
                <w:rFonts w:hint="eastAsia" w:ascii="仿宋_GB2312" w:eastAsia="仿宋_GB2312"/>
                <w:sz w:val="28"/>
                <w:szCs w:val="28"/>
              </w:rPr>
              <w:t>财务总监</w:t>
            </w:r>
            <w:r>
              <w:rPr>
                <w:rFonts w:hint="eastAsia" w:ascii="仿宋_GB2312" w:eastAsia="仿宋_GB2312"/>
                <w:sz w:val="28"/>
                <w:szCs w:val="28"/>
                <w:lang w:eastAsia="zh-CN"/>
              </w:rPr>
              <w:t>、</w:t>
            </w:r>
            <w:r>
              <w:rPr>
                <w:rFonts w:hint="eastAsia" w:ascii="仿宋_GB2312" w:eastAsia="仿宋_GB2312"/>
                <w:sz w:val="28"/>
                <w:szCs w:val="28"/>
              </w:rPr>
              <w:t>董事会秘书</w:t>
            </w:r>
            <w:r>
              <w:rPr>
                <w:rFonts w:hint="eastAsia" w:ascii="仿宋_GB2312" w:eastAsia="仿宋_GB2312"/>
                <w:sz w:val="28"/>
                <w:szCs w:val="28"/>
                <w:lang w:val="en-US" w:eastAsia="zh-CN"/>
              </w:rPr>
              <w:t>：</w:t>
            </w:r>
            <w:r>
              <w:rPr>
                <w:rFonts w:hint="eastAsia" w:ascii="仿宋_GB2312" w:eastAsia="仿宋_GB2312"/>
                <w:sz w:val="28"/>
                <w:szCs w:val="28"/>
              </w:rPr>
              <w:t>苏向军</w:t>
            </w:r>
          </w:p>
        </w:tc>
      </w:tr>
      <w:tr w14:paraId="432D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9" w:type="dxa"/>
            <w:gridSpan w:val="2"/>
            <w:vAlign w:val="center"/>
          </w:tcPr>
          <w:p w14:paraId="73B87552">
            <w:pPr>
              <w:jc w:val="center"/>
              <w:rPr>
                <w:rFonts w:ascii="仿宋_GB2312" w:eastAsia="仿宋_GB2312"/>
                <w:sz w:val="28"/>
                <w:szCs w:val="28"/>
              </w:rPr>
            </w:pPr>
            <w:r>
              <w:rPr>
                <w:rFonts w:hint="eastAsia" w:ascii="仿宋_GB2312" w:eastAsia="仿宋_GB2312"/>
                <w:sz w:val="28"/>
                <w:szCs w:val="28"/>
              </w:rPr>
              <w:t>投资者关系</w:t>
            </w:r>
          </w:p>
          <w:p w14:paraId="20790E60">
            <w:pPr>
              <w:jc w:val="center"/>
              <w:rPr>
                <w:rFonts w:ascii="仿宋_GB2312" w:eastAsia="仿宋_GB2312"/>
                <w:sz w:val="28"/>
                <w:szCs w:val="28"/>
              </w:rPr>
            </w:pPr>
            <w:r>
              <w:rPr>
                <w:rFonts w:hint="eastAsia" w:ascii="仿宋_GB2312" w:eastAsia="仿宋_GB2312"/>
                <w:sz w:val="28"/>
                <w:szCs w:val="28"/>
              </w:rPr>
              <w:t>活动内容</w:t>
            </w:r>
          </w:p>
        </w:tc>
        <w:tc>
          <w:tcPr>
            <w:tcW w:w="6829" w:type="dxa"/>
          </w:tcPr>
          <w:p w14:paraId="3CB66ABC">
            <w:pPr>
              <w:rPr>
                <w:rFonts w:hint="eastAsia" w:ascii="仿宋_GB2312" w:eastAsia="仿宋_GB2312"/>
                <w:b w:val="0"/>
                <w:bCs w:val="0"/>
                <w:sz w:val="28"/>
                <w:szCs w:val="28"/>
              </w:rPr>
            </w:pPr>
            <w:r>
              <w:rPr>
                <w:rFonts w:hint="eastAsia" w:ascii="仿宋_GB2312" w:eastAsia="仿宋_GB2312"/>
                <w:b w:val="0"/>
                <w:bCs w:val="0"/>
                <w:sz w:val="28"/>
                <w:szCs w:val="28"/>
              </w:rPr>
              <w:t>本次业绩说明会主要问题及回答如下：</w:t>
            </w:r>
          </w:p>
          <w:p w14:paraId="6279651D">
            <w:pPr>
              <w:numPr>
                <w:ilvl w:val="0"/>
                <w:numId w:val="0"/>
              </w:numPr>
              <w:ind w:firstLine="562" w:firstLineChars="200"/>
              <w:rPr>
                <w:rFonts w:hint="eastAsia" w:ascii="仿宋_GB2312" w:eastAsia="仿宋_GB2312"/>
                <w:sz w:val="28"/>
                <w:szCs w:val="28"/>
                <w:lang w:val="en-US" w:eastAsia="zh-CN"/>
              </w:rPr>
            </w:pPr>
            <w:r>
              <w:rPr>
                <w:rFonts w:hint="eastAsia" w:ascii="仿宋_GB2312" w:eastAsia="仿宋_GB2312"/>
                <w:b/>
                <w:bCs/>
                <w:sz w:val="28"/>
                <w:szCs w:val="28"/>
                <w:lang w:val="en-US" w:eastAsia="zh-CN"/>
              </w:rPr>
              <w:t>1.请问董事长，您认为公司在迈向“全球性价比最优矿用车企业”的道路上，当前面临的最大挑战是什么？管理层将如何带领公司跨越这些挑战？</w:t>
            </w:r>
          </w:p>
          <w:p w14:paraId="6C2B06F9">
            <w:pPr>
              <w:ind w:firstLine="560" w:firstLineChars="200"/>
              <w:rPr>
                <w:rFonts w:hint="eastAsia" w:ascii="仿宋_GB2312" w:eastAsia="仿宋_GB2312"/>
                <w:sz w:val="28"/>
                <w:szCs w:val="28"/>
                <w:lang w:val="en-US"/>
              </w:rPr>
            </w:pPr>
            <w:r>
              <w:rPr>
                <w:rFonts w:hint="eastAsia" w:ascii="仿宋_GB2312" w:eastAsia="仿宋_GB2312"/>
                <w:sz w:val="28"/>
                <w:szCs w:val="28"/>
              </w:rPr>
              <w:t>答：</w:t>
            </w:r>
            <w:r>
              <w:rPr>
                <w:rFonts w:hint="eastAsia" w:ascii="仿宋_GB2312" w:eastAsia="仿宋_GB2312"/>
                <w:sz w:val="28"/>
                <w:szCs w:val="28"/>
                <w:lang w:val="en-US"/>
              </w:rPr>
              <w:t>尊敬的投资者，您好！公司始终将“研制全球性价比最优矿用车，打造国际一流矿车企业”作为核心战略目标。结合当前宏观环境与行业趋势，管理层认为当前面临的最大挑战主要集中在三个方面：一是复杂地缘政治与贸易环境变化带来的供应链安全压力及海外业务拓展不确定性；二是行业强周期属性与国内外竞争加剧带来的市场波动风险；三是绿色化、智能化转型所需的高强度研发投入与持续保持技术领先的挑战。针对上述挑战，管理层将重点通过以下举措带领公司稳步跨越：1.强化科技自立与产品迭代：持续加大研发投入，攻关核心零部件“卡脖子”技术，加速关键部件国产化替代；全力推进纯电动、氢能源及无人驾驶矿车的产业化与商业化，构筑核心竞争力。2.深化国际化战略与商业模式创新：坚持国内国际“双轮驱动”，深化“技术+营销+服务”三位一体模式，发力备件供应与全生命周期运维后市场，提升全球市场份额与客户黏性。3.精益运营与供应链韧性建设：全面加速数智化转型，打造柔性智能制造体系；优化供应链布局，推进核心部件“一件双供”，以内部挖潜与效率提升夯实“性价比”根基。4.深化改革与人才强企：依托“科改行动”及超额利润分享机制，优化人才引育与激励体系，对标世界一流管理标准，激发组织创新活力，保障战略高效落地。公司将坚持“三个好于”总体导向，锚定“高端化、智能化、绿色化、国际化”方向，加速创新转型融合发展，坚定不移做强做优做大矿用车产业，当好细分领域的“排头兵”，全力打造世界一流矿用车企业，打造矿山高端装备的“国家名片”，打造成为“具有全球竞争力的矿山运输系统解决方案提供商”。感谢您对公司的关注！</w:t>
            </w:r>
          </w:p>
          <w:p w14:paraId="314BBFB9">
            <w:pPr>
              <w:numPr>
                <w:ilvl w:val="0"/>
                <w:numId w:val="0"/>
              </w:numPr>
              <w:ind w:firstLine="562" w:firstLineChars="200"/>
              <w:rPr>
                <w:rFonts w:hint="eastAsia" w:ascii="仿宋_GB2312" w:eastAsia="仿宋_GB2312"/>
                <w:b/>
                <w:bCs/>
                <w:sz w:val="28"/>
                <w:szCs w:val="28"/>
                <w:lang w:val="en-US"/>
              </w:rPr>
            </w:pPr>
            <w:r>
              <w:rPr>
                <w:rFonts w:hint="eastAsia" w:ascii="仿宋_GB2312" w:eastAsia="仿宋_GB2312"/>
                <w:b/>
                <w:bCs/>
                <w:sz w:val="28"/>
                <w:szCs w:val="28"/>
                <w:lang w:val="en-US" w:eastAsia="zh-CN"/>
              </w:rPr>
              <w:t>2.</w:t>
            </w:r>
            <w:r>
              <w:rPr>
                <w:rFonts w:hint="eastAsia" w:ascii="仿宋_GB2312" w:eastAsia="仿宋_GB2312"/>
                <w:b/>
                <w:bCs/>
                <w:sz w:val="28"/>
                <w:szCs w:val="28"/>
                <w:lang w:val="en-US"/>
              </w:rPr>
              <w:t>作为中国兵器工业集团旗下的控股企业，国资委近期高度强调央企市值管理，请问北方股份在市值管理方面有哪些具体规划和考核指标？</w:t>
            </w:r>
          </w:p>
          <w:p w14:paraId="2B83BED2">
            <w:pPr>
              <w:ind w:firstLine="560" w:firstLineChars="200"/>
              <w:rPr>
                <w:rFonts w:hint="eastAsia" w:ascii="仿宋_GB2312" w:eastAsia="仿宋_GB2312"/>
                <w:sz w:val="28"/>
                <w:szCs w:val="28"/>
                <w:lang w:val="en-US"/>
              </w:rPr>
            </w:pPr>
            <w:r>
              <w:rPr>
                <w:rFonts w:hint="eastAsia" w:ascii="仿宋_GB2312" w:eastAsia="仿宋_GB2312"/>
                <w:sz w:val="28"/>
                <w:szCs w:val="28"/>
              </w:rPr>
              <w:t>答：</w:t>
            </w:r>
            <w:r>
              <w:rPr>
                <w:rFonts w:hint="eastAsia" w:ascii="仿宋_GB2312" w:eastAsia="仿宋_GB2312"/>
                <w:sz w:val="28"/>
                <w:szCs w:val="28"/>
                <w:lang w:val="en-US"/>
              </w:rPr>
              <w:t>尊敬的投资者，您好！公司高度重视并坚决贯彻落实国资委及兵器工业集团关于央企控股上市公司市值管理的各项要求。相关规划与考核机制主要围绕以下维度展开：1.价值创造规划：以“提质增效重回报”专项行动为抓手，持续聚焦矿车主业，加快产品高端化、智能化、绿色化、国际化转型，强化核心技术与供应链自主可控，夯实市值管理的基本面。2.考核与激励机制：公司已建立以价值创造为导向的绩效评价体系，并审议通过《超额利润分享方案（2025-2027年度）》。考核指标将经营效益、价值创造能力与管理层及核心骨干薪酬深度绑定，实行激励与约束并重。3.投资者关系与回报机制：严格落实信息披露规范，常态化开展业绩说明会，通过E互动平台交流等，增进市场价值认同；在兼顾可持续发展的前提下，保持科学稳定的利润分配政策，持续提升投资者的获得感。关于具体内部考核指标，公司将严格遵循国资监管导向，围绕盈利能力、公司治理水平、股东回报质量及市场价值认同等核心维度进行体系化考核与动态管理。公司将持续专注主业、提升核心竞争力，以高质量发展切实回馈广大投资者。感谢您对公司的关注！</w:t>
            </w:r>
          </w:p>
          <w:p w14:paraId="0D53FCF1">
            <w:pPr>
              <w:ind w:firstLine="562" w:firstLineChars="200"/>
              <w:rPr>
                <w:rFonts w:hint="eastAsia" w:ascii="仿宋_GB2312" w:eastAsia="仿宋_GB2312"/>
                <w:b/>
                <w:bCs/>
                <w:sz w:val="28"/>
                <w:szCs w:val="28"/>
              </w:rPr>
            </w:pPr>
            <w:r>
              <w:rPr>
                <w:rFonts w:hint="eastAsia" w:ascii="仿宋_GB2312" w:eastAsia="仿宋_GB2312"/>
                <w:b/>
                <w:bCs/>
                <w:sz w:val="28"/>
                <w:szCs w:val="28"/>
                <w:lang w:val="en-US" w:eastAsia="zh-CN"/>
              </w:rPr>
              <w:t>3</w:t>
            </w:r>
            <w:r>
              <w:rPr>
                <w:rFonts w:hint="eastAsia" w:ascii="仿宋_GB2312" w:eastAsia="仿宋_GB2312"/>
                <w:b/>
                <w:bCs/>
                <w:sz w:val="28"/>
                <w:szCs w:val="28"/>
              </w:rPr>
              <w:t>.</w:t>
            </w:r>
            <w:r>
              <w:rPr>
                <w:rFonts w:hint="eastAsia" w:ascii="仿宋_GB2312" w:eastAsia="仿宋_GB2312"/>
                <w:b/>
                <w:bCs/>
                <w:sz w:val="28"/>
                <w:szCs w:val="28"/>
                <w:lang w:val="en-US"/>
              </w:rPr>
              <w:t>在ESG（环境、社会和公司治理）建设方面，公司对于助力下游客户“绿色矿山”建设有哪些具体的减碳目标和行动方案？</w:t>
            </w:r>
          </w:p>
          <w:p w14:paraId="664B1926">
            <w:pPr>
              <w:ind w:firstLine="560" w:firstLineChars="200"/>
              <w:rPr>
                <w:rFonts w:hint="eastAsia" w:ascii="仿宋_GB2312" w:eastAsia="仿宋_GB2312"/>
                <w:b/>
                <w:bCs/>
                <w:sz w:val="28"/>
                <w:szCs w:val="28"/>
              </w:rPr>
            </w:pPr>
            <w:r>
              <w:rPr>
                <w:rFonts w:hint="eastAsia" w:ascii="仿宋_GB2312" w:eastAsia="仿宋_GB2312"/>
                <w:sz w:val="28"/>
                <w:szCs w:val="28"/>
              </w:rPr>
              <w:t>答：</w:t>
            </w:r>
            <w:r>
              <w:rPr>
                <w:rFonts w:hint="eastAsia" w:ascii="仿宋_GB2312" w:eastAsia="仿宋_GB2312"/>
                <w:sz w:val="28"/>
                <w:szCs w:val="28"/>
                <w:lang w:val="en-US"/>
              </w:rPr>
              <w:t>尊敬的投资者，您好！在助力下游客户“绿色矿山”建设方面，公司紧扣国家“双碳”战略，主要围绕以下减碳目标与行动方案稳步推进：1.减碳目标：以矿山运输装备“零排放/低碳化”为核心导向，致力于为客户提供全生命周期运行成本最低、能耗与碳排放最优的矿山运输系统解决方案，全面赋能下游客户绿色、高效转型。2.新能源产品矩阵研发与商业化：公司持续加大纯电、氢能、混合动力等清洁能源矿车的技术攻关与市场应用。目前，NTE130E纯电动矿用车已实现规模化批量运行；NTH150吨级氢动力零排放矿用车、NTE240混动车型已顺利完成研制与交付，从作业源头替代传统燃油装备，直接降低客户矿山碳排放。3.“新能源+智能化”协同降碳：结合智慧矿山建设需求，公司加速推进无人驾驶技术（如AT150智慧矿车）与智能网联故障诊断平台的迭代应用。通过智能调度、路径优化与能耗精细化管理，进一步提升运输效率，降低单位矿量综合能耗。4.全生命周期低碳服务转型：公司正从单一设备制造商向“系统解决方案提供商”转型，依托信息化质量管理系统与“贤妻良母式”售后服务体系，为客户提供定制化节能运维方案与绿色供应链支持，实现车队全生命周期的碳足迹管理。公司将持续深化ESG治理体系，加快新质生产力布局，以实际行动践行绿色低碳发展理念。相关内容，敬请查阅公司在上海证券交易所披露的《ESG报告》及定期报告。感谢您对公司的关注！</w:t>
            </w:r>
            <w:r>
              <w:rPr>
                <w:rFonts w:hint="eastAsia" w:ascii="仿宋_GB2312" w:eastAsia="仿宋_GB2312"/>
                <w:sz w:val="28"/>
                <w:szCs w:val="28"/>
                <w:lang w:val="en-US" w:eastAsia="zh-CN"/>
              </w:rPr>
              <w:t xml:space="preserve">      </w:t>
            </w:r>
          </w:p>
          <w:p w14:paraId="69FD0A7C">
            <w:pPr>
              <w:ind w:firstLine="562" w:firstLineChars="200"/>
              <w:rPr>
                <w:rFonts w:hint="eastAsia" w:ascii="仿宋_GB2312" w:eastAsia="仿宋_GB2312"/>
                <w:b/>
                <w:bCs/>
                <w:sz w:val="28"/>
                <w:szCs w:val="28"/>
              </w:rPr>
            </w:pPr>
            <w:r>
              <w:rPr>
                <w:rFonts w:hint="eastAsia" w:ascii="仿宋_GB2312" w:eastAsia="仿宋_GB2312"/>
                <w:b/>
                <w:bCs/>
                <w:sz w:val="28"/>
                <w:szCs w:val="28"/>
                <w:lang w:val="en-US" w:eastAsia="zh-CN"/>
              </w:rPr>
              <w:t>4.</w:t>
            </w:r>
            <w:r>
              <w:rPr>
                <w:rFonts w:hint="eastAsia" w:ascii="仿宋_GB2312" w:eastAsia="仿宋_GB2312"/>
                <w:b/>
                <w:bCs/>
                <w:sz w:val="28"/>
                <w:szCs w:val="28"/>
                <w:lang w:val="en-US"/>
              </w:rPr>
              <w:t>公司的资产负债率达到59.48%，高于行业平均水平，请问公司是否有进一步优化资产负债结构的计划？</w:t>
            </w:r>
          </w:p>
          <w:p w14:paraId="50B60CE6">
            <w:pPr>
              <w:ind w:firstLine="560" w:firstLineChars="200"/>
              <w:rPr>
                <w:rFonts w:hint="eastAsia" w:ascii="仿宋_GB2312" w:eastAsia="仿宋_GB2312"/>
                <w:sz w:val="28"/>
                <w:szCs w:val="28"/>
                <w:lang w:val="en-US"/>
              </w:rPr>
            </w:pPr>
            <w:r>
              <w:rPr>
                <w:rFonts w:hint="eastAsia" w:ascii="仿宋_GB2312" w:eastAsia="仿宋_GB2312"/>
                <w:sz w:val="28"/>
                <w:szCs w:val="28"/>
              </w:rPr>
              <w:t>答：</w:t>
            </w:r>
            <w:r>
              <w:rPr>
                <w:rFonts w:hint="eastAsia" w:ascii="仿宋_GB2312" w:eastAsia="仿宋_GB2312"/>
                <w:sz w:val="28"/>
                <w:szCs w:val="28"/>
                <w:lang w:val="en-US"/>
              </w:rPr>
              <w:t>尊敬的投资者，您好！公司高度重视资产负债结构的优化与财务风险管控。当前公司负债主要以合同负债（客户预收款）、应付账款等经营性无息负债为主，有息负债规模保持较低水平，且公司已按期清偿短期借款，整体债务结构稳健、流动性充裕。未来，公司将持续强化全面预算与资金集中管理，加快营运资金周转与经营性现金回流，不断提升资产运营效率与盈利质量。公司将坚持稳健的财务策略，确保资产负债水平处于合理可控区间，以高质量发展持续提升股东回报。感谢您对公司的关注！</w:t>
            </w:r>
          </w:p>
          <w:p w14:paraId="1719086D">
            <w:pPr>
              <w:numPr>
                <w:ilvl w:val="0"/>
                <w:numId w:val="0"/>
              </w:numPr>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5</w:t>
            </w:r>
            <w:bookmarkStart w:id="0" w:name="_GoBack"/>
            <w:bookmarkEnd w:id="0"/>
            <w:r>
              <w:rPr>
                <w:rFonts w:hint="eastAsia" w:ascii="仿宋_GB2312" w:eastAsia="仿宋_GB2312"/>
                <w:b/>
                <w:bCs/>
                <w:sz w:val="28"/>
                <w:szCs w:val="28"/>
                <w:lang w:val="en-US" w:eastAsia="zh-CN"/>
              </w:rPr>
              <w:t>.王总您好，近期中巴联合声明重点推进矿业合作，公司是否已对接巴基斯坦塔尔煤矿、铜矿等项目？有无明确订单、中标意向或落地时间表？俄罗斯、塞尔维亚矿车订单最新进展如何？</w:t>
            </w:r>
          </w:p>
          <w:p w14:paraId="78628546">
            <w:pPr>
              <w:numPr>
                <w:ilvl w:val="0"/>
                <w:numId w:val="0"/>
              </w:numPr>
              <w:ind w:firstLine="560" w:firstLineChars="200"/>
              <w:rPr>
                <w:rFonts w:hint="eastAsia" w:ascii="仿宋_GB2312" w:eastAsia="仿宋_GB2312"/>
                <w:b/>
                <w:bCs/>
                <w:sz w:val="28"/>
                <w:szCs w:val="28"/>
                <w:lang w:val="en-US" w:eastAsia="zh-CN"/>
              </w:rPr>
            </w:pPr>
            <w:r>
              <w:rPr>
                <w:rFonts w:hint="eastAsia" w:ascii="仿宋_GB2312" w:eastAsia="仿宋_GB2312"/>
                <w:sz w:val="28"/>
                <w:szCs w:val="28"/>
              </w:rPr>
              <w:t>答：</w:t>
            </w:r>
            <w:r>
              <w:rPr>
                <w:rFonts w:hint="eastAsia" w:ascii="仿宋_GB2312" w:eastAsia="仿宋_GB2312"/>
                <w:sz w:val="28"/>
                <w:szCs w:val="28"/>
                <w:lang w:val="en-US"/>
              </w:rPr>
              <w:t>尊敬的投资者，您好！公司系列化产品广泛应用于冶金、煤炭、有色、化工、建材、水电、交通基建七大矿业领域，遍布于国内外数百个大型露天矿山。公司积极响应国家“一带一路”倡议，坚定推进国际化发展战略。目前，公司矿用车产品国际市场已拓展至69个国家和地区，海外业务收入占比稳步提升。公司将持续加大国际市场开拓力度，密切跟踪关注最新市场动态，通过“借船出海、借势出海、造船出海”等模式，力争进一步提升海外市场占有率，不断缩小与国际龙头企业的差距。感谢您对公司的关注！</w:t>
            </w:r>
          </w:p>
          <w:p w14:paraId="2BDEAC30">
            <w:pPr>
              <w:numPr>
                <w:ilvl w:val="0"/>
                <w:numId w:val="0"/>
              </w:numPr>
              <w:ind w:firstLine="562" w:firstLineChars="200"/>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6.</w:t>
            </w:r>
            <w:r>
              <w:rPr>
                <w:rFonts w:hint="default" w:ascii="仿宋_GB2312" w:eastAsia="仿宋_GB2312"/>
                <w:b/>
                <w:bCs/>
                <w:sz w:val="28"/>
                <w:szCs w:val="28"/>
                <w:lang w:val="en-US" w:eastAsia="zh-CN"/>
              </w:rPr>
              <w:t>公司2025年归母净利润增速（20.44%）和扣非净利润增速（27.69%）均远高于营收增速（5.28%），请问主要得益于哪些方面的改善？未来这种盈利质量提升的趋势能否保持？</w:t>
            </w:r>
          </w:p>
          <w:p w14:paraId="3E946BAA">
            <w:pPr>
              <w:numPr>
                <w:ilvl w:val="0"/>
                <w:numId w:val="0"/>
              </w:numPr>
              <w:rPr>
                <w:rFonts w:hint="eastAsia" w:ascii="仿宋_GB2312" w:eastAsia="仿宋_GB2312"/>
                <w:sz w:val="28"/>
                <w:szCs w:val="28"/>
                <w:lang w:val="en-US"/>
              </w:rPr>
            </w:pPr>
            <w:r>
              <w:rPr>
                <w:rFonts w:hint="eastAsia" w:ascii="仿宋_GB2312" w:eastAsia="仿宋_GB2312"/>
                <w:b/>
                <w:bCs/>
                <w:sz w:val="28"/>
                <w:szCs w:val="28"/>
                <w:lang w:val="en-US" w:eastAsia="zh-CN"/>
              </w:rPr>
              <w:t xml:space="preserve">    </w:t>
            </w:r>
            <w:r>
              <w:rPr>
                <w:rFonts w:hint="eastAsia" w:ascii="仿宋_GB2312" w:eastAsia="仿宋_GB2312"/>
                <w:sz w:val="28"/>
                <w:szCs w:val="28"/>
              </w:rPr>
              <w:t>答：</w:t>
            </w:r>
            <w:r>
              <w:rPr>
                <w:rFonts w:hint="eastAsia" w:ascii="仿宋_GB2312" w:eastAsia="仿宋_GB2312"/>
                <w:sz w:val="28"/>
                <w:szCs w:val="28"/>
                <w:lang w:val="en-US"/>
              </w:rPr>
              <w:t>尊敬的投资者，您好！2025年公司净利润增速高于营收增速，主要得益于以下三方面的经营改善：1.产品结构持续优化：大型化、电动轮及智能化等高附加值矿车型号销售占比提升，有效拉升整体毛利率；2.精益管控与提质增效：公司深化全面预算管理，依托数字化手段优化生产排程与供应链协同，实现规模化、柔性化生产，期间费用率及单位制造成本稳步下降</w:t>
            </w:r>
            <w:r>
              <w:rPr>
                <w:rFonts w:hint="eastAsia" w:ascii="仿宋_GB2312" w:eastAsia="仿宋_GB2312"/>
                <w:sz w:val="28"/>
                <w:szCs w:val="28"/>
                <w:lang w:val="en-US" w:eastAsia="zh-CN"/>
              </w:rPr>
              <w:t>；</w:t>
            </w:r>
            <w:r>
              <w:rPr>
                <w:rFonts w:hint="eastAsia" w:ascii="仿宋_GB2312" w:eastAsia="仿宋_GB2312"/>
                <w:sz w:val="28"/>
                <w:szCs w:val="28"/>
                <w:lang w:val="en-US"/>
              </w:rPr>
              <w:t>3.业务板块拓展：海外市场积极拓展，同时后市场收入占比有所提升，进一步增厚利润空间。公司将坚定不移贯彻“高端化、智能化、绿色化、国际化”发展战略，持续加大核心技术研发与产品迭代力度，加速海外市场拓展与服务网络建设。通过提质增效与管理创新驱动，公司有望保持盈利能力的稳健向好。感谢您对公司的关注！</w:t>
            </w:r>
          </w:p>
          <w:p w14:paraId="085688ED">
            <w:pPr>
              <w:numPr>
                <w:ilvl w:val="0"/>
                <w:numId w:val="0"/>
              </w:numP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 xml:space="preserve">    7.公司本次推出了“10转增4派3.81元”的丰厚分红预案，请问制定如此高比例转增和分红计划的初衷是什么？</w:t>
            </w:r>
          </w:p>
          <w:p w14:paraId="25D28EC0">
            <w:pPr>
              <w:numPr>
                <w:ilvl w:val="0"/>
                <w:numId w:val="0"/>
              </w:numPr>
              <w:rPr>
                <w:rFonts w:hint="default" w:ascii="仿宋_GB2312" w:eastAsia="仿宋_GB2312"/>
                <w:sz w:val="28"/>
                <w:szCs w:val="28"/>
                <w:lang w:val="en-US" w:eastAsia="zh-CN"/>
              </w:rPr>
            </w:pPr>
            <w:r>
              <w:rPr>
                <w:rFonts w:hint="eastAsia" w:ascii="仿宋_GB2312" w:eastAsia="仿宋_GB2312"/>
                <w:b/>
                <w:bCs/>
                <w:sz w:val="28"/>
                <w:szCs w:val="28"/>
                <w:lang w:val="en-US" w:eastAsia="zh-CN"/>
              </w:rPr>
              <w:t xml:space="preserve">    </w:t>
            </w:r>
            <w:r>
              <w:rPr>
                <w:rFonts w:hint="eastAsia" w:ascii="仿宋_GB2312" w:eastAsia="仿宋_GB2312"/>
                <w:sz w:val="28"/>
                <w:szCs w:val="28"/>
              </w:rPr>
              <w:t>答：</w:t>
            </w:r>
            <w:r>
              <w:rPr>
                <w:rFonts w:hint="eastAsia" w:ascii="仿宋_GB2312" w:eastAsia="仿宋_GB2312"/>
                <w:sz w:val="28"/>
                <w:szCs w:val="28"/>
                <w:lang w:val="en-US"/>
              </w:rPr>
              <w:t>尊敬的投资者，您好！公司制定本次“10转增4派3.81元”方案，主要基于以下初衷：1.践行股东回报，共享发展成果：公司高度重视投资者回报，严格遵循上市公司监管指引及《公司章程》。本次现金分红占归母净利润的30.06%，旨在保持分红政策的连续性与稳定性，切实让广大股东分享公司稳健经营的发展红利。2.优化股本结构，提升股票流动性：资本公积转增股本有助于扩大公司股本规模，优化股权结构，增强股票的市场流动性与活跃度，更好地匹配公司当前的业务体量与发展阶段。3.统筹资金规划，保障长远发展：该方案系董事会综合考量行业趋势、盈利能力、现金流状况及未来战略投入后审慎制定。方案实施不会对公司经营性现金流产生重大影响，亦不影响公司后续在核心技术研发、市场拓展及“高端化、智能化、绿色化、国际化”战略上的持续投入。未来，公司将持续落实“提质增效重回报”行动，聚焦主业高质量发展，努力为投资者创造长期、稳定、合理的投资回报。感谢您对公司的关注！</w:t>
            </w:r>
          </w:p>
        </w:tc>
      </w:tr>
      <w:tr w14:paraId="6391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9" w:type="dxa"/>
            <w:gridSpan w:val="2"/>
            <w:shd w:val="clear" w:color="auto" w:fill="auto"/>
            <w:vAlign w:val="center"/>
          </w:tcPr>
          <w:p w14:paraId="02434886">
            <w:pPr>
              <w:jc w:val="both"/>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rPr>
              <w:t>附件清单（如有）</w:t>
            </w:r>
          </w:p>
        </w:tc>
        <w:tc>
          <w:tcPr>
            <w:tcW w:w="6829" w:type="dxa"/>
            <w:shd w:val="clear" w:color="auto" w:fill="auto"/>
            <w:vAlign w:val="top"/>
          </w:tcPr>
          <w:p w14:paraId="1F88D251">
            <w:pPr>
              <w:rPr>
                <w:rFonts w:ascii="仿宋_GB2312" w:eastAsia="仿宋_GB2312" w:hAnsiTheme="minorHAnsi" w:cstheme="minorBidi"/>
                <w:kern w:val="2"/>
                <w:sz w:val="28"/>
                <w:szCs w:val="28"/>
                <w:lang w:val="en-US" w:eastAsia="zh-CN" w:bidi="ar-SA"/>
              </w:rPr>
            </w:pPr>
            <w:r>
              <w:rPr>
                <w:rFonts w:ascii="仿宋_GB2312" w:eastAsia="仿宋_GB2312"/>
                <w:sz w:val="28"/>
                <w:szCs w:val="28"/>
              </w:rPr>
              <w:t>无</w:t>
            </w:r>
          </w:p>
        </w:tc>
      </w:tr>
      <w:tr w14:paraId="052E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8" w:type="dxa"/>
            <w:gridSpan w:val="3"/>
          </w:tcPr>
          <w:p w14:paraId="16B31DF9">
            <w:pPr>
              <w:jc w:val="left"/>
              <w:rPr>
                <w:rFonts w:hint="eastAsia" w:ascii="仿宋_GB2312" w:eastAsia="仿宋_GB2312"/>
                <w:sz w:val="28"/>
                <w:szCs w:val="28"/>
              </w:rPr>
            </w:pPr>
            <w:r>
              <w:rPr>
                <w:rFonts w:hint="eastAsia" w:ascii="仿宋_GB2312" w:eastAsia="仿宋_GB2312"/>
                <w:sz w:val="28"/>
                <w:szCs w:val="28"/>
                <w:highlight w:val="none"/>
              </w:rPr>
              <w:t>记 录：                     审核：</w:t>
            </w:r>
          </w:p>
        </w:tc>
      </w:tr>
    </w:tbl>
    <w:p w14:paraId="4F988B43">
      <w:pPr>
        <w:ind w:firstLine="1420" w:firstLineChars="444"/>
        <w:rPr>
          <w:rFonts w:ascii="仿宋_GB2312" w:eastAsia="仿宋_GB2312"/>
          <w:sz w:val="32"/>
          <w:szCs w:val="32"/>
        </w:rPr>
      </w:pPr>
    </w:p>
    <w:p w14:paraId="3D528E50"/>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732256"/>
      <w:docPartObj>
        <w:docPartGallery w:val="autotext"/>
      </w:docPartObj>
    </w:sdtPr>
    <w:sdtContent>
      <w:p w14:paraId="23659FF2">
        <w:pPr>
          <w:pStyle w:val="2"/>
          <w:jc w:val="center"/>
        </w:pPr>
        <w:r>
          <w:fldChar w:fldCharType="begin"/>
        </w:r>
        <w:r>
          <w:instrText xml:space="preserve">PAGE   \* MERGEFORMAT</w:instrText>
        </w:r>
        <w:r>
          <w:fldChar w:fldCharType="separate"/>
        </w:r>
        <w:r>
          <w:rPr>
            <w:lang w:val="zh-CN"/>
          </w:rPr>
          <w:t>1</w:t>
        </w:r>
        <w:r>
          <w:fldChar w:fldCharType="end"/>
        </w:r>
      </w:p>
    </w:sdtContent>
  </w:sdt>
  <w:p w14:paraId="4150DE4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jZDI5ZDY2NWE0MGQyYzI2MjVkZTEyY2NmMTM3MDQifQ=="/>
  </w:docVars>
  <w:rsids>
    <w:rsidRoot w:val="008D7926"/>
    <w:rsid w:val="0000165E"/>
    <w:rsid w:val="00015643"/>
    <w:rsid w:val="00024BF4"/>
    <w:rsid w:val="00027CB1"/>
    <w:rsid w:val="00042263"/>
    <w:rsid w:val="000433B9"/>
    <w:rsid w:val="0004762B"/>
    <w:rsid w:val="000507F0"/>
    <w:rsid w:val="00061AB3"/>
    <w:rsid w:val="00066E41"/>
    <w:rsid w:val="000774E7"/>
    <w:rsid w:val="00081250"/>
    <w:rsid w:val="0008240F"/>
    <w:rsid w:val="0008774F"/>
    <w:rsid w:val="0009352D"/>
    <w:rsid w:val="000A34F2"/>
    <w:rsid w:val="000A4930"/>
    <w:rsid w:val="000A7D78"/>
    <w:rsid w:val="000B1B64"/>
    <w:rsid w:val="000B2A0C"/>
    <w:rsid w:val="000B7288"/>
    <w:rsid w:val="000B77F8"/>
    <w:rsid w:val="000C3105"/>
    <w:rsid w:val="000C3F22"/>
    <w:rsid w:val="000C7CB4"/>
    <w:rsid w:val="000D5046"/>
    <w:rsid w:val="000E70D6"/>
    <w:rsid w:val="000F4D13"/>
    <w:rsid w:val="000F59A9"/>
    <w:rsid w:val="00100048"/>
    <w:rsid w:val="001025EE"/>
    <w:rsid w:val="0010760F"/>
    <w:rsid w:val="00113BC4"/>
    <w:rsid w:val="00125D73"/>
    <w:rsid w:val="00127BFF"/>
    <w:rsid w:val="0013211F"/>
    <w:rsid w:val="001435F2"/>
    <w:rsid w:val="00155AC2"/>
    <w:rsid w:val="00170BDD"/>
    <w:rsid w:val="001745B6"/>
    <w:rsid w:val="00176B59"/>
    <w:rsid w:val="001927A0"/>
    <w:rsid w:val="0019348E"/>
    <w:rsid w:val="001A60DD"/>
    <w:rsid w:val="001B39E3"/>
    <w:rsid w:val="001B67CE"/>
    <w:rsid w:val="001C131A"/>
    <w:rsid w:val="001D4418"/>
    <w:rsid w:val="001D5063"/>
    <w:rsid w:val="001D510A"/>
    <w:rsid w:val="001D5E6E"/>
    <w:rsid w:val="001D72A6"/>
    <w:rsid w:val="001E289E"/>
    <w:rsid w:val="001E4F27"/>
    <w:rsid w:val="001E60FD"/>
    <w:rsid w:val="00205C5B"/>
    <w:rsid w:val="00224394"/>
    <w:rsid w:val="00242954"/>
    <w:rsid w:val="00242C9B"/>
    <w:rsid w:val="00261F16"/>
    <w:rsid w:val="00266023"/>
    <w:rsid w:val="00282771"/>
    <w:rsid w:val="00284A5B"/>
    <w:rsid w:val="002961F0"/>
    <w:rsid w:val="002A1E81"/>
    <w:rsid w:val="002B26DA"/>
    <w:rsid w:val="002B42C8"/>
    <w:rsid w:val="002B4875"/>
    <w:rsid w:val="002B68FC"/>
    <w:rsid w:val="002C0774"/>
    <w:rsid w:val="002C3300"/>
    <w:rsid w:val="002C471E"/>
    <w:rsid w:val="002C504B"/>
    <w:rsid w:val="002C6080"/>
    <w:rsid w:val="002D7B9B"/>
    <w:rsid w:val="002E60FC"/>
    <w:rsid w:val="00306498"/>
    <w:rsid w:val="00317C27"/>
    <w:rsid w:val="003245A5"/>
    <w:rsid w:val="00325CBB"/>
    <w:rsid w:val="00332D90"/>
    <w:rsid w:val="00334B9E"/>
    <w:rsid w:val="0034305F"/>
    <w:rsid w:val="003444A3"/>
    <w:rsid w:val="00344CD3"/>
    <w:rsid w:val="00351604"/>
    <w:rsid w:val="00357A28"/>
    <w:rsid w:val="0036089D"/>
    <w:rsid w:val="00376AB7"/>
    <w:rsid w:val="00391E65"/>
    <w:rsid w:val="003B2D9C"/>
    <w:rsid w:val="003B5361"/>
    <w:rsid w:val="003D3169"/>
    <w:rsid w:val="004106CE"/>
    <w:rsid w:val="00417E3F"/>
    <w:rsid w:val="00423417"/>
    <w:rsid w:val="00426DAE"/>
    <w:rsid w:val="004415B2"/>
    <w:rsid w:val="0044297C"/>
    <w:rsid w:val="00453A73"/>
    <w:rsid w:val="0045662C"/>
    <w:rsid w:val="004570EF"/>
    <w:rsid w:val="00461171"/>
    <w:rsid w:val="004636BE"/>
    <w:rsid w:val="00473A34"/>
    <w:rsid w:val="004751F4"/>
    <w:rsid w:val="00482768"/>
    <w:rsid w:val="004917DD"/>
    <w:rsid w:val="00492F49"/>
    <w:rsid w:val="004A03CE"/>
    <w:rsid w:val="004A3118"/>
    <w:rsid w:val="004C0459"/>
    <w:rsid w:val="004C5CF4"/>
    <w:rsid w:val="004E3C02"/>
    <w:rsid w:val="004E5272"/>
    <w:rsid w:val="004F77E8"/>
    <w:rsid w:val="00502408"/>
    <w:rsid w:val="00540475"/>
    <w:rsid w:val="00543A43"/>
    <w:rsid w:val="00544319"/>
    <w:rsid w:val="005535A3"/>
    <w:rsid w:val="0056303C"/>
    <w:rsid w:val="00565F48"/>
    <w:rsid w:val="00572320"/>
    <w:rsid w:val="00581AE1"/>
    <w:rsid w:val="0058638B"/>
    <w:rsid w:val="00593ED0"/>
    <w:rsid w:val="005962C0"/>
    <w:rsid w:val="005A38EA"/>
    <w:rsid w:val="005A5BA8"/>
    <w:rsid w:val="005B00B4"/>
    <w:rsid w:val="005C4690"/>
    <w:rsid w:val="005E5DA2"/>
    <w:rsid w:val="005F16BD"/>
    <w:rsid w:val="005F18F6"/>
    <w:rsid w:val="00605C29"/>
    <w:rsid w:val="0061449D"/>
    <w:rsid w:val="006171F2"/>
    <w:rsid w:val="00621937"/>
    <w:rsid w:val="0062634C"/>
    <w:rsid w:val="00630EF1"/>
    <w:rsid w:val="00631992"/>
    <w:rsid w:val="00632D93"/>
    <w:rsid w:val="00645D1C"/>
    <w:rsid w:val="006466F1"/>
    <w:rsid w:val="0066186A"/>
    <w:rsid w:val="00664E26"/>
    <w:rsid w:val="00666C5B"/>
    <w:rsid w:val="00672F97"/>
    <w:rsid w:val="0068219C"/>
    <w:rsid w:val="00686067"/>
    <w:rsid w:val="00691933"/>
    <w:rsid w:val="006955DC"/>
    <w:rsid w:val="006A31A0"/>
    <w:rsid w:val="006B02F6"/>
    <w:rsid w:val="006D1B81"/>
    <w:rsid w:val="006D23BC"/>
    <w:rsid w:val="006D3708"/>
    <w:rsid w:val="006D6719"/>
    <w:rsid w:val="006E4B7D"/>
    <w:rsid w:val="007008EA"/>
    <w:rsid w:val="00702B80"/>
    <w:rsid w:val="00703F67"/>
    <w:rsid w:val="0071594B"/>
    <w:rsid w:val="0072579A"/>
    <w:rsid w:val="007277F6"/>
    <w:rsid w:val="00736A7E"/>
    <w:rsid w:val="00752268"/>
    <w:rsid w:val="00753CBE"/>
    <w:rsid w:val="0077439B"/>
    <w:rsid w:val="00785A97"/>
    <w:rsid w:val="00786301"/>
    <w:rsid w:val="00792176"/>
    <w:rsid w:val="00793727"/>
    <w:rsid w:val="007A2FA7"/>
    <w:rsid w:val="007A411F"/>
    <w:rsid w:val="007B1511"/>
    <w:rsid w:val="007B2C26"/>
    <w:rsid w:val="007C15D3"/>
    <w:rsid w:val="007C3253"/>
    <w:rsid w:val="007C4CC6"/>
    <w:rsid w:val="007C5003"/>
    <w:rsid w:val="007C66E2"/>
    <w:rsid w:val="007D11BB"/>
    <w:rsid w:val="007D6D52"/>
    <w:rsid w:val="007E0BF5"/>
    <w:rsid w:val="007E0ECB"/>
    <w:rsid w:val="007E1E9A"/>
    <w:rsid w:val="00804446"/>
    <w:rsid w:val="00817E3B"/>
    <w:rsid w:val="00825940"/>
    <w:rsid w:val="008306B5"/>
    <w:rsid w:val="0083119B"/>
    <w:rsid w:val="00831420"/>
    <w:rsid w:val="00833FFA"/>
    <w:rsid w:val="0084322E"/>
    <w:rsid w:val="0084559F"/>
    <w:rsid w:val="008461DF"/>
    <w:rsid w:val="008549AF"/>
    <w:rsid w:val="008555A8"/>
    <w:rsid w:val="0087318C"/>
    <w:rsid w:val="008A6AA4"/>
    <w:rsid w:val="008B62FB"/>
    <w:rsid w:val="008C0B33"/>
    <w:rsid w:val="008D09D6"/>
    <w:rsid w:val="008D7289"/>
    <w:rsid w:val="008D7926"/>
    <w:rsid w:val="008E0CC7"/>
    <w:rsid w:val="0090413E"/>
    <w:rsid w:val="00907ABF"/>
    <w:rsid w:val="00926AE7"/>
    <w:rsid w:val="00934233"/>
    <w:rsid w:val="00943B84"/>
    <w:rsid w:val="009748D1"/>
    <w:rsid w:val="009770D2"/>
    <w:rsid w:val="009932DA"/>
    <w:rsid w:val="009A1E1F"/>
    <w:rsid w:val="009A75AA"/>
    <w:rsid w:val="009B7A77"/>
    <w:rsid w:val="009D0760"/>
    <w:rsid w:val="009E0A42"/>
    <w:rsid w:val="009E5BD0"/>
    <w:rsid w:val="009E6DBA"/>
    <w:rsid w:val="00A13C00"/>
    <w:rsid w:val="00A361EE"/>
    <w:rsid w:val="00A36BBF"/>
    <w:rsid w:val="00A47126"/>
    <w:rsid w:val="00A63D65"/>
    <w:rsid w:val="00A714A2"/>
    <w:rsid w:val="00A77DFE"/>
    <w:rsid w:val="00A82FAE"/>
    <w:rsid w:val="00A83EED"/>
    <w:rsid w:val="00A857FE"/>
    <w:rsid w:val="00A945CB"/>
    <w:rsid w:val="00A979B5"/>
    <w:rsid w:val="00AA0C8B"/>
    <w:rsid w:val="00AA39FB"/>
    <w:rsid w:val="00AD0319"/>
    <w:rsid w:val="00AE6A88"/>
    <w:rsid w:val="00B26719"/>
    <w:rsid w:val="00B352CF"/>
    <w:rsid w:val="00B4064C"/>
    <w:rsid w:val="00B44D11"/>
    <w:rsid w:val="00B50EB9"/>
    <w:rsid w:val="00B54F47"/>
    <w:rsid w:val="00B5746F"/>
    <w:rsid w:val="00B7055E"/>
    <w:rsid w:val="00B70C31"/>
    <w:rsid w:val="00B73474"/>
    <w:rsid w:val="00B80958"/>
    <w:rsid w:val="00B83992"/>
    <w:rsid w:val="00B848B9"/>
    <w:rsid w:val="00B8524D"/>
    <w:rsid w:val="00B90C38"/>
    <w:rsid w:val="00BA0846"/>
    <w:rsid w:val="00BB4DB7"/>
    <w:rsid w:val="00BD4854"/>
    <w:rsid w:val="00BE1848"/>
    <w:rsid w:val="00BE4A17"/>
    <w:rsid w:val="00BF558D"/>
    <w:rsid w:val="00C00DE1"/>
    <w:rsid w:val="00C07448"/>
    <w:rsid w:val="00C22DF9"/>
    <w:rsid w:val="00C23666"/>
    <w:rsid w:val="00C26D50"/>
    <w:rsid w:val="00C723A8"/>
    <w:rsid w:val="00C73321"/>
    <w:rsid w:val="00C73EE3"/>
    <w:rsid w:val="00C800D2"/>
    <w:rsid w:val="00C802E7"/>
    <w:rsid w:val="00C82CB6"/>
    <w:rsid w:val="00C82E42"/>
    <w:rsid w:val="00CB0E5E"/>
    <w:rsid w:val="00CD52B5"/>
    <w:rsid w:val="00CE6B43"/>
    <w:rsid w:val="00CE760E"/>
    <w:rsid w:val="00CF143D"/>
    <w:rsid w:val="00CF45BB"/>
    <w:rsid w:val="00CF4DAC"/>
    <w:rsid w:val="00D02CA0"/>
    <w:rsid w:val="00D04635"/>
    <w:rsid w:val="00D058BE"/>
    <w:rsid w:val="00D07DFD"/>
    <w:rsid w:val="00D14192"/>
    <w:rsid w:val="00D15D3E"/>
    <w:rsid w:val="00D27601"/>
    <w:rsid w:val="00D378AF"/>
    <w:rsid w:val="00D4128F"/>
    <w:rsid w:val="00D41826"/>
    <w:rsid w:val="00D55A78"/>
    <w:rsid w:val="00D561A9"/>
    <w:rsid w:val="00D6046C"/>
    <w:rsid w:val="00D61DB6"/>
    <w:rsid w:val="00D63414"/>
    <w:rsid w:val="00D63F55"/>
    <w:rsid w:val="00D64F7B"/>
    <w:rsid w:val="00D736B8"/>
    <w:rsid w:val="00D7588B"/>
    <w:rsid w:val="00D8440D"/>
    <w:rsid w:val="00D9117E"/>
    <w:rsid w:val="00D91750"/>
    <w:rsid w:val="00DC0AA7"/>
    <w:rsid w:val="00DC204E"/>
    <w:rsid w:val="00DC2F61"/>
    <w:rsid w:val="00DC3094"/>
    <w:rsid w:val="00DC5E69"/>
    <w:rsid w:val="00DD685A"/>
    <w:rsid w:val="00DE4BB0"/>
    <w:rsid w:val="00DF02DD"/>
    <w:rsid w:val="00DF6A2F"/>
    <w:rsid w:val="00DF72EC"/>
    <w:rsid w:val="00E019E9"/>
    <w:rsid w:val="00E03011"/>
    <w:rsid w:val="00E179FD"/>
    <w:rsid w:val="00E23A3F"/>
    <w:rsid w:val="00E34D26"/>
    <w:rsid w:val="00E518C2"/>
    <w:rsid w:val="00E536D6"/>
    <w:rsid w:val="00E60D3A"/>
    <w:rsid w:val="00E67B7D"/>
    <w:rsid w:val="00E76401"/>
    <w:rsid w:val="00E76842"/>
    <w:rsid w:val="00E81D13"/>
    <w:rsid w:val="00E872DF"/>
    <w:rsid w:val="00E9104E"/>
    <w:rsid w:val="00E94653"/>
    <w:rsid w:val="00EA28FB"/>
    <w:rsid w:val="00EA7122"/>
    <w:rsid w:val="00EB236A"/>
    <w:rsid w:val="00EB7B7D"/>
    <w:rsid w:val="00EC0876"/>
    <w:rsid w:val="00EC31CE"/>
    <w:rsid w:val="00EC6200"/>
    <w:rsid w:val="00EC6FBC"/>
    <w:rsid w:val="00ED07D3"/>
    <w:rsid w:val="00EE20E0"/>
    <w:rsid w:val="00EF7291"/>
    <w:rsid w:val="00F02624"/>
    <w:rsid w:val="00F22A8A"/>
    <w:rsid w:val="00F25475"/>
    <w:rsid w:val="00F37E78"/>
    <w:rsid w:val="00F513F6"/>
    <w:rsid w:val="00F77BCE"/>
    <w:rsid w:val="00F82FD0"/>
    <w:rsid w:val="00F92E66"/>
    <w:rsid w:val="00F96BB0"/>
    <w:rsid w:val="00FA0A5C"/>
    <w:rsid w:val="00FA1E30"/>
    <w:rsid w:val="00FA6F76"/>
    <w:rsid w:val="00FB1236"/>
    <w:rsid w:val="00FC4DA7"/>
    <w:rsid w:val="00FD6489"/>
    <w:rsid w:val="00FE4538"/>
    <w:rsid w:val="00FF3B03"/>
    <w:rsid w:val="00FF6313"/>
    <w:rsid w:val="056C04C2"/>
    <w:rsid w:val="06DA69AD"/>
    <w:rsid w:val="08B5501B"/>
    <w:rsid w:val="0FED14FF"/>
    <w:rsid w:val="104F3F68"/>
    <w:rsid w:val="10D66437"/>
    <w:rsid w:val="14190981"/>
    <w:rsid w:val="15453B8B"/>
    <w:rsid w:val="1763479D"/>
    <w:rsid w:val="19742C91"/>
    <w:rsid w:val="1ACB1674"/>
    <w:rsid w:val="1F9E45C4"/>
    <w:rsid w:val="21F973DC"/>
    <w:rsid w:val="24016E10"/>
    <w:rsid w:val="24E862E1"/>
    <w:rsid w:val="26A133F3"/>
    <w:rsid w:val="290336EA"/>
    <w:rsid w:val="2C1339EB"/>
    <w:rsid w:val="2CFC6DCE"/>
    <w:rsid w:val="312561D0"/>
    <w:rsid w:val="32274521"/>
    <w:rsid w:val="336D241A"/>
    <w:rsid w:val="37D921E5"/>
    <w:rsid w:val="3C003E02"/>
    <w:rsid w:val="3D107EC3"/>
    <w:rsid w:val="3F14371F"/>
    <w:rsid w:val="4489315A"/>
    <w:rsid w:val="4A023347"/>
    <w:rsid w:val="4B72052F"/>
    <w:rsid w:val="4C72455F"/>
    <w:rsid w:val="4E6F51FA"/>
    <w:rsid w:val="56FC33A3"/>
    <w:rsid w:val="57CA34A1"/>
    <w:rsid w:val="5F1D242D"/>
    <w:rsid w:val="63EF2643"/>
    <w:rsid w:val="6448538E"/>
    <w:rsid w:val="6A4946F9"/>
    <w:rsid w:val="6C2B2308"/>
    <w:rsid w:val="72981DFA"/>
    <w:rsid w:val="739F538A"/>
    <w:rsid w:val="7CF46746"/>
    <w:rsid w:val="7D2F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uiPriority w:val="99"/>
    <w:rPr>
      <w:sz w:val="18"/>
      <w:szCs w:val="18"/>
    </w:rPr>
  </w:style>
  <w:style w:type="character" w:customStyle="1" w:styleId="8">
    <w:name w:val="页眉 Char"/>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3543</Words>
  <Characters>3700</Characters>
  <Lines>8</Lines>
  <Paragraphs>2</Paragraphs>
  <TotalTime>2</TotalTime>
  <ScaleCrop>false</ScaleCrop>
  <LinksUpToDate>false</LinksUpToDate>
  <CharactersWithSpaces>3822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2024-05-21T06:47:00Z</dcterms:created>
  <dc:creator>Administrator</dc:creator>
  <cp:lastModifiedBy>WPS_1671153966</cp:lastModifiedBy>
  <dcterms:modified xsi:type="dcterms:W3CDTF">2026-05-29T08:45:26Z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104267E3D6674479AD4E870C7268A5BC_12</vt:lpwstr>
  </property>
  <property fmtid="{D5CDD505-2E9C-101B-9397-08002B2CF9AE}" pid="4" name="KSOTemplateDocerSaveRecord">
    <vt:lpwstr>eyJoZGlkIjoiYTc0MGQ0NGUxMGRmM2Y3ZmExMTllNGUxOTRhOTYyNDAiLCJ1c2VySWQiOiIxNDU4OTMwNzgwIn0=</vt:lpwstr>
  </property>
</Properties>
</file>