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BC30" w14:textId="6B39702A" w:rsidR="00ED79BD" w:rsidRPr="004810FC" w:rsidRDefault="00C436A7">
      <w:pPr>
        <w:spacing w:line="360" w:lineRule="auto"/>
        <w:jc w:val="center"/>
        <w:rPr>
          <w:rFonts w:eastAsiaTheme="minorEastAsia"/>
          <w:bCs/>
          <w:iCs/>
          <w:color w:val="000000"/>
          <w:sz w:val="32"/>
          <w:szCs w:val="40"/>
        </w:rPr>
      </w:pPr>
      <w:r>
        <w:rPr>
          <w:rFonts w:eastAsiaTheme="minorEastAsia" w:hint="eastAsia"/>
          <w:bCs/>
          <w:iCs/>
          <w:color w:val="000000"/>
          <w:sz w:val="32"/>
          <w:szCs w:val="40"/>
        </w:rPr>
        <w:t>包头天和磁材科技股份有限公司</w:t>
      </w:r>
    </w:p>
    <w:p w14:paraId="7F7469DB" w14:textId="77777777" w:rsidR="00ED79BD" w:rsidRPr="004810FC" w:rsidRDefault="00000000">
      <w:pPr>
        <w:spacing w:line="360" w:lineRule="auto"/>
        <w:jc w:val="center"/>
        <w:rPr>
          <w:rFonts w:eastAsiaTheme="minorEastAsia"/>
          <w:bCs/>
          <w:iCs/>
          <w:color w:val="000000"/>
          <w:sz w:val="32"/>
          <w:szCs w:val="40"/>
        </w:rPr>
      </w:pPr>
      <w:r w:rsidRPr="004810FC">
        <w:rPr>
          <w:rFonts w:eastAsiaTheme="minorEastAsia"/>
          <w:bCs/>
          <w:iCs/>
          <w:color w:val="000000"/>
          <w:sz w:val="32"/>
          <w:szCs w:val="40"/>
        </w:rPr>
        <w:t>投资者关系活动记录表</w:t>
      </w:r>
    </w:p>
    <w:p w14:paraId="300DF078" w14:textId="3E88CE2E" w:rsidR="00ED79BD" w:rsidRPr="004810FC" w:rsidRDefault="00000000">
      <w:pPr>
        <w:spacing w:line="360" w:lineRule="auto"/>
        <w:jc w:val="right"/>
        <w:rPr>
          <w:rFonts w:eastAsiaTheme="minorEastAsia"/>
          <w:bCs/>
          <w:iCs/>
          <w:color w:val="000000"/>
          <w:sz w:val="22"/>
          <w:szCs w:val="28"/>
        </w:rPr>
      </w:pPr>
      <w:r w:rsidRPr="004810FC">
        <w:rPr>
          <w:rFonts w:eastAsiaTheme="minorEastAsia"/>
          <w:bCs/>
          <w:iCs/>
          <w:color w:val="000000"/>
          <w:sz w:val="22"/>
          <w:szCs w:val="28"/>
        </w:rPr>
        <w:t xml:space="preserve">                                                  </w:t>
      </w:r>
      <w:r w:rsidRPr="004810FC">
        <w:rPr>
          <w:rFonts w:eastAsiaTheme="minorEastAsia"/>
          <w:bCs/>
          <w:iCs/>
          <w:color w:val="000000"/>
          <w:sz w:val="22"/>
          <w:szCs w:val="28"/>
        </w:rPr>
        <w:t>编号：</w:t>
      </w:r>
      <w:r w:rsidR="00C436A7">
        <w:rPr>
          <w:rFonts w:eastAsiaTheme="minorEastAsia" w:hint="eastAsia"/>
          <w:bCs/>
          <w:iCs/>
          <w:color w:val="000000"/>
          <w:sz w:val="22"/>
          <w:szCs w:val="28"/>
        </w:rPr>
        <w:t>202</w:t>
      </w:r>
      <w:r w:rsidR="00B32939">
        <w:rPr>
          <w:rFonts w:eastAsiaTheme="minorEastAsia" w:hint="eastAsia"/>
          <w:bCs/>
          <w:iCs/>
          <w:color w:val="000000"/>
          <w:sz w:val="22"/>
          <w:szCs w:val="28"/>
        </w:rPr>
        <w:t>6</w:t>
      </w:r>
      <w:r w:rsidR="00D67BB9">
        <w:rPr>
          <w:rFonts w:eastAsiaTheme="minorEastAsia" w:hint="eastAsia"/>
          <w:bCs/>
          <w:iCs/>
          <w:color w:val="000000"/>
          <w:sz w:val="22"/>
          <w:szCs w:val="28"/>
        </w:rPr>
        <w:t>-0</w:t>
      </w:r>
      <w:r w:rsidR="00B32939">
        <w:rPr>
          <w:rFonts w:eastAsiaTheme="minorEastAsia" w:hint="eastAsia"/>
          <w:bCs/>
          <w:iCs/>
          <w:color w:val="000000"/>
          <w:sz w:val="22"/>
          <w:szCs w:val="28"/>
        </w:rPr>
        <w:t>2</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089"/>
      </w:tblGrid>
      <w:tr w:rsidR="00ED79BD" w:rsidRPr="004810FC" w14:paraId="2266C2F8"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1CEF374"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投资者关系活动类别</w:t>
            </w:r>
          </w:p>
          <w:p w14:paraId="1B5E6409" w14:textId="77777777" w:rsidR="00ED79BD" w:rsidRPr="004810FC" w:rsidRDefault="00ED79BD">
            <w:pPr>
              <w:spacing w:line="360" w:lineRule="auto"/>
              <w:rPr>
                <w:rFonts w:eastAsiaTheme="minorEastAsia"/>
                <w:bCs/>
                <w:iCs/>
                <w:color w:val="000000"/>
                <w:sz w:val="24"/>
                <w:szCs w:val="24"/>
              </w:rPr>
            </w:pPr>
          </w:p>
        </w:tc>
        <w:tc>
          <w:tcPr>
            <w:tcW w:w="3909" w:type="pct"/>
            <w:tcBorders>
              <w:top w:val="single" w:sz="4" w:space="0" w:color="auto"/>
              <w:left w:val="single" w:sz="4" w:space="0" w:color="auto"/>
              <w:bottom w:val="single" w:sz="4" w:space="0" w:color="auto"/>
              <w:right w:val="single" w:sz="4" w:space="0" w:color="auto"/>
            </w:tcBorders>
            <w:vAlign w:val="center"/>
          </w:tcPr>
          <w:p w14:paraId="0F307E45" w14:textId="37CFD7A6" w:rsidR="00ED79BD" w:rsidRPr="004810FC" w:rsidRDefault="00762EE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00B56BFE" w:rsidRPr="004810FC">
              <w:rPr>
                <w:rFonts w:eastAsiaTheme="minorEastAsia"/>
                <w:bCs/>
                <w:iCs/>
                <w:color w:val="000000"/>
                <w:sz w:val="24"/>
                <w:szCs w:val="24"/>
              </w:rPr>
              <w:t>特定对象调研</w:t>
            </w:r>
            <w:r w:rsidR="00B56BFE"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00B56BFE">
              <w:rPr>
                <w:rFonts w:eastAsiaTheme="minorEastAsia"/>
                <w:bCs/>
                <w:iCs/>
                <w:color w:val="000000"/>
                <w:sz w:val="24"/>
                <w:szCs w:val="24"/>
              </w:rPr>
              <w:t xml:space="preserve"> </w:t>
            </w:r>
            <w:r w:rsidR="00B56BFE" w:rsidRPr="00B56BFE">
              <w:rPr>
                <w:rFonts w:eastAsiaTheme="minorEastAsia" w:hint="eastAsia"/>
                <w:bCs/>
                <w:iCs/>
                <w:color w:val="000000"/>
                <w:sz w:val="24"/>
                <w:szCs w:val="24"/>
              </w:rPr>
              <w:t>□</w:t>
            </w:r>
            <w:r w:rsidR="00B56BFE" w:rsidRPr="004810FC">
              <w:rPr>
                <w:rFonts w:eastAsiaTheme="minorEastAsia"/>
                <w:bCs/>
                <w:iCs/>
                <w:color w:val="000000"/>
                <w:sz w:val="24"/>
                <w:szCs w:val="24"/>
              </w:rPr>
              <w:t>分析师会议</w:t>
            </w:r>
          </w:p>
          <w:p w14:paraId="5268DE1A" w14:textId="050B510C" w:rsidR="00ED79BD" w:rsidRPr="004810FC" w:rsidRDefault="00B56BFE">
            <w:pPr>
              <w:spacing w:line="360" w:lineRule="auto"/>
              <w:rPr>
                <w:rFonts w:eastAsiaTheme="minorEastAsia"/>
                <w:bCs/>
                <w:iCs/>
                <w:color w:val="000000"/>
                <w:sz w:val="24"/>
                <w:szCs w:val="24"/>
              </w:rPr>
            </w:pPr>
            <w:bookmarkStart w:id="0" w:name="OLE_LINK1"/>
            <w:r w:rsidRPr="00B56BFE">
              <w:rPr>
                <w:rFonts w:eastAsiaTheme="minorEastAsia" w:hint="eastAsia"/>
                <w:bCs/>
                <w:iCs/>
                <w:color w:val="000000"/>
                <w:sz w:val="24"/>
                <w:szCs w:val="24"/>
              </w:rPr>
              <w:t>□</w:t>
            </w:r>
            <w:bookmarkEnd w:id="0"/>
            <w:r w:rsidRPr="004810FC">
              <w:rPr>
                <w:rFonts w:eastAsiaTheme="minorEastAsia"/>
                <w:bCs/>
                <w:iCs/>
                <w:color w:val="000000"/>
                <w:sz w:val="24"/>
                <w:szCs w:val="24"/>
              </w:rPr>
              <w:t>媒体采访</w:t>
            </w:r>
            <w:r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Pr="004810FC">
              <w:rPr>
                <w:rFonts w:eastAsiaTheme="minorEastAsia"/>
                <w:bCs/>
                <w:iCs/>
                <w:color w:val="000000"/>
                <w:sz w:val="24"/>
                <w:szCs w:val="24"/>
              </w:rPr>
              <w:t xml:space="preserve"> </w:t>
            </w:r>
            <w:r w:rsidR="00B806C7" w:rsidRPr="00B56BFE">
              <w:rPr>
                <w:rFonts w:eastAsiaTheme="minorEastAsia" w:hint="eastAsia"/>
                <w:bCs/>
                <w:iCs/>
                <w:color w:val="000000"/>
                <w:sz w:val="24"/>
                <w:szCs w:val="24"/>
              </w:rPr>
              <w:t>□</w:t>
            </w:r>
            <w:r w:rsidRPr="004810FC">
              <w:rPr>
                <w:rFonts w:eastAsiaTheme="minorEastAsia"/>
                <w:bCs/>
                <w:iCs/>
                <w:color w:val="000000"/>
                <w:sz w:val="24"/>
                <w:szCs w:val="24"/>
              </w:rPr>
              <w:t>业绩说明会</w:t>
            </w:r>
          </w:p>
          <w:p w14:paraId="1C1D7EC3" w14:textId="7E7C9003"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新闻发布会</w:t>
            </w:r>
            <w:r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Pr="00B56BFE">
              <w:rPr>
                <w:rFonts w:eastAsiaTheme="minorEastAsia" w:hint="eastAsia"/>
                <w:bCs/>
                <w:iCs/>
                <w:color w:val="000000"/>
                <w:sz w:val="24"/>
                <w:szCs w:val="24"/>
              </w:rPr>
              <w:t>□</w:t>
            </w:r>
            <w:r w:rsidRPr="004810FC">
              <w:rPr>
                <w:rFonts w:eastAsiaTheme="minorEastAsia"/>
                <w:bCs/>
                <w:iCs/>
                <w:color w:val="000000"/>
                <w:sz w:val="24"/>
                <w:szCs w:val="24"/>
              </w:rPr>
              <w:t>路演活动</w:t>
            </w:r>
          </w:p>
          <w:p w14:paraId="3294C739" w14:textId="771688C7" w:rsidR="00ED79BD" w:rsidRPr="004810FC" w:rsidRDefault="00762EEE">
            <w:pPr>
              <w:spacing w:line="360" w:lineRule="auto"/>
              <w:rPr>
                <w:rFonts w:eastAsiaTheme="minorEastAsia"/>
                <w:bCs/>
                <w:iCs/>
                <w:color w:val="000000"/>
                <w:sz w:val="24"/>
                <w:szCs w:val="24"/>
              </w:rPr>
            </w:pPr>
            <w:r w:rsidRPr="004810FC">
              <w:rPr>
                <w:rFonts w:eastAsiaTheme="minorEastAsia"/>
                <w:bCs/>
                <w:iCs/>
                <w:color w:val="000000"/>
                <w:sz w:val="24"/>
                <w:szCs w:val="24"/>
              </w:rPr>
              <w:sym w:font="Wingdings 2" w:char="F052"/>
            </w:r>
            <w:r w:rsidR="00B56BFE" w:rsidRPr="004810FC">
              <w:rPr>
                <w:rFonts w:eastAsiaTheme="minorEastAsia"/>
                <w:bCs/>
                <w:iCs/>
                <w:color w:val="000000"/>
                <w:sz w:val="24"/>
                <w:szCs w:val="24"/>
              </w:rPr>
              <w:t>现场参观</w:t>
            </w:r>
            <w:r w:rsidR="00B56BFE" w:rsidRPr="004810FC">
              <w:rPr>
                <w:rFonts w:eastAsiaTheme="minorEastAsia"/>
                <w:bCs/>
                <w:iCs/>
                <w:color w:val="000000"/>
                <w:sz w:val="24"/>
                <w:szCs w:val="24"/>
              </w:rPr>
              <w:tab/>
            </w:r>
          </w:p>
          <w:p w14:paraId="10AB9B05" w14:textId="13025904" w:rsidR="00ED79BD" w:rsidRPr="004810FC" w:rsidRDefault="00762EEE">
            <w:pPr>
              <w:spacing w:line="360" w:lineRule="auto"/>
              <w:rPr>
                <w:rFonts w:eastAsiaTheme="minorEastAsia"/>
                <w:bCs/>
                <w:iCs/>
                <w:color w:val="000000"/>
                <w:sz w:val="24"/>
                <w:szCs w:val="24"/>
              </w:rPr>
            </w:pPr>
            <w:r w:rsidRPr="004810FC">
              <w:rPr>
                <w:rFonts w:eastAsiaTheme="minorEastAsia"/>
                <w:bCs/>
                <w:iCs/>
                <w:color w:val="000000"/>
                <w:sz w:val="24"/>
                <w:szCs w:val="24"/>
              </w:rPr>
              <w:sym w:font="Wingdings 2" w:char="F052"/>
            </w:r>
            <w:r w:rsidR="00B56BFE" w:rsidRPr="004810FC">
              <w:rPr>
                <w:rFonts w:eastAsiaTheme="minorEastAsia"/>
                <w:bCs/>
                <w:iCs/>
                <w:color w:val="000000"/>
                <w:sz w:val="24"/>
                <w:szCs w:val="24"/>
              </w:rPr>
              <w:t>其他</w:t>
            </w:r>
            <w:r>
              <w:rPr>
                <w:rFonts w:eastAsiaTheme="minorEastAsia" w:hint="eastAsia"/>
                <w:bCs/>
                <w:iCs/>
                <w:color w:val="000000"/>
                <w:sz w:val="24"/>
                <w:szCs w:val="24"/>
              </w:rPr>
              <w:t>（</w:t>
            </w:r>
            <w:r w:rsidR="005129A6" w:rsidRPr="005129A6">
              <w:rPr>
                <w:rFonts w:eastAsiaTheme="minorEastAsia"/>
                <w:bCs/>
                <w:iCs/>
                <w:color w:val="000000"/>
                <w:sz w:val="24"/>
                <w:szCs w:val="24"/>
              </w:rPr>
              <w:t>“</w:t>
            </w:r>
            <w:r w:rsidR="005129A6" w:rsidRPr="005129A6">
              <w:rPr>
                <w:rFonts w:eastAsiaTheme="minorEastAsia"/>
                <w:bCs/>
                <w:iCs/>
                <w:color w:val="000000"/>
                <w:sz w:val="24"/>
                <w:szCs w:val="24"/>
              </w:rPr>
              <w:t>我是股东</w:t>
            </w:r>
            <w:r w:rsidR="005129A6" w:rsidRPr="005129A6">
              <w:rPr>
                <w:rFonts w:eastAsiaTheme="minorEastAsia"/>
                <w:bCs/>
                <w:iCs/>
                <w:color w:val="000000"/>
                <w:sz w:val="24"/>
                <w:szCs w:val="24"/>
              </w:rPr>
              <w:t>”</w:t>
            </w:r>
            <w:r w:rsidR="005129A6" w:rsidRPr="005129A6">
              <w:rPr>
                <w:rFonts w:eastAsiaTheme="minorEastAsia"/>
                <w:bCs/>
                <w:iCs/>
                <w:color w:val="000000"/>
                <w:sz w:val="24"/>
                <w:szCs w:val="24"/>
              </w:rPr>
              <w:t>走进沪市上市公司活动</w:t>
            </w:r>
            <w:r>
              <w:rPr>
                <w:rFonts w:eastAsiaTheme="minorEastAsia" w:hint="eastAsia"/>
                <w:bCs/>
                <w:iCs/>
                <w:color w:val="000000"/>
                <w:sz w:val="24"/>
                <w:szCs w:val="24"/>
              </w:rPr>
              <w:t>）</w:t>
            </w:r>
          </w:p>
        </w:tc>
      </w:tr>
      <w:tr w:rsidR="00ED79BD" w:rsidRPr="004810FC" w14:paraId="0F7970E5"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5B5267C1" w14:textId="3CACA0EE"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参与单位名称</w:t>
            </w:r>
          </w:p>
        </w:tc>
        <w:tc>
          <w:tcPr>
            <w:tcW w:w="3909" w:type="pct"/>
            <w:tcBorders>
              <w:top w:val="single" w:sz="4" w:space="0" w:color="auto"/>
              <w:left w:val="single" w:sz="4" w:space="0" w:color="auto"/>
              <w:bottom w:val="single" w:sz="4" w:space="0" w:color="auto"/>
              <w:right w:val="single" w:sz="4" w:space="0" w:color="auto"/>
            </w:tcBorders>
            <w:vAlign w:val="center"/>
          </w:tcPr>
          <w:p w14:paraId="036331C8" w14:textId="00C9E4E9" w:rsidR="00ED79BD" w:rsidRPr="00EB4FB9" w:rsidRDefault="00C8285C" w:rsidP="006635CF">
            <w:pPr>
              <w:spacing w:line="360" w:lineRule="auto"/>
              <w:rPr>
                <w:rFonts w:eastAsiaTheme="minorEastAsia"/>
                <w:bCs/>
                <w:iCs/>
                <w:color w:val="000000"/>
                <w:sz w:val="24"/>
                <w:szCs w:val="24"/>
              </w:rPr>
            </w:pPr>
            <w:r w:rsidRPr="00C8285C">
              <w:rPr>
                <w:rFonts w:eastAsiaTheme="minorEastAsia"/>
                <w:bCs/>
                <w:iCs/>
                <w:color w:val="000000"/>
                <w:sz w:val="24"/>
                <w:szCs w:val="24"/>
              </w:rPr>
              <w:t>东方财富证券股份有限公司</w:t>
            </w:r>
            <w:r w:rsidR="005E723E">
              <w:rPr>
                <w:rFonts w:eastAsiaTheme="minorEastAsia" w:hint="eastAsia"/>
                <w:bCs/>
                <w:iCs/>
                <w:color w:val="000000"/>
                <w:sz w:val="24"/>
                <w:szCs w:val="24"/>
              </w:rPr>
              <w:t>、</w:t>
            </w:r>
            <w:r w:rsidR="005E723E" w:rsidRPr="005E723E">
              <w:rPr>
                <w:rFonts w:eastAsiaTheme="minorEastAsia"/>
                <w:bCs/>
                <w:iCs/>
                <w:color w:val="000000"/>
                <w:sz w:val="24"/>
                <w:szCs w:val="24"/>
              </w:rPr>
              <w:t>北京祥东投资管理有限公司</w:t>
            </w:r>
            <w:r w:rsidR="005E723E">
              <w:rPr>
                <w:rFonts w:eastAsiaTheme="minorEastAsia" w:hint="eastAsia"/>
                <w:bCs/>
                <w:iCs/>
                <w:color w:val="000000"/>
                <w:sz w:val="24"/>
                <w:szCs w:val="24"/>
              </w:rPr>
              <w:t>、</w:t>
            </w:r>
            <w:r w:rsidR="00247FF5" w:rsidRPr="00247FF5">
              <w:rPr>
                <w:rFonts w:eastAsiaTheme="minorEastAsia"/>
                <w:bCs/>
                <w:iCs/>
                <w:color w:val="000000"/>
                <w:sz w:val="24"/>
                <w:szCs w:val="24"/>
              </w:rPr>
              <w:t>内蒙古伯纳程私募基金管理有限公司</w:t>
            </w:r>
            <w:r w:rsidR="00B36B7A">
              <w:rPr>
                <w:rFonts w:eastAsiaTheme="minorEastAsia" w:hint="eastAsia"/>
                <w:bCs/>
                <w:iCs/>
                <w:color w:val="000000"/>
                <w:sz w:val="24"/>
                <w:szCs w:val="24"/>
              </w:rPr>
              <w:t>、</w:t>
            </w:r>
            <w:r w:rsidR="00B36B7A" w:rsidRPr="00B36B7A">
              <w:rPr>
                <w:rFonts w:eastAsiaTheme="minorEastAsia"/>
                <w:bCs/>
                <w:iCs/>
                <w:color w:val="000000"/>
                <w:sz w:val="24"/>
                <w:szCs w:val="24"/>
              </w:rPr>
              <w:t>证券日报</w:t>
            </w:r>
            <w:r w:rsidR="00CE4E49">
              <w:rPr>
                <w:rFonts w:eastAsiaTheme="minorEastAsia" w:hint="eastAsia"/>
                <w:bCs/>
                <w:iCs/>
                <w:color w:val="000000"/>
                <w:sz w:val="24"/>
                <w:szCs w:val="24"/>
              </w:rPr>
              <w:t>及个人投资者</w:t>
            </w:r>
          </w:p>
        </w:tc>
      </w:tr>
      <w:tr w:rsidR="00ED79BD" w:rsidRPr="004810FC" w14:paraId="0E6AB2F7"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40ECAD40"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时间</w:t>
            </w:r>
          </w:p>
        </w:tc>
        <w:tc>
          <w:tcPr>
            <w:tcW w:w="3909" w:type="pct"/>
            <w:tcBorders>
              <w:top w:val="single" w:sz="4" w:space="0" w:color="auto"/>
              <w:left w:val="single" w:sz="4" w:space="0" w:color="auto"/>
              <w:bottom w:val="single" w:sz="4" w:space="0" w:color="auto"/>
              <w:right w:val="single" w:sz="4" w:space="0" w:color="auto"/>
            </w:tcBorders>
            <w:vAlign w:val="center"/>
          </w:tcPr>
          <w:p w14:paraId="52BF4298" w14:textId="70B316C6" w:rsidR="00ED79BD" w:rsidRPr="004810FC" w:rsidRDefault="00C436A7">
            <w:pPr>
              <w:spacing w:line="360" w:lineRule="auto"/>
              <w:rPr>
                <w:rFonts w:eastAsiaTheme="minorEastAsia"/>
                <w:bCs/>
                <w:iCs/>
                <w:color w:val="000000"/>
                <w:sz w:val="24"/>
                <w:szCs w:val="24"/>
              </w:rPr>
            </w:pPr>
            <w:r>
              <w:rPr>
                <w:rFonts w:eastAsiaTheme="minorEastAsia" w:hint="eastAsia"/>
                <w:bCs/>
                <w:iCs/>
                <w:sz w:val="24"/>
                <w:szCs w:val="24"/>
              </w:rPr>
              <w:t>202</w:t>
            </w:r>
            <w:r w:rsidR="00B32939">
              <w:rPr>
                <w:rFonts w:eastAsiaTheme="minorEastAsia" w:hint="eastAsia"/>
                <w:bCs/>
                <w:iCs/>
                <w:sz w:val="24"/>
                <w:szCs w:val="24"/>
              </w:rPr>
              <w:t>6</w:t>
            </w:r>
            <w:r>
              <w:rPr>
                <w:rFonts w:eastAsiaTheme="minorEastAsia" w:hint="eastAsia"/>
                <w:bCs/>
                <w:iCs/>
                <w:sz w:val="24"/>
                <w:szCs w:val="24"/>
              </w:rPr>
              <w:t>年</w:t>
            </w:r>
            <w:r w:rsidR="00B32939">
              <w:rPr>
                <w:rFonts w:eastAsiaTheme="minorEastAsia" w:hint="eastAsia"/>
                <w:bCs/>
                <w:iCs/>
                <w:sz w:val="24"/>
                <w:szCs w:val="24"/>
              </w:rPr>
              <w:t>5</w:t>
            </w:r>
            <w:r>
              <w:rPr>
                <w:rFonts w:eastAsiaTheme="minorEastAsia" w:hint="eastAsia"/>
                <w:bCs/>
                <w:iCs/>
                <w:sz w:val="24"/>
                <w:szCs w:val="24"/>
              </w:rPr>
              <w:t>月</w:t>
            </w:r>
            <w:r w:rsidR="00B32939">
              <w:rPr>
                <w:rFonts w:eastAsiaTheme="minorEastAsia" w:hint="eastAsia"/>
                <w:bCs/>
                <w:iCs/>
                <w:sz w:val="24"/>
                <w:szCs w:val="24"/>
              </w:rPr>
              <w:t>26</w:t>
            </w:r>
            <w:r>
              <w:rPr>
                <w:rFonts w:eastAsiaTheme="minorEastAsia" w:hint="eastAsia"/>
                <w:bCs/>
                <w:iCs/>
                <w:sz w:val="24"/>
                <w:szCs w:val="24"/>
              </w:rPr>
              <w:t>日</w:t>
            </w:r>
          </w:p>
        </w:tc>
      </w:tr>
      <w:tr w:rsidR="00ED79BD" w:rsidRPr="004810FC" w14:paraId="04DAEB94"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E6056DE"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地点</w:t>
            </w:r>
          </w:p>
        </w:tc>
        <w:tc>
          <w:tcPr>
            <w:tcW w:w="3909" w:type="pct"/>
            <w:tcBorders>
              <w:top w:val="single" w:sz="4" w:space="0" w:color="auto"/>
              <w:left w:val="single" w:sz="4" w:space="0" w:color="auto"/>
              <w:bottom w:val="single" w:sz="4" w:space="0" w:color="auto"/>
              <w:right w:val="single" w:sz="4" w:space="0" w:color="auto"/>
            </w:tcBorders>
            <w:vAlign w:val="center"/>
          </w:tcPr>
          <w:p w14:paraId="40F151C6" w14:textId="12605BD3" w:rsidR="00ED79BD" w:rsidRPr="000C6659" w:rsidRDefault="003E779F">
            <w:pPr>
              <w:spacing w:line="360" w:lineRule="auto"/>
              <w:rPr>
                <w:rFonts w:eastAsiaTheme="minorEastAsia"/>
                <w:bCs/>
                <w:iCs/>
                <w:color w:val="000000"/>
                <w:sz w:val="24"/>
                <w:szCs w:val="24"/>
              </w:rPr>
            </w:pPr>
            <w:r>
              <w:rPr>
                <w:rFonts w:eastAsiaTheme="minorEastAsia" w:hint="eastAsia"/>
                <w:bCs/>
                <w:iCs/>
                <w:color w:val="000000"/>
                <w:sz w:val="24"/>
                <w:szCs w:val="24"/>
              </w:rPr>
              <w:t>公司会议室</w:t>
            </w:r>
          </w:p>
        </w:tc>
      </w:tr>
      <w:tr w:rsidR="00ED79BD" w:rsidRPr="004810FC" w14:paraId="13DECDFC"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5D8C4DA7"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上市公司接待人员姓名</w:t>
            </w:r>
          </w:p>
        </w:tc>
        <w:tc>
          <w:tcPr>
            <w:tcW w:w="3909" w:type="pct"/>
            <w:tcBorders>
              <w:top w:val="single" w:sz="4" w:space="0" w:color="auto"/>
              <w:left w:val="single" w:sz="4" w:space="0" w:color="auto"/>
              <w:bottom w:val="single" w:sz="4" w:space="0" w:color="auto"/>
              <w:right w:val="single" w:sz="4" w:space="0" w:color="auto"/>
            </w:tcBorders>
            <w:vAlign w:val="center"/>
          </w:tcPr>
          <w:p w14:paraId="1EC781A4" w14:textId="582BFCBD" w:rsidR="00BA2BDA" w:rsidRDefault="00C436A7">
            <w:pPr>
              <w:spacing w:line="360" w:lineRule="auto"/>
              <w:rPr>
                <w:rFonts w:eastAsiaTheme="minorEastAsia"/>
                <w:bCs/>
                <w:iCs/>
                <w:color w:val="000000"/>
                <w:sz w:val="24"/>
                <w:szCs w:val="24"/>
              </w:rPr>
            </w:pPr>
            <w:r>
              <w:rPr>
                <w:rFonts w:eastAsiaTheme="minorEastAsia" w:hint="eastAsia"/>
                <w:bCs/>
                <w:iCs/>
                <w:color w:val="000000"/>
                <w:sz w:val="24"/>
                <w:szCs w:val="24"/>
              </w:rPr>
              <w:t>董事会秘书</w:t>
            </w:r>
            <w:r w:rsidR="000C6659">
              <w:rPr>
                <w:rFonts w:eastAsiaTheme="minorEastAsia" w:hint="eastAsia"/>
                <w:bCs/>
                <w:iCs/>
                <w:color w:val="000000"/>
                <w:sz w:val="24"/>
                <w:szCs w:val="24"/>
              </w:rPr>
              <w:t>：</w:t>
            </w:r>
            <w:r w:rsidR="00B32939">
              <w:rPr>
                <w:rFonts w:eastAsiaTheme="minorEastAsia" w:hint="eastAsia"/>
                <w:bCs/>
                <w:iCs/>
                <w:color w:val="000000"/>
                <w:sz w:val="24"/>
                <w:szCs w:val="24"/>
              </w:rPr>
              <w:t>吴志刚</w:t>
            </w:r>
          </w:p>
          <w:p w14:paraId="6A8BE50B" w14:textId="6CF7102A" w:rsidR="00462C19" w:rsidRPr="004810FC" w:rsidRDefault="002D2319">
            <w:pPr>
              <w:spacing w:line="360" w:lineRule="auto"/>
              <w:rPr>
                <w:rFonts w:eastAsiaTheme="minorEastAsia"/>
                <w:bCs/>
                <w:iCs/>
                <w:color w:val="000000"/>
                <w:sz w:val="24"/>
                <w:szCs w:val="24"/>
              </w:rPr>
            </w:pPr>
            <w:r>
              <w:rPr>
                <w:rFonts w:eastAsiaTheme="minorEastAsia" w:hint="eastAsia"/>
                <w:bCs/>
                <w:iCs/>
                <w:color w:val="000000"/>
                <w:sz w:val="24"/>
                <w:szCs w:val="24"/>
              </w:rPr>
              <w:t>证券事务</w:t>
            </w:r>
            <w:r w:rsidR="00276F72">
              <w:rPr>
                <w:rFonts w:eastAsiaTheme="minorEastAsia" w:hint="eastAsia"/>
                <w:bCs/>
                <w:iCs/>
                <w:color w:val="000000"/>
                <w:sz w:val="24"/>
                <w:szCs w:val="24"/>
              </w:rPr>
              <w:t>部</w:t>
            </w:r>
            <w:r w:rsidR="003E779F">
              <w:rPr>
                <w:rFonts w:eastAsiaTheme="minorEastAsia" w:hint="eastAsia"/>
                <w:bCs/>
                <w:iCs/>
                <w:color w:val="000000"/>
                <w:sz w:val="24"/>
                <w:szCs w:val="24"/>
              </w:rPr>
              <w:t>工作</w:t>
            </w:r>
            <w:r>
              <w:rPr>
                <w:rFonts w:eastAsiaTheme="minorEastAsia" w:hint="eastAsia"/>
                <w:bCs/>
                <w:iCs/>
                <w:color w:val="000000"/>
                <w:sz w:val="24"/>
                <w:szCs w:val="24"/>
              </w:rPr>
              <w:t>人员</w:t>
            </w:r>
          </w:p>
        </w:tc>
      </w:tr>
      <w:tr w:rsidR="00782C0D" w:rsidRPr="004810FC" w14:paraId="5546492F"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6591011B"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投资者关系活动主要内容介绍</w:t>
            </w:r>
          </w:p>
        </w:tc>
        <w:tc>
          <w:tcPr>
            <w:tcW w:w="3909" w:type="pct"/>
            <w:tcBorders>
              <w:top w:val="single" w:sz="4" w:space="0" w:color="auto"/>
              <w:left w:val="single" w:sz="4" w:space="0" w:color="auto"/>
              <w:bottom w:val="single" w:sz="4" w:space="0" w:color="auto"/>
              <w:right w:val="single" w:sz="4" w:space="0" w:color="auto"/>
            </w:tcBorders>
          </w:tcPr>
          <w:p w14:paraId="51E954A4" w14:textId="77777777" w:rsidR="007655DF" w:rsidRPr="00605FDB" w:rsidRDefault="007655DF" w:rsidP="005F74CD">
            <w:pPr>
              <w:spacing w:line="360" w:lineRule="auto"/>
              <w:rPr>
                <w:rFonts w:eastAsiaTheme="minorEastAsia"/>
                <w:b/>
                <w:bCs/>
                <w:sz w:val="24"/>
                <w:szCs w:val="24"/>
              </w:rPr>
            </w:pPr>
            <w:r w:rsidRPr="00605FDB">
              <w:rPr>
                <w:rFonts w:eastAsiaTheme="minorEastAsia" w:hint="eastAsia"/>
                <w:b/>
                <w:bCs/>
                <w:sz w:val="24"/>
                <w:szCs w:val="24"/>
              </w:rPr>
              <w:t>一、介绍公司情况</w:t>
            </w:r>
          </w:p>
          <w:p w14:paraId="6B5BF5A8" w14:textId="5B637C1B" w:rsidR="00C75F8E" w:rsidRPr="007655DF" w:rsidRDefault="007655DF" w:rsidP="005F74CD">
            <w:pPr>
              <w:pStyle w:val="Style6"/>
              <w:spacing w:line="360" w:lineRule="auto"/>
              <w:ind w:firstLineChars="0" w:firstLine="0"/>
              <w:rPr>
                <w:rFonts w:ascii="Times New Roman" w:hAnsi="Times New Roman"/>
                <w:bCs/>
                <w:sz w:val="24"/>
                <w:szCs w:val="24"/>
              </w:rPr>
            </w:pPr>
            <w:r w:rsidRPr="007655DF">
              <w:rPr>
                <w:rFonts w:ascii="Times New Roman" w:hAnsi="Times New Roman" w:hint="eastAsia"/>
                <w:bCs/>
                <w:sz w:val="24"/>
                <w:szCs w:val="24"/>
              </w:rPr>
              <w:t>公司董事会秘书</w:t>
            </w:r>
            <w:r w:rsidR="00BC00A0">
              <w:rPr>
                <w:rFonts w:ascii="Times New Roman" w:hAnsi="Times New Roman" w:hint="eastAsia"/>
                <w:bCs/>
                <w:sz w:val="24"/>
                <w:szCs w:val="24"/>
              </w:rPr>
              <w:t>吴志刚</w:t>
            </w:r>
            <w:r w:rsidRPr="007655DF">
              <w:rPr>
                <w:rFonts w:ascii="Times New Roman" w:hAnsi="Times New Roman" w:hint="eastAsia"/>
                <w:bCs/>
                <w:sz w:val="24"/>
                <w:szCs w:val="24"/>
              </w:rPr>
              <w:t>先生介绍了公司</w:t>
            </w:r>
            <w:r w:rsidR="00BC00A0" w:rsidRPr="00BC00A0">
              <w:rPr>
                <w:rFonts w:ascii="Times New Roman" w:hAnsi="Times New Roman"/>
                <w:bCs/>
                <w:sz w:val="24"/>
                <w:szCs w:val="24"/>
              </w:rPr>
              <w:t>发展历程、主要产品、主要客户、核心优势</w:t>
            </w:r>
            <w:r w:rsidR="00BC00A0">
              <w:rPr>
                <w:rFonts w:ascii="Times New Roman" w:hAnsi="Times New Roman" w:hint="eastAsia"/>
                <w:bCs/>
                <w:sz w:val="24"/>
                <w:szCs w:val="24"/>
              </w:rPr>
              <w:t>、未来发展规划</w:t>
            </w:r>
            <w:r w:rsidR="00BC00A0" w:rsidRPr="00BC00A0">
              <w:rPr>
                <w:rFonts w:ascii="Times New Roman" w:hAnsi="Times New Roman"/>
                <w:bCs/>
                <w:sz w:val="24"/>
                <w:szCs w:val="24"/>
              </w:rPr>
              <w:t>等公司基本情况</w:t>
            </w:r>
            <w:r w:rsidRPr="007655DF">
              <w:rPr>
                <w:rFonts w:ascii="Times New Roman" w:hAnsi="Times New Roman" w:hint="eastAsia"/>
                <w:bCs/>
                <w:sz w:val="24"/>
                <w:szCs w:val="24"/>
              </w:rPr>
              <w:t>。</w:t>
            </w:r>
          </w:p>
          <w:p w14:paraId="0037221D" w14:textId="3BAC7B8F" w:rsidR="007655DF" w:rsidRDefault="007655DF" w:rsidP="005F74CD">
            <w:pPr>
              <w:pStyle w:val="Style6"/>
              <w:spacing w:line="360" w:lineRule="auto"/>
              <w:ind w:firstLineChars="0" w:firstLine="0"/>
              <w:rPr>
                <w:rFonts w:ascii="Times New Roman" w:hAnsi="Times New Roman"/>
                <w:b/>
                <w:sz w:val="24"/>
                <w:szCs w:val="24"/>
              </w:rPr>
            </w:pPr>
            <w:r w:rsidRPr="00605FDB">
              <w:rPr>
                <w:rFonts w:eastAsiaTheme="minorEastAsia" w:hint="eastAsia"/>
                <w:b/>
                <w:bCs/>
                <w:sz w:val="24"/>
                <w:szCs w:val="24"/>
              </w:rPr>
              <w:t>二、</w:t>
            </w:r>
            <w:r w:rsidR="00C83F51">
              <w:rPr>
                <w:rFonts w:eastAsiaTheme="minorEastAsia" w:hint="eastAsia"/>
                <w:b/>
                <w:bCs/>
                <w:sz w:val="24"/>
                <w:szCs w:val="24"/>
              </w:rPr>
              <w:t>互动交流主要内容</w:t>
            </w:r>
          </w:p>
          <w:p w14:paraId="42D0D4A2" w14:textId="16FF869C" w:rsidR="00300E4E" w:rsidRDefault="00300E4E" w:rsidP="005F74CD">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1</w:t>
            </w:r>
            <w:r w:rsidRPr="001F6D08">
              <w:rPr>
                <w:rFonts w:ascii="Times New Roman" w:hAnsi="Times New Roman"/>
                <w:b/>
                <w:sz w:val="24"/>
                <w:szCs w:val="24"/>
              </w:rPr>
              <w:t>、</w:t>
            </w:r>
            <w:r w:rsidRPr="004E6A66">
              <w:rPr>
                <w:rFonts w:ascii="Times New Roman" w:hAnsi="Times New Roman" w:hint="eastAsia"/>
                <w:b/>
                <w:sz w:val="24"/>
                <w:szCs w:val="24"/>
              </w:rPr>
              <w:t>公司</w:t>
            </w:r>
            <w:r>
              <w:rPr>
                <w:rFonts w:ascii="Times New Roman" w:hAnsi="Times New Roman" w:hint="eastAsia"/>
                <w:b/>
                <w:sz w:val="24"/>
                <w:szCs w:val="24"/>
              </w:rPr>
              <w:t>2025</w:t>
            </w:r>
            <w:r>
              <w:rPr>
                <w:rFonts w:ascii="Times New Roman" w:hAnsi="Times New Roman" w:hint="eastAsia"/>
                <w:b/>
                <w:sz w:val="24"/>
                <w:szCs w:val="24"/>
              </w:rPr>
              <w:t>年度及</w:t>
            </w:r>
            <w:r>
              <w:rPr>
                <w:rFonts w:ascii="Times New Roman" w:hAnsi="Times New Roman" w:hint="eastAsia"/>
                <w:b/>
                <w:sz w:val="24"/>
                <w:szCs w:val="24"/>
              </w:rPr>
              <w:t>2026</w:t>
            </w:r>
            <w:r w:rsidR="008407E5">
              <w:rPr>
                <w:rFonts w:ascii="Times New Roman" w:hAnsi="Times New Roman" w:hint="eastAsia"/>
                <w:b/>
                <w:sz w:val="24"/>
                <w:szCs w:val="24"/>
              </w:rPr>
              <w:t>年</w:t>
            </w:r>
            <w:r>
              <w:rPr>
                <w:rFonts w:ascii="Times New Roman" w:hAnsi="Times New Roman" w:hint="eastAsia"/>
                <w:b/>
                <w:sz w:val="24"/>
                <w:szCs w:val="24"/>
              </w:rPr>
              <w:t>一季度业绩如何？</w:t>
            </w:r>
          </w:p>
          <w:p w14:paraId="5DF536EC" w14:textId="017F1F25" w:rsidR="00300E4E" w:rsidRDefault="00300E4E" w:rsidP="005F74CD">
            <w:pPr>
              <w:pStyle w:val="Style6"/>
              <w:spacing w:line="360" w:lineRule="auto"/>
              <w:ind w:firstLineChars="0" w:firstLine="0"/>
              <w:rPr>
                <w:rFonts w:ascii="Times New Roman" w:hAnsi="Times New Roman" w:hint="eastAsia"/>
                <w:b/>
                <w:sz w:val="24"/>
                <w:szCs w:val="24"/>
              </w:rPr>
            </w:pPr>
            <w:r>
              <w:rPr>
                <w:rFonts w:ascii="Times New Roman" w:hAnsi="Times New Roman" w:hint="eastAsia"/>
                <w:sz w:val="24"/>
                <w:szCs w:val="24"/>
              </w:rPr>
              <w:t>答：</w:t>
            </w:r>
            <w:r w:rsidR="00AB3165" w:rsidRPr="00AB3165">
              <w:rPr>
                <w:rFonts w:ascii="Times New Roman" w:hAnsi="Times New Roman"/>
                <w:sz w:val="24"/>
                <w:szCs w:val="24"/>
              </w:rPr>
              <w:t>2025</w:t>
            </w:r>
            <w:r w:rsidR="00AB3165" w:rsidRPr="00AB3165">
              <w:rPr>
                <w:rFonts w:ascii="Times New Roman" w:hAnsi="Times New Roman"/>
                <w:sz w:val="24"/>
                <w:szCs w:val="24"/>
              </w:rPr>
              <w:t>年，公司实现营业收入</w:t>
            </w:r>
            <w:r w:rsidR="00AB3165" w:rsidRPr="00AB3165">
              <w:rPr>
                <w:rFonts w:ascii="Times New Roman" w:hAnsi="Times New Roman"/>
                <w:sz w:val="24"/>
                <w:szCs w:val="24"/>
              </w:rPr>
              <w:t>23.45</w:t>
            </w:r>
            <w:r w:rsidR="00AB3165" w:rsidRPr="00AB3165">
              <w:rPr>
                <w:rFonts w:ascii="Times New Roman" w:hAnsi="Times New Roman"/>
                <w:sz w:val="24"/>
                <w:szCs w:val="24"/>
              </w:rPr>
              <w:t>亿元，归属于上市公司股东的净利润</w:t>
            </w:r>
            <w:r w:rsidR="00AB3165" w:rsidRPr="00AB3165">
              <w:rPr>
                <w:rFonts w:ascii="Times New Roman" w:hAnsi="Times New Roman"/>
                <w:sz w:val="24"/>
                <w:szCs w:val="24"/>
              </w:rPr>
              <w:t>1.61</w:t>
            </w:r>
            <w:r w:rsidR="00AB3165" w:rsidRPr="00AB3165">
              <w:rPr>
                <w:rFonts w:ascii="Times New Roman" w:hAnsi="Times New Roman"/>
                <w:sz w:val="24"/>
                <w:szCs w:val="24"/>
              </w:rPr>
              <w:t>亿元，同比增长</w:t>
            </w:r>
            <w:r w:rsidR="00AB3165" w:rsidRPr="00AB3165">
              <w:rPr>
                <w:rFonts w:ascii="Times New Roman" w:hAnsi="Times New Roman"/>
                <w:sz w:val="24"/>
                <w:szCs w:val="24"/>
              </w:rPr>
              <w:t>18.43%</w:t>
            </w:r>
            <w:r w:rsidR="00AB3165" w:rsidRPr="00AB3165">
              <w:rPr>
                <w:rFonts w:ascii="Times New Roman" w:hAnsi="Times New Roman"/>
                <w:sz w:val="24"/>
                <w:szCs w:val="24"/>
              </w:rPr>
              <w:t>。</w:t>
            </w:r>
            <w:r w:rsidR="00AB3165" w:rsidRPr="00AB3165">
              <w:rPr>
                <w:rFonts w:ascii="Times New Roman" w:hAnsi="Times New Roman"/>
                <w:sz w:val="24"/>
                <w:szCs w:val="24"/>
              </w:rPr>
              <w:t>2026</w:t>
            </w:r>
            <w:r w:rsidR="00AB3165" w:rsidRPr="00AB3165">
              <w:rPr>
                <w:rFonts w:ascii="Times New Roman" w:hAnsi="Times New Roman"/>
                <w:sz w:val="24"/>
                <w:szCs w:val="24"/>
              </w:rPr>
              <w:t>年一季度延续增长态势，实现营业收入</w:t>
            </w:r>
            <w:r w:rsidR="00AB3165" w:rsidRPr="00AB3165">
              <w:rPr>
                <w:rFonts w:ascii="Times New Roman" w:hAnsi="Times New Roman"/>
                <w:sz w:val="24"/>
                <w:szCs w:val="24"/>
              </w:rPr>
              <w:t>5.94</w:t>
            </w:r>
            <w:r w:rsidR="00AB3165" w:rsidRPr="00AB3165">
              <w:rPr>
                <w:rFonts w:ascii="Times New Roman" w:hAnsi="Times New Roman"/>
                <w:sz w:val="24"/>
                <w:szCs w:val="24"/>
              </w:rPr>
              <w:t>亿元，同比增长</w:t>
            </w:r>
            <w:r w:rsidR="00AB3165" w:rsidRPr="00AB3165">
              <w:rPr>
                <w:rFonts w:ascii="Times New Roman" w:hAnsi="Times New Roman"/>
                <w:sz w:val="24"/>
                <w:szCs w:val="24"/>
              </w:rPr>
              <w:t>13.12%</w:t>
            </w:r>
            <w:r w:rsidR="00AB3165" w:rsidRPr="00AB3165">
              <w:rPr>
                <w:rFonts w:ascii="Times New Roman" w:hAnsi="Times New Roman"/>
                <w:sz w:val="24"/>
                <w:szCs w:val="24"/>
              </w:rPr>
              <w:t>；净利润</w:t>
            </w:r>
            <w:r w:rsidR="00AB3165" w:rsidRPr="00AB3165">
              <w:rPr>
                <w:rFonts w:ascii="Times New Roman" w:hAnsi="Times New Roman"/>
                <w:sz w:val="24"/>
                <w:szCs w:val="24"/>
              </w:rPr>
              <w:t>4787.3</w:t>
            </w:r>
            <w:r w:rsidR="00AB3165" w:rsidRPr="00AB3165">
              <w:rPr>
                <w:rFonts w:ascii="Times New Roman" w:hAnsi="Times New Roman"/>
                <w:sz w:val="24"/>
                <w:szCs w:val="24"/>
              </w:rPr>
              <w:t>万元，同比增长</w:t>
            </w:r>
            <w:r w:rsidR="00AB3165" w:rsidRPr="00AB3165">
              <w:rPr>
                <w:rFonts w:ascii="Times New Roman" w:hAnsi="Times New Roman"/>
                <w:sz w:val="24"/>
                <w:szCs w:val="24"/>
              </w:rPr>
              <w:t>33.41%</w:t>
            </w:r>
            <w:r w:rsidR="00AB3165" w:rsidRPr="00AB3165">
              <w:rPr>
                <w:rFonts w:ascii="Times New Roman" w:hAnsi="Times New Roman"/>
                <w:sz w:val="24"/>
                <w:szCs w:val="24"/>
              </w:rPr>
              <w:t>；扣非净利润</w:t>
            </w:r>
            <w:r w:rsidR="00AB3165" w:rsidRPr="00AB3165">
              <w:rPr>
                <w:rFonts w:ascii="Times New Roman" w:hAnsi="Times New Roman"/>
                <w:sz w:val="24"/>
                <w:szCs w:val="24"/>
              </w:rPr>
              <w:t>4545.9</w:t>
            </w:r>
            <w:r w:rsidR="00AB3165" w:rsidRPr="00AB3165">
              <w:rPr>
                <w:rFonts w:ascii="Times New Roman" w:hAnsi="Times New Roman"/>
                <w:sz w:val="24"/>
                <w:szCs w:val="24"/>
              </w:rPr>
              <w:t>万元，同比增长</w:t>
            </w:r>
            <w:r w:rsidR="00AB3165" w:rsidRPr="00AB3165">
              <w:rPr>
                <w:rFonts w:ascii="Times New Roman" w:hAnsi="Times New Roman"/>
                <w:sz w:val="24"/>
                <w:szCs w:val="24"/>
              </w:rPr>
              <w:t>126.20%</w:t>
            </w:r>
            <w:r w:rsidR="00AB3165" w:rsidRPr="00AB3165">
              <w:rPr>
                <w:rFonts w:ascii="Times New Roman" w:hAnsi="Times New Roman"/>
                <w:sz w:val="24"/>
                <w:szCs w:val="24"/>
              </w:rPr>
              <w:t>。</w:t>
            </w:r>
          </w:p>
          <w:p w14:paraId="3557D61D" w14:textId="0EB7B958" w:rsidR="00494F19" w:rsidRDefault="00AB3165" w:rsidP="005F74CD">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2</w:t>
            </w:r>
            <w:r w:rsidR="00825F84" w:rsidRPr="001F6D08">
              <w:rPr>
                <w:rFonts w:ascii="Times New Roman" w:hAnsi="Times New Roman"/>
                <w:b/>
                <w:sz w:val="24"/>
                <w:szCs w:val="24"/>
              </w:rPr>
              <w:t>、</w:t>
            </w:r>
            <w:r w:rsidRPr="00AB3165">
              <w:rPr>
                <w:rFonts w:ascii="Times New Roman" w:hAnsi="Times New Roman"/>
                <w:b/>
                <w:sz w:val="24"/>
                <w:szCs w:val="24"/>
              </w:rPr>
              <w:t>公司海外业务开展情况如何？</w:t>
            </w:r>
          </w:p>
          <w:p w14:paraId="5D55AEFE" w14:textId="69CAAC6C" w:rsidR="00B34ECA" w:rsidRDefault="001E0B3A" w:rsidP="005F74CD">
            <w:pPr>
              <w:pStyle w:val="Style6"/>
              <w:spacing w:line="360" w:lineRule="auto"/>
              <w:ind w:firstLineChars="0" w:firstLine="0"/>
              <w:rPr>
                <w:rFonts w:ascii="Times New Roman" w:hAnsi="Times New Roman"/>
                <w:sz w:val="24"/>
                <w:szCs w:val="24"/>
              </w:rPr>
            </w:pPr>
            <w:r>
              <w:rPr>
                <w:rFonts w:ascii="Times New Roman" w:hAnsi="Times New Roman" w:hint="eastAsia"/>
                <w:sz w:val="24"/>
                <w:szCs w:val="24"/>
              </w:rPr>
              <w:t>答：</w:t>
            </w:r>
            <w:r w:rsidR="00B34ECA">
              <w:rPr>
                <w:rFonts w:ascii="Times New Roman" w:hAnsi="Times New Roman" w:hint="eastAsia"/>
                <w:sz w:val="24"/>
                <w:szCs w:val="24"/>
              </w:rPr>
              <w:t>2025</w:t>
            </w:r>
            <w:r w:rsidR="00B34ECA">
              <w:rPr>
                <w:rFonts w:ascii="Times New Roman" w:hAnsi="Times New Roman" w:hint="eastAsia"/>
                <w:sz w:val="24"/>
                <w:szCs w:val="24"/>
              </w:rPr>
              <w:t>年，</w:t>
            </w:r>
            <w:r w:rsidR="00B34ECA" w:rsidRPr="00B34ECA">
              <w:rPr>
                <w:rFonts w:ascii="Times New Roman" w:hAnsi="Times New Roman"/>
                <w:sz w:val="24"/>
                <w:szCs w:val="24"/>
              </w:rPr>
              <w:t>公司国际业务实现营业收入</w:t>
            </w:r>
            <w:r w:rsidR="00B34ECA" w:rsidRPr="00B34ECA">
              <w:rPr>
                <w:rFonts w:ascii="Times New Roman" w:hAnsi="Times New Roman"/>
                <w:sz w:val="24"/>
                <w:szCs w:val="24"/>
              </w:rPr>
              <w:t>103,205.29</w:t>
            </w:r>
            <w:r w:rsidR="00B34ECA" w:rsidRPr="00B34ECA">
              <w:rPr>
                <w:rFonts w:ascii="Times New Roman" w:hAnsi="Times New Roman"/>
                <w:sz w:val="24"/>
                <w:szCs w:val="24"/>
              </w:rPr>
              <w:t>万元，占比</w:t>
            </w:r>
            <w:r w:rsidR="00B34ECA" w:rsidRPr="00B34ECA">
              <w:rPr>
                <w:rFonts w:ascii="Times New Roman" w:hAnsi="Times New Roman"/>
                <w:sz w:val="24"/>
                <w:szCs w:val="24"/>
              </w:rPr>
              <w:t>44.02%</w:t>
            </w:r>
            <w:r w:rsidR="00B34ECA" w:rsidRPr="00B34ECA">
              <w:rPr>
                <w:rFonts w:ascii="Times New Roman" w:hAnsi="Times New Roman"/>
                <w:sz w:val="24"/>
                <w:szCs w:val="24"/>
              </w:rPr>
              <w:t>；国内业务实现收入</w:t>
            </w:r>
            <w:r w:rsidR="00B34ECA" w:rsidRPr="00B34ECA">
              <w:rPr>
                <w:rFonts w:ascii="Times New Roman" w:hAnsi="Times New Roman"/>
                <w:sz w:val="24"/>
                <w:szCs w:val="24"/>
              </w:rPr>
              <w:t>131,250.65</w:t>
            </w:r>
            <w:r w:rsidR="00B34ECA" w:rsidRPr="00B34ECA">
              <w:rPr>
                <w:rFonts w:ascii="Times New Roman" w:hAnsi="Times New Roman"/>
                <w:sz w:val="24"/>
                <w:szCs w:val="24"/>
              </w:rPr>
              <w:t>万元，占比</w:t>
            </w:r>
            <w:r w:rsidR="00B34ECA" w:rsidRPr="00B34ECA">
              <w:rPr>
                <w:rFonts w:ascii="Times New Roman" w:hAnsi="Times New Roman"/>
                <w:sz w:val="24"/>
                <w:szCs w:val="24"/>
              </w:rPr>
              <w:t>55.98%</w:t>
            </w:r>
            <w:r w:rsidR="00B34ECA" w:rsidRPr="00B34ECA">
              <w:rPr>
                <w:rFonts w:ascii="Times New Roman" w:hAnsi="Times New Roman"/>
                <w:sz w:val="24"/>
                <w:szCs w:val="24"/>
              </w:rPr>
              <w:t>。目前公司海外业务主要集中在欧洲。</w:t>
            </w:r>
          </w:p>
          <w:p w14:paraId="59F92FD7" w14:textId="2AD0CF41" w:rsidR="00672846" w:rsidRDefault="00672846" w:rsidP="005F74CD">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3</w:t>
            </w:r>
            <w:r w:rsidRPr="001F6D08">
              <w:rPr>
                <w:rFonts w:ascii="Times New Roman" w:hAnsi="Times New Roman"/>
                <w:b/>
                <w:sz w:val="24"/>
                <w:szCs w:val="24"/>
              </w:rPr>
              <w:t>、</w:t>
            </w:r>
            <w:r w:rsidRPr="00672846">
              <w:rPr>
                <w:rFonts w:ascii="Times New Roman" w:hAnsi="Times New Roman"/>
                <w:b/>
                <w:sz w:val="24"/>
                <w:szCs w:val="24"/>
              </w:rPr>
              <w:t>公司产能利用率怎么样？</w:t>
            </w:r>
            <w:r>
              <w:rPr>
                <w:rFonts w:ascii="Times New Roman" w:hAnsi="Times New Roman" w:hint="eastAsia"/>
                <w:b/>
                <w:sz w:val="24"/>
                <w:szCs w:val="24"/>
              </w:rPr>
              <w:t>募投项目建设和</w:t>
            </w:r>
            <w:r w:rsidRPr="00672846">
              <w:rPr>
                <w:rFonts w:ascii="Times New Roman" w:hAnsi="Times New Roman"/>
                <w:b/>
                <w:sz w:val="24"/>
                <w:szCs w:val="24"/>
              </w:rPr>
              <w:t>产能规划是怎样的？</w:t>
            </w:r>
          </w:p>
          <w:p w14:paraId="49D83285" w14:textId="25F533BD" w:rsidR="00B34ECA" w:rsidRDefault="00672846" w:rsidP="005F74CD">
            <w:pPr>
              <w:pStyle w:val="Style6"/>
              <w:spacing w:line="360" w:lineRule="auto"/>
              <w:ind w:firstLineChars="0" w:firstLine="0"/>
              <w:rPr>
                <w:rFonts w:ascii="Times New Roman" w:hAnsi="Times New Roman" w:hint="eastAsia"/>
                <w:sz w:val="24"/>
                <w:szCs w:val="24"/>
              </w:rPr>
            </w:pPr>
            <w:r>
              <w:rPr>
                <w:rFonts w:ascii="Times New Roman" w:hAnsi="Times New Roman" w:hint="eastAsia"/>
                <w:sz w:val="24"/>
                <w:szCs w:val="24"/>
              </w:rPr>
              <w:t>答：</w:t>
            </w:r>
            <w:r>
              <w:rPr>
                <w:rFonts w:ascii="Times New Roman" w:hAnsi="Times New Roman" w:hint="eastAsia"/>
                <w:sz w:val="24"/>
                <w:szCs w:val="24"/>
              </w:rPr>
              <w:t>2025</w:t>
            </w:r>
            <w:r>
              <w:rPr>
                <w:rFonts w:ascii="Times New Roman" w:hAnsi="Times New Roman" w:hint="eastAsia"/>
                <w:sz w:val="24"/>
                <w:szCs w:val="24"/>
              </w:rPr>
              <w:t>年</w:t>
            </w:r>
            <w:r w:rsidR="00C275F2" w:rsidRPr="00C275F2">
              <w:rPr>
                <w:rFonts w:ascii="Times New Roman" w:hAnsi="Times New Roman" w:hint="eastAsia"/>
                <w:sz w:val="24"/>
                <w:szCs w:val="24"/>
              </w:rPr>
              <w:t>公司产能已达</w:t>
            </w:r>
            <w:r w:rsidR="00C275F2" w:rsidRPr="00C275F2">
              <w:rPr>
                <w:rFonts w:ascii="Times New Roman" w:hAnsi="Times New Roman" w:hint="eastAsia"/>
                <w:sz w:val="24"/>
                <w:szCs w:val="24"/>
              </w:rPr>
              <w:t>9,300</w:t>
            </w:r>
            <w:r w:rsidR="00C275F2" w:rsidRPr="00C275F2">
              <w:rPr>
                <w:rFonts w:ascii="Times New Roman" w:hAnsi="Times New Roman" w:hint="eastAsia"/>
                <w:sz w:val="24"/>
                <w:szCs w:val="24"/>
              </w:rPr>
              <w:t>吨，产能利用率</w:t>
            </w:r>
            <w:r w:rsidR="00C275F2" w:rsidRPr="00C275F2">
              <w:rPr>
                <w:rFonts w:ascii="Times New Roman" w:hAnsi="Times New Roman" w:hint="eastAsia"/>
                <w:sz w:val="24"/>
                <w:szCs w:val="24"/>
              </w:rPr>
              <w:t>98.81%</w:t>
            </w:r>
            <w:r w:rsidR="00C275F2" w:rsidRPr="00C275F2">
              <w:rPr>
                <w:rFonts w:ascii="Times New Roman" w:hAnsi="Times New Roman" w:hint="eastAsia"/>
                <w:sz w:val="24"/>
                <w:szCs w:val="24"/>
              </w:rPr>
              <w:t>。公司大</w:t>
            </w:r>
            <w:r w:rsidR="00C275F2" w:rsidRPr="00C275F2">
              <w:rPr>
                <w:rFonts w:ascii="Times New Roman" w:hAnsi="Times New Roman" w:hint="eastAsia"/>
                <w:sz w:val="24"/>
                <w:szCs w:val="24"/>
              </w:rPr>
              <w:lastRenderedPageBreak/>
              <w:t>力推进募投项目建设，</w:t>
            </w:r>
            <w:r w:rsidR="00C275F2" w:rsidRPr="00C275F2">
              <w:rPr>
                <w:rFonts w:ascii="Times New Roman" w:hAnsi="Times New Roman"/>
                <w:sz w:val="24"/>
                <w:szCs w:val="24"/>
              </w:rPr>
              <w:t>募投项目</w:t>
            </w:r>
            <w:r w:rsidR="00C275F2" w:rsidRPr="00C275F2">
              <w:rPr>
                <w:rFonts w:ascii="Times New Roman" w:hAnsi="Times New Roman"/>
                <w:sz w:val="24"/>
                <w:szCs w:val="24"/>
              </w:rPr>
              <w:t>“</w:t>
            </w:r>
            <w:r w:rsidR="00C275F2" w:rsidRPr="00C275F2">
              <w:rPr>
                <w:rFonts w:ascii="Times New Roman" w:hAnsi="Times New Roman"/>
                <w:sz w:val="24"/>
                <w:szCs w:val="24"/>
              </w:rPr>
              <w:t>高性能钕铁硼产业化项目</w:t>
            </w:r>
            <w:r w:rsidR="00C275F2" w:rsidRPr="00C275F2">
              <w:rPr>
                <w:rFonts w:ascii="Times New Roman" w:hAnsi="Times New Roman"/>
                <w:sz w:val="24"/>
                <w:szCs w:val="24"/>
              </w:rPr>
              <w:t>”</w:t>
            </w:r>
            <w:r w:rsidR="00C275F2" w:rsidRPr="00C275F2">
              <w:rPr>
                <w:rFonts w:ascii="Times New Roman" w:hAnsi="Times New Roman"/>
                <w:sz w:val="24"/>
                <w:szCs w:val="24"/>
              </w:rPr>
              <w:t>产能稳定释放</w:t>
            </w:r>
            <w:r w:rsidR="00C275F2">
              <w:rPr>
                <w:rFonts w:ascii="Times New Roman" w:hAnsi="Times New Roman" w:hint="eastAsia"/>
                <w:sz w:val="24"/>
                <w:szCs w:val="24"/>
              </w:rPr>
              <w:t>，</w:t>
            </w:r>
            <w:r w:rsidR="00C275F2" w:rsidRPr="00C275F2">
              <w:rPr>
                <w:rFonts w:ascii="Times New Roman" w:hAnsi="Times New Roman"/>
                <w:sz w:val="24"/>
                <w:szCs w:val="24"/>
              </w:rPr>
              <w:t>募投项目</w:t>
            </w:r>
            <w:r w:rsidR="00C275F2" w:rsidRPr="00C275F2">
              <w:rPr>
                <w:rFonts w:ascii="Times New Roman" w:hAnsi="Times New Roman"/>
                <w:sz w:val="24"/>
                <w:szCs w:val="24"/>
              </w:rPr>
              <w:t>“</w:t>
            </w:r>
            <w:r w:rsidR="00C275F2" w:rsidRPr="00C275F2">
              <w:rPr>
                <w:rFonts w:ascii="Times New Roman" w:hAnsi="Times New Roman"/>
                <w:sz w:val="24"/>
                <w:szCs w:val="24"/>
              </w:rPr>
              <w:t>年产</w:t>
            </w:r>
            <w:r w:rsidR="00C275F2" w:rsidRPr="00C275F2">
              <w:rPr>
                <w:rFonts w:ascii="Times New Roman" w:hAnsi="Times New Roman"/>
                <w:sz w:val="24"/>
                <w:szCs w:val="24"/>
              </w:rPr>
              <w:t>3,000</w:t>
            </w:r>
            <w:r w:rsidR="00C275F2" w:rsidRPr="00C275F2">
              <w:rPr>
                <w:rFonts w:ascii="Times New Roman" w:hAnsi="Times New Roman"/>
                <w:sz w:val="24"/>
                <w:szCs w:val="24"/>
              </w:rPr>
              <w:t>吨新能源汽车用高性能钕铁硼产业化项目</w:t>
            </w:r>
            <w:r w:rsidR="00C275F2" w:rsidRPr="00C275F2">
              <w:rPr>
                <w:rFonts w:ascii="Times New Roman" w:hAnsi="Times New Roman"/>
                <w:sz w:val="24"/>
                <w:szCs w:val="24"/>
              </w:rPr>
              <w:t>”</w:t>
            </w:r>
            <w:r w:rsidR="00C275F2" w:rsidRPr="00C275F2">
              <w:rPr>
                <w:rFonts w:ascii="Times New Roman" w:hAnsi="Times New Roman"/>
                <w:sz w:val="24"/>
                <w:szCs w:val="24"/>
              </w:rPr>
              <w:t>建设顺利，</w:t>
            </w:r>
            <w:r w:rsidR="00C275F2" w:rsidRPr="00C275F2">
              <w:rPr>
                <w:rFonts w:ascii="Times New Roman" w:hAnsi="Times New Roman" w:hint="eastAsia"/>
                <w:sz w:val="24"/>
                <w:szCs w:val="24"/>
              </w:rPr>
              <w:t>公司将于</w:t>
            </w:r>
            <w:r w:rsidR="00C275F2" w:rsidRPr="00C275F2">
              <w:rPr>
                <w:rFonts w:ascii="Times New Roman" w:hAnsi="Times New Roman" w:hint="eastAsia"/>
                <w:sz w:val="24"/>
                <w:szCs w:val="24"/>
              </w:rPr>
              <w:t>2026</w:t>
            </w:r>
            <w:r w:rsidR="00C275F2" w:rsidRPr="00C275F2">
              <w:rPr>
                <w:rFonts w:ascii="Times New Roman" w:hAnsi="Times New Roman" w:hint="eastAsia"/>
                <w:sz w:val="24"/>
                <w:szCs w:val="24"/>
              </w:rPr>
              <w:t>年底前形成每年</w:t>
            </w:r>
            <w:r w:rsidR="00C275F2" w:rsidRPr="00C275F2">
              <w:rPr>
                <w:rFonts w:ascii="Times New Roman" w:hAnsi="Times New Roman" w:hint="eastAsia"/>
                <w:sz w:val="24"/>
                <w:szCs w:val="24"/>
              </w:rPr>
              <w:t>12,300</w:t>
            </w:r>
            <w:r w:rsidR="00C275F2" w:rsidRPr="00C275F2">
              <w:rPr>
                <w:rFonts w:ascii="Times New Roman" w:hAnsi="Times New Roman" w:hint="eastAsia"/>
                <w:sz w:val="24"/>
                <w:szCs w:val="24"/>
              </w:rPr>
              <w:t>吨的产能。同时，公司基于对自身发展和市场前景的信心，为了满足当前业务规划及未来发展的需求，公司投资设立了全资子公司天和新材料，并进行“天和新材料稀土零碳产业园（高性能稀土永磁及组件、装备制造与研发项目）”的建设</w:t>
            </w:r>
            <w:r w:rsidR="00C275F2">
              <w:rPr>
                <w:rFonts w:ascii="Times New Roman" w:hAnsi="Times New Roman" w:hint="eastAsia"/>
                <w:sz w:val="24"/>
                <w:szCs w:val="24"/>
              </w:rPr>
              <w:t>，</w:t>
            </w:r>
            <w:r w:rsidR="00C275F2" w:rsidRPr="00C275F2">
              <w:rPr>
                <w:rFonts w:ascii="Times New Roman" w:hAnsi="Times New Roman" w:hint="eastAsia"/>
                <w:sz w:val="24"/>
                <w:szCs w:val="24"/>
              </w:rPr>
              <w:t>目前项目已顺利开工，初步规划产能</w:t>
            </w:r>
            <w:r w:rsidR="00C275F2" w:rsidRPr="00C275F2">
              <w:rPr>
                <w:rFonts w:ascii="Times New Roman" w:hAnsi="Times New Roman" w:hint="eastAsia"/>
                <w:sz w:val="24"/>
                <w:szCs w:val="24"/>
              </w:rPr>
              <w:t>20,000</w:t>
            </w:r>
            <w:r w:rsidR="00C275F2" w:rsidRPr="00C275F2">
              <w:rPr>
                <w:rFonts w:ascii="Times New Roman" w:hAnsi="Times New Roman" w:hint="eastAsia"/>
                <w:sz w:val="24"/>
                <w:szCs w:val="24"/>
              </w:rPr>
              <w:t>吨</w:t>
            </w:r>
            <w:r w:rsidR="00C275F2">
              <w:rPr>
                <w:rFonts w:ascii="Times New Roman" w:hAnsi="Times New Roman" w:hint="eastAsia"/>
                <w:sz w:val="24"/>
                <w:szCs w:val="24"/>
              </w:rPr>
              <w:t>，</w:t>
            </w:r>
            <w:r w:rsidR="00C275F2" w:rsidRPr="00C275F2">
              <w:rPr>
                <w:rFonts w:ascii="Times New Roman" w:hAnsi="Times New Roman" w:hint="eastAsia"/>
                <w:sz w:val="24"/>
                <w:szCs w:val="24"/>
              </w:rPr>
              <w:t>该部分产能的建设公司将结合市场订单等情况稳步推进。该项目的顺利实施将对公司中长期发展产生积极影响。</w:t>
            </w:r>
          </w:p>
          <w:p w14:paraId="357F4F91" w14:textId="7F34ED1C" w:rsidR="009B62D0" w:rsidRPr="009B62D0" w:rsidRDefault="009B62D0" w:rsidP="005F74CD">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4</w:t>
            </w:r>
            <w:r w:rsidRPr="001F6D08">
              <w:rPr>
                <w:rFonts w:ascii="Times New Roman" w:hAnsi="Times New Roman"/>
                <w:b/>
                <w:sz w:val="24"/>
                <w:szCs w:val="24"/>
              </w:rPr>
              <w:t>、</w:t>
            </w:r>
            <w:r w:rsidRPr="009B62D0">
              <w:rPr>
                <w:rFonts w:ascii="Times New Roman" w:hAnsi="Times New Roman"/>
                <w:b/>
                <w:sz w:val="24"/>
                <w:szCs w:val="24"/>
              </w:rPr>
              <w:t>出口管制政策对公司海外业务的影响？</w:t>
            </w:r>
          </w:p>
          <w:p w14:paraId="3C069B2A" w14:textId="6185DFAA" w:rsidR="00B34ECA" w:rsidRDefault="009B62D0" w:rsidP="005F74CD">
            <w:pPr>
              <w:pStyle w:val="Style6"/>
              <w:spacing w:line="360" w:lineRule="auto"/>
              <w:ind w:firstLineChars="0" w:firstLine="0"/>
              <w:rPr>
                <w:rFonts w:ascii="Times New Roman" w:hAnsi="Times New Roman"/>
                <w:sz w:val="24"/>
                <w:szCs w:val="24"/>
              </w:rPr>
            </w:pPr>
            <w:r>
              <w:rPr>
                <w:rFonts w:ascii="Times New Roman" w:hAnsi="Times New Roman" w:hint="eastAsia"/>
                <w:sz w:val="24"/>
                <w:szCs w:val="24"/>
              </w:rPr>
              <w:t>答：</w:t>
            </w:r>
            <w:r w:rsidRPr="009B62D0">
              <w:rPr>
                <w:rFonts w:ascii="Times New Roman" w:hAnsi="Times New Roman"/>
                <w:sz w:val="24"/>
                <w:szCs w:val="24"/>
              </w:rPr>
              <w:t>公司始终严格恪守国家各项法律法规及监管要求，在出口管制相关政策发布后迅速部署、主动响应，第一时间组建专项工作小组，全面搭建并持续完善出口管制全流程合规管理体系。公司严格按照合规管理体系规范开展出口许可申报工作，依法有序取得商务部核发的出口许可证，保障了海外国际业务平稳有序、持续健康开展。</w:t>
            </w:r>
          </w:p>
          <w:p w14:paraId="5ADC0E15" w14:textId="7CA9D224" w:rsidR="00115E6C" w:rsidRPr="009B62D0" w:rsidRDefault="00115E6C" w:rsidP="00115E6C">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5</w:t>
            </w:r>
            <w:r w:rsidRPr="001F6D08">
              <w:rPr>
                <w:rFonts w:ascii="Times New Roman" w:hAnsi="Times New Roman"/>
                <w:b/>
                <w:sz w:val="24"/>
                <w:szCs w:val="24"/>
              </w:rPr>
              <w:t>、</w:t>
            </w:r>
            <w:r w:rsidRPr="00115E6C">
              <w:rPr>
                <w:rFonts w:ascii="Times New Roman" w:hAnsi="Times New Roman"/>
                <w:b/>
                <w:sz w:val="24"/>
                <w:szCs w:val="24"/>
              </w:rPr>
              <w:t>公司的采购模式是怎样的？</w:t>
            </w:r>
            <w:r>
              <w:rPr>
                <w:rFonts w:ascii="Times New Roman" w:hAnsi="Times New Roman" w:hint="eastAsia"/>
                <w:b/>
                <w:sz w:val="24"/>
                <w:szCs w:val="24"/>
              </w:rPr>
              <w:t>如何</w:t>
            </w:r>
            <w:r w:rsidRPr="00115E6C">
              <w:rPr>
                <w:rFonts w:ascii="Times New Roman" w:hAnsi="Times New Roman"/>
                <w:b/>
                <w:sz w:val="24"/>
                <w:szCs w:val="24"/>
              </w:rPr>
              <w:t>避免上游原材料价格波动的风险？</w:t>
            </w:r>
          </w:p>
          <w:p w14:paraId="756DEBB8" w14:textId="1603593A" w:rsidR="009B62D0" w:rsidRDefault="00115E6C" w:rsidP="00115E6C">
            <w:pPr>
              <w:pStyle w:val="Style6"/>
              <w:spacing w:line="360" w:lineRule="auto"/>
              <w:ind w:firstLineChars="0" w:firstLine="0"/>
              <w:rPr>
                <w:rFonts w:ascii="Times New Roman" w:hAnsi="Times New Roman"/>
                <w:sz w:val="24"/>
                <w:szCs w:val="24"/>
              </w:rPr>
            </w:pPr>
            <w:r>
              <w:rPr>
                <w:rFonts w:ascii="Times New Roman" w:hAnsi="Times New Roman" w:hint="eastAsia"/>
                <w:sz w:val="24"/>
                <w:szCs w:val="24"/>
              </w:rPr>
              <w:t>答：</w:t>
            </w:r>
            <w:r w:rsidR="00427122" w:rsidRPr="00427122">
              <w:rPr>
                <w:rFonts w:ascii="Times New Roman" w:hAnsi="Times New Roman"/>
                <w:sz w:val="24"/>
                <w:szCs w:val="24"/>
              </w:rPr>
              <w:t>公司的采购模式以</w:t>
            </w:r>
            <w:r w:rsidR="00427122" w:rsidRPr="00427122">
              <w:rPr>
                <w:rFonts w:ascii="Times New Roman" w:hAnsi="Times New Roman"/>
                <w:sz w:val="24"/>
                <w:szCs w:val="24"/>
              </w:rPr>
              <w:t>“</w:t>
            </w:r>
            <w:r w:rsidR="00427122" w:rsidRPr="00427122">
              <w:rPr>
                <w:rFonts w:ascii="Times New Roman" w:hAnsi="Times New Roman"/>
                <w:sz w:val="24"/>
                <w:szCs w:val="24"/>
              </w:rPr>
              <w:t>以产定采</w:t>
            </w:r>
            <w:r w:rsidR="00427122" w:rsidRPr="00427122">
              <w:rPr>
                <w:rFonts w:ascii="Times New Roman" w:hAnsi="Times New Roman"/>
                <w:sz w:val="24"/>
                <w:szCs w:val="24"/>
              </w:rPr>
              <w:t>+</w:t>
            </w:r>
            <w:r w:rsidR="00427122" w:rsidRPr="00427122">
              <w:rPr>
                <w:rFonts w:ascii="Times New Roman" w:hAnsi="Times New Roman"/>
                <w:sz w:val="24"/>
                <w:szCs w:val="24"/>
              </w:rPr>
              <w:t>安全库存</w:t>
            </w:r>
            <w:r w:rsidR="00427122" w:rsidRPr="00427122">
              <w:rPr>
                <w:rFonts w:ascii="Times New Roman" w:hAnsi="Times New Roman"/>
                <w:sz w:val="24"/>
                <w:szCs w:val="24"/>
              </w:rPr>
              <w:t>”</w:t>
            </w:r>
            <w:r w:rsidR="00427122" w:rsidRPr="00427122">
              <w:rPr>
                <w:rFonts w:ascii="Times New Roman" w:hAnsi="Times New Roman"/>
                <w:sz w:val="24"/>
                <w:szCs w:val="24"/>
              </w:rPr>
              <w:t>为核心，通过</w:t>
            </w:r>
            <w:r w:rsidR="00427122" w:rsidRPr="00427122">
              <w:rPr>
                <w:rFonts w:ascii="Times New Roman" w:hAnsi="Times New Roman"/>
                <w:sz w:val="24"/>
                <w:szCs w:val="24"/>
              </w:rPr>
              <w:t>ERP</w:t>
            </w:r>
            <w:r w:rsidR="00427122" w:rsidRPr="00427122">
              <w:rPr>
                <w:rFonts w:ascii="Times New Roman" w:hAnsi="Times New Roman"/>
                <w:sz w:val="24"/>
                <w:szCs w:val="24"/>
              </w:rPr>
              <w:t>等信息化系统实现按需精准采购与库存动态管理。公司依托与北方稀土等主要供应商的年度长协，建立了稳定可靠的供应链体系，并采用科学储备机制灵活调节库存水平，有效平滑原材料价格波动，在保障稳定供应的同时控制采购成本与风险。</w:t>
            </w:r>
          </w:p>
          <w:p w14:paraId="652C4D0D" w14:textId="1F6E2F2D" w:rsidR="00200387" w:rsidRPr="009B62D0" w:rsidRDefault="00200387" w:rsidP="00200387">
            <w:pPr>
              <w:pStyle w:val="Style6"/>
              <w:spacing w:line="360" w:lineRule="auto"/>
              <w:ind w:firstLineChars="0" w:firstLine="0"/>
              <w:rPr>
                <w:rFonts w:ascii="Times New Roman" w:hAnsi="Times New Roman"/>
                <w:b/>
                <w:sz w:val="24"/>
                <w:szCs w:val="24"/>
              </w:rPr>
            </w:pPr>
            <w:bookmarkStart w:id="1" w:name="OLE_LINK5"/>
            <w:r>
              <w:rPr>
                <w:rFonts w:ascii="Times New Roman" w:hAnsi="Times New Roman" w:hint="eastAsia"/>
                <w:b/>
                <w:sz w:val="24"/>
                <w:szCs w:val="24"/>
              </w:rPr>
              <w:t>6</w:t>
            </w:r>
            <w:r w:rsidRPr="001F6D08">
              <w:rPr>
                <w:rFonts w:ascii="Times New Roman" w:hAnsi="Times New Roman"/>
                <w:b/>
                <w:sz w:val="24"/>
                <w:szCs w:val="24"/>
              </w:rPr>
              <w:t>、</w:t>
            </w:r>
            <w:r w:rsidRPr="00200387">
              <w:rPr>
                <w:rFonts w:ascii="Times New Roman" w:hAnsi="Times New Roman"/>
                <w:b/>
                <w:sz w:val="24"/>
                <w:szCs w:val="24"/>
              </w:rPr>
              <w:t>公司所处磁材行业的发展趋势是怎样的？</w:t>
            </w:r>
          </w:p>
          <w:p w14:paraId="1511078D" w14:textId="77777777" w:rsidR="0052529E" w:rsidRPr="0052529E" w:rsidRDefault="00200387" w:rsidP="0052529E">
            <w:pPr>
              <w:pStyle w:val="Style6"/>
              <w:spacing w:line="360" w:lineRule="auto"/>
              <w:ind w:firstLineChars="0" w:firstLine="0"/>
              <w:rPr>
                <w:rFonts w:ascii="Times New Roman" w:hAnsi="Times New Roman" w:hint="eastAsia"/>
                <w:sz w:val="24"/>
                <w:szCs w:val="24"/>
              </w:rPr>
            </w:pPr>
            <w:r>
              <w:rPr>
                <w:rFonts w:ascii="Times New Roman" w:hAnsi="Times New Roman" w:hint="eastAsia"/>
                <w:sz w:val="24"/>
                <w:szCs w:val="24"/>
              </w:rPr>
              <w:t>答：</w:t>
            </w:r>
            <w:r w:rsidR="0052529E" w:rsidRPr="0052529E">
              <w:rPr>
                <w:rFonts w:ascii="Times New Roman" w:hAnsi="Times New Roman" w:hint="eastAsia"/>
                <w:sz w:val="24"/>
                <w:szCs w:val="24"/>
              </w:rPr>
              <w:t>在</w:t>
            </w:r>
            <w:bookmarkEnd w:id="1"/>
            <w:r w:rsidR="0052529E" w:rsidRPr="0052529E">
              <w:rPr>
                <w:rFonts w:ascii="Times New Roman" w:hAnsi="Times New Roman" w:hint="eastAsia"/>
                <w:sz w:val="24"/>
                <w:szCs w:val="24"/>
              </w:rPr>
              <w:t>“碳达峰、碳中和”战略目标的引领下，我国产业结构持续优化升级。汽车、</w:t>
            </w:r>
            <w:r w:rsidR="0052529E" w:rsidRPr="0052529E">
              <w:rPr>
                <w:rFonts w:ascii="Times New Roman" w:hAnsi="Times New Roman" w:hint="eastAsia"/>
                <w:sz w:val="24"/>
                <w:szCs w:val="24"/>
              </w:rPr>
              <w:t>3C</w:t>
            </w:r>
            <w:r w:rsidR="0052529E" w:rsidRPr="0052529E">
              <w:rPr>
                <w:rFonts w:ascii="Times New Roman" w:hAnsi="Times New Roman" w:hint="eastAsia"/>
                <w:sz w:val="24"/>
                <w:szCs w:val="24"/>
              </w:rPr>
              <w:t>消费电子、节能家电等传统行业产品迭代与产业升级进程明显，新能源汽车、风力发电、智能制造、人形机器人、低空经济、航空航天等战略性新兴产业也进入快速发展阶段。随着上述行业规模的扩大与技术要求的提升，市场对稀土永磁材料的磁能积、矫顽力、剩磁等核心磁性能提出了更高要求，推动高性</w:t>
            </w:r>
            <w:r w:rsidR="0052529E" w:rsidRPr="0052529E">
              <w:rPr>
                <w:rFonts w:ascii="Times New Roman" w:hAnsi="Times New Roman" w:hint="eastAsia"/>
                <w:sz w:val="24"/>
                <w:szCs w:val="24"/>
              </w:rPr>
              <w:lastRenderedPageBreak/>
              <w:t>能稀土永磁材料需求持续增长。</w:t>
            </w:r>
          </w:p>
          <w:p w14:paraId="495B5F66" w14:textId="77777777" w:rsidR="0052529E" w:rsidRPr="0052529E" w:rsidRDefault="0052529E" w:rsidP="0052529E">
            <w:pPr>
              <w:pStyle w:val="Style6"/>
              <w:spacing w:line="360" w:lineRule="auto"/>
              <w:ind w:firstLineChars="0" w:firstLine="0"/>
              <w:rPr>
                <w:rFonts w:ascii="Times New Roman" w:hAnsi="Times New Roman" w:hint="eastAsia"/>
                <w:sz w:val="24"/>
                <w:szCs w:val="24"/>
              </w:rPr>
            </w:pPr>
            <w:r w:rsidRPr="0052529E">
              <w:rPr>
                <w:rFonts w:ascii="Times New Roman" w:hAnsi="Times New Roman" w:hint="eastAsia"/>
                <w:sz w:val="24"/>
                <w:szCs w:val="24"/>
              </w:rPr>
              <w:t>在全球经济向提质、降本、增效转型的背景下，下游行业对能源绿色化、用能高效化、装备轻量化及器件小型化的需求日益增强，进一步驱动稀土永磁材料向更高性能、更高性价比方向发展。同时，国家政策积极引导材料产业绿色化、智能化转型。《新材料产业发展指南》明确提出，要“大力推进材料生产过程的智能化和绿色化改造”，提升材料综合性能与生产效率。在此指引下，稀土永磁材料产业也将逐步向集约化、绿色化、低碳化生产模式演进。</w:t>
            </w:r>
          </w:p>
          <w:p w14:paraId="38F9E63F" w14:textId="5167A837" w:rsidR="00200387" w:rsidRPr="0052529E" w:rsidRDefault="0052529E" w:rsidP="0052529E">
            <w:pPr>
              <w:pStyle w:val="Style6"/>
              <w:spacing w:line="360" w:lineRule="auto"/>
              <w:ind w:firstLineChars="0" w:firstLine="0"/>
              <w:rPr>
                <w:rFonts w:ascii="Times New Roman" w:hAnsi="Times New Roman" w:hint="eastAsia"/>
                <w:sz w:val="24"/>
                <w:szCs w:val="24"/>
              </w:rPr>
            </w:pPr>
            <w:r w:rsidRPr="0052529E">
              <w:rPr>
                <w:rFonts w:ascii="Times New Roman" w:hAnsi="Times New Roman" w:hint="eastAsia"/>
                <w:sz w:val="24"/>
                <w:szCs w:val="24"/>
              </w:rPr>
              <w:t>展望未来，随着新能源汽车、风力发电、人形机器人、低空经济、航空航天等新兴领域的持续发展，高性能、高稳定性稀土永磁材料的应用场景将进一步拓宽。具备较强技术研发、规模化生产与系统服务能力的头部企业，有望在行业集中度提升的过程中获得更为广阔的发展空间，推动产业整体向高端化、集约化方向迈进。</w:t>
            </w:r>
          </w:p>
          <w:p w14:paraId="44CB175C" w14:textId="26A0D00F" w:rsidR="0052529E" w:rsidRPr="0052529E" w:rsidRDefault="0052529E" w:rsidP="0052529E">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7</w:t>
            </w:r>
            <w:r w:rsidRPr="001F6D08">
              <w:rPr>
                <w:rFonts w:ascii="Times New Roman" w:hAnsi="Times New Roman"/>
                <w:b/>
                <w:sz w:val="24"/>
                <w:szCs w:val="24"/>
              </w:rPr>
              <w:t>、</w:t>
            </w:r>
            <w:r w:rsidRPr="0052529E">
              <w:rPr>
                <w:rFonts w:ascii="Times New Roman" w:hAnsi="Times New Roman"/>
                <w:b/>
                <w:sz w:val="24"/>
                <w:szCs w:val="24"/>
              </w:rPr>
              <w:t>公司的竞争优势是什么？</w:t>
            </w:r>
          </w:p>
          <w:p w14:paraId="6379D3A1" w14:textId="77777777" w:rsidR="0052529E" w:rsidRPr="0052529E" w:rsidRDefault="0052529E" w:rsidP="0052529E">
            <w:pPr>
              <w:pStyle w:val="Style6"/>
              <w:spacing w:line="360" w:lineRule="auto"/>
              <w:ind w:firstLineChars="0" w:firstLine="0"/>
              <w:rPr>
                <w:rFonts w:ascii="Times New Roman" w:hAnsi="Times New Roman" w:hint="eastAsia"/>
                <w:sz w:val="24"/>
                <w:szCs w:val="24"/>
              </w:rPr>
            </w:pPr>
            <w:r>
              <w:rPr>
                <w:rFonts w:ascii="Times New Roman" w:hAnsi="Times New Roman" w:hint="eastAsia"/>
                <w:sz w:val="24"/>
                <w:szCs w:val="24"/>
              </w:rPr>
              <w:t>答：</w:t>
            </w:r>
            <w:r w:rsidRPr="0052529E">
              <w:rPr>
                <w:rFonts w:ascii="Times New Roman" w:hAnsi="Times New Roman" w:hint="eastAsia"/>
                <w:sz w:val="24"/>
                <w:szCs w:val="24"/>
              </w:rPr>
              <w:t>一是研发和技术优势：公司始终坚持高性能稀土永磁材料提供商定位，以高性能、资源低耗为主要目标，聚焦稀土永磁材料制备过程的关键技术创新与突破，形成了零重稀土（</w:t>
            </w:r>
            <w:r w:rsidRPr="0052529E">
              <w:rPr>
                <w:rFonts w:ascii="Times New Roman" w:hAnsi="Times New Roman" w:hint="eastAsia"/>
                <w:sz w:val="24"/>
                <w:szCs w:val="24"/>
              </w:rPr>
              <w:t>DFP</w:t>
            </w:r>
            <w:r w:rsidRPr="0052529E">
              <w:rPr>
                <w:rFonts w:ascii="Times New Roman" w:hAnsi="Times New Roman" w:hint="eastAsia"/>
                <w:sz w:val="24"/>
                <w:szCs w:val="24"/>
              </w:rPr>
              <w:t>）、减重稀土（</w:t>
            </w:r>
            <w:r w:rsidRPr="0052529E">
              <w:rPr>
                <w:rFonts w:ascii="Times New Roman" w:hAnsi="Times New Roman" w:hint="eastAsia"/>
                <w:sz w:val="24"/>
                <w:szCs w:val="24"/>
              </w:rPr>
              <w:t>DLP</w:t>
            </w:r>
            <w:r w:rsidRPr="0052529E">
              <w:rPr>
                <w:rFonts w:ascii="Times New Roman" w:hAnsi="Times New Roman" w:hint="eastAsia"/>
                <w:sz w:val="24"/>
                <w:szCs w:val="24"/>
              </w:rPr>
              <w:t>）、晶界扩散（</w:t>
            </w:r>
            <w:r w:rsidRPr="0052529E">
              <w:rPr>
                <w:rFonts w:ascii="Times New Roman" w:hAnsi="Times New Roman" w:hint="eastAsia"/>
                <w:sz w:val="24"/>
                <w:szCs w:val="24"/>
              </w:rPr>
              <w:t>DDP</w:t>
            </w:r>
            <w:r w:rsidRPr="0052529E">
              <w:rPr>
                <w:rFonts w:ascii="Times New Roman" w:hAnsi="Times New Roman" w:hint="eastAsia"/>
                <w:sz w:val="24"/>
                <w:szCs w:val="24"/>
              </w:rPr>
              <w:t>）、晶界改性（</w:t>
            </w:r>
            <w:r w:rsidRPr="0052529E">
              <w:rPr>
                <w:rFonts w:ascii="Times New Roman" w:hAnsi="Times New Roman" w:hint="eastAsia"/>
                <w:sz w:val="24"/>
                <w:szCs w:val="24"/>
              </w:rPr>
              <w:t>GBM</w:t>
            </w:r>
            <w:r w:rsidRPr="0052529E">
              <w:rPr>
                <w:rFonts w:ascii="Times New Roman" w:hAnsi="Times New Roman" w:hint="eastAsia"/>
                <w:sz w:val="24"/>
                <w:szCs w:val="24"/>
              </w:rPr>
              <w:t>）、低成本</w:t>
            </w:r>
            <w:r w:rsidRPr="0052529E">
              <w:rPr>
                <w:rFonts w:ascii="Times New Roman" w:hAnsi="Times New Roman" w:hint="eastAsia"/>
                <w:sz w:val="24"/>
                <w:szCs w:val="24"/>
              </w:rPr>
              <w:t>Ce</w:t>
            </w:r>
            <w:r w:rsidRPr="0052529E">
              <w:rPr>
                <w:rFonts w:ascii="Times New Roman" w:hAnsi="Times New Roman" w:hint="eastAsia"/>
                <w:sz w:val="24"/>
                <w:szCs w:val="24"/>
              </w:rPr>
              <w:t>磁体、</w:t>
            </w:r>
            <w:r w:rsidRPr="0052529E">
              <w:rPr>
                <w:rFonts w:ascii="Times New Roman" w:hAnsi="Times New Roman" w:hint="eastAsia"/>
                <w:sz w:val="24"/>
                <w:szCs w:val="24"/>
              </w:rPr>
              <w:t>SC</w:t>
            </w:r>
            <w:r w:rsidRPr="0052529E">
              <w:rPr>
                <w:rFonts w:ascii="Times New Roman" w:hAnsi="Times New Roman" w:hint="eastAsia"/>
                <w:sz w:val="24"/>
                <w:szCs w:val="24"/>
              </w:rPr>
              <w:t>结晶研究、新型镀层表面处理等一系列先进核心技术，产品性能及核心技术整体居国内先进水平。</w:t>
            </w:r>
          </w:p>
          <w:p w14:paraId="53B8A72C" w14:textId="77777777" w:rsidR="0052529E" w:rsidRPr="0052529E" w:rsidRDefault="0052529E" w:rsidP="00ED790D">
            <w:pPr>
              <w:pStyle w:val="Style6"/>
              <w:spacing w:line="360" w:lineRule="auto"/>
              <w:ind w:firstLineChars="0" w:firstLine="0"/>
              <w:rPr>
                <w:rFonts w:ascii="Times New Roman" w:hAnsi="Times New Roman" w:hint="eastAsia"/>
                <w:sz w:val="24"/>
                <w:szCs w:val="24"/>
              </w:rPr>
            </w:pPr>
            <w:r w:rsidRPr="0052529E">
              <w:rPr>
                <w:rFonts w:ascii="Times New Roman" w:hAnsi="Times New Roman" w:hint="eastAsia"/>
                <w:sz w:val="24"/>
                <w:szCs w:val="24"/>
              </w:rPr>
              <w:t>二是品牌和客户优势：公司的高端下游客户对供应商资质审核严苛、准入门槛高。经过长期稳定合作，公司产品实力与综合服务能力持续获得客户高度认可，品牌影响力进一步增强。公司依托卓越的产品性能、稳定可靠的产品品质及高效专业的配套服务，成功打造技术领先、品质过硬的高性能稀土永磁材料品牌，行业知名度与市场美誉度持续提升，形成显著的品牌竞争优势。</w:t>
            </w:r>
            <w:r w:rsidRPr="0052529E">
              <w:rPr>
                <w:rFonts w:ascii="Times New Roman" w:hAnsi="Times New Roman" w:hint="eastAsia"/>
                <w:sz w:val="24"/>
                <w:szCs w:val="24"/>
              </w:rPr>
              <w:t>2025</w:t>
            </w:r>
            <w:r w:rsidRPr="0052529E">
              <w:rPr>
                <w:rFonts w:ascii="Times New Roman" w:hAnsi="Times New Roman" w:hint="eastAsia"/>
                <w:sz w:val="24"/>
                <w:szCs w:val="24"/>
              </w:rPr>
              <w:t>年度，公司先后荣获博世全球供应商奖、博泽关键供应商奖、沃尔沃汽车可持续长期伙伴奖、苏州大金最佳供应商奖等多项重磅荣誉，充分彰显了合作伙伴对公司产品品质、综合实力及品牌价值的高度肯定。</w:t>
            </w:r>
          </w:p>
          <w:p w14:paraId="6DF21B19" w14:textId="77777777" w:rsidR="0052529E" w:rsidRPr="0052529E" w:rsidRDefault="0052529E" w:rsidP="00ED790D">
            <w:pPr>
              <w:pStyle w:val="Style6"/>
              <w:spacing w:line="360" w:lineRule="auto"/>
              <w:ind w:firstLineChars="0" w:firstLine="0"/>
              <w:rPr>
                <w:rFonts w:ascii="Times New Roman" w:hAnsi="Times New Roman" w:hint="eastAsia"/>
                <w:sz w:val="24"/>
                <w:szCs w:val="24"/>
              </w:rPr>
            </w:pPr>
            <w:r w:rsidRPr="0052529E">
              <w:rPr>
                <w:rFonts w:ascii="Times New Roman" w:hAnsi="Times New Roman" w:hint="eastAsia"/>
                <w:sz w:val="24"/>
                <w:szCs w:val="24"/>
              </w:rPr>
              <w:lastRenderedPageBreak/>
              <w:t>三是设备制造优势：公司具备高水平自主装备制造能力，设备自制配套率处于行业领先水平，部分核心装备成功实现进口替代，有效提升整体生产运营效率，持续夯实产品品质管控能力。公司全资子公司天之和专注稀土永磁专用装备研发制造，自主研发气流磨、一次成型压机、烧结炉等稀土永磁材料关键核心生产装备，并已规模化应用于公司稀土永磁材料全流程生产制造。截止目前，天之和自主研制生产的专用装备在充分保障母公司内部自用需求的前提下，已顺利实现市场化对外销售与批量交付。</w:t>
            </w:r>
            <w:r w:rsidRPr="0052529E">
              <w:rPr>
                <w:rFonts w:ascii="Times New Roman" w:hAnsi="Times New Roman" w:hint="eastAsia"/>
                <w:sz w:val="24"/>
                <w:szCs w:val="24"/>
              </w:rPr>
              <w:t>2025</w:t>
            </w:r>
            <w:r w:rsidRPr="0052529E">
              <w:rPr>
                <w:rFonts w:ascii="Times New Roman" w:hAnsi="Times New Roman" w:hint="eastAsia"/>
                <w:sz w:val="24"/>
                <w:szCs w:val="24"/>
              </w:rPr>
              <w:t>年共对外签单</w:t>
            </w:r>
            <w:r w:rsidRPr="0052529E">
              <w:rPr>
                <w:rFonts w:ascii="Times New Roman" w:hAnsi="Times New Roman" w:hint="eastAsia"/>
                <w:sz w:val="24"/>
                <w:szCs w:val="24"/>
              </w:rPr>
              <w:t>3,730.66</w:t>
            </w:r>
            <w:r w:rsidRPr="0052529E">
              <w:rPr>
                <w:rFonts w:ascii="Times New Roman" w:hAnsi="Times New Roman" w:hint="eastAsia"/>
                <w:sz w:val="24"/>
                <w:szCs w:val="24"/>
              </w:rPr>
              <w:t>万元，对外实现收入</w:t>
            </w:r>
            <w:r w:rsidRPr="0052529E">
              <w:rPr>
                <w:rFonts w:ascii="Times New Roman" w:hAnsi="Times New Roman" w:hint="eastAsia"/>
                <w:sz w:val="24"/>
                <w:szCs w:val="24"/>
              </w:rPr>
              <w:t>2,544.41</w:t>
            </w:r>
            <w:r w:rsidRPr="0052529E">
              <w:rPr>
                <w:rFonts w:ascii="Times New Roman" w:hAnsi="Times New Roman" w:hint="eastAsia"/>
                <w:sz w:val="24"/>
                <w:szCs w:val="24"/>
              </w:rPr>
              <w:t>万元，使得公司的业务范围得到拓展，有利于进一步增强公司盈利能力。</w:t>
            </w:r>
          </w:p>
          <w:p w14:paraId="7C067F4C" w14:textId="32CF57F3" w:rsidR="0052529E" w:rsidRPr="0052529E" w:rsidRDefault="0052529E" w:rsidP="00ED790D">
            <w:pPr>
              <w:pStyle w:val="Style6"/>
              <w:spacing w:line="360" w:lineRule="auto"/>
              <w:ind w:firstLineChars="0" w:firstLine="0"/>
              <w:rPr>
                <w:rFonts w:ascii="Times New Roman" w:hAnsi="Times New Roman" w:hint="eastAsia"/>
                <w:sz w:val="24"/>
                <w:szCs w:val="24"/>
              </w:rPr>
            </w:pPr>
            <w:r w:rsidRPr="0052529E">
              <w:rPr>
                <w:rFonts w:ascii="Times New Roman" w:hAnsi="Times New Roman" w:hint="eastAsia"/>
                <w:sz w:val="24"/>
                <w:szCs w:val="24"/>
              </w:rPr>
              <w:t>四是精益生产和信息化优势：公司长期深耕生产运营与质量管理体系建设，持续推进数字化、智能化升级，全力打造高标准数字智慧工厂，综合运营管理优势突出。凭借突出的智能制造建设成效，公司先后获评</w:t>
            </w:r>
            <w:r w:rsidRPr="0052529E">
              <w:rPr>
                <w:rFonts w:ascii="Times New Roman" w:hAnsi="Times New Roman" w:hint="eastAsia"/>
                <w:sz w:val="24"/>
                <w:szCs w:val="24"/>
              </w:rPr>
              <w:t>2024</w:t>
            </w:r>
            <w:r w:rsidRPr="0052529E">
              <w:rPr>
                <w:rFonts w:ascii="Times New Roman" w:hAnsi="Times New Roman" w:hint="eastAsia"/>
                <w:sz w:val="24"/>
                <w:szCs w:val="24"/>
              </w:rPr>
              <w:t>年内蒙古自治区制造业数字化转型标杆企业、</w:t>
            </w:r>
            <w:r w:rsidRPr="0052529E">
              <w:rPr>
                <w:rFonts w:ascii="Times New Roman" w:hAnsi="Times New Roman" w:hint="eastAsia"/>
                <w:sz w:val="24"/>
                <w:szCs w:val="24"/>
              </w:rPr>
              <w:t>2025</w:t>
            </w:r>
            <w:r w:rsidRPr="0052529E">
              <w:rPr>
                <w:rFonts w:ascii="Times New Roman" w:hAnsi="Times New Roman" w:hint="eastAsia"/>
                <w:sz w:val="24"/>
                <w:szCs w:val="24"/>
              </w:rPr>
              <w:t>年内蒙古自治区先进级智能工厂等多项省级荣誉。同时，公司作为核心参与单位承担建设的稀土永磁新材料智能管控相关项目，成功入选工信部</w:t>
            </w:r>
            <w:r w:rsidRPr="0052529E">
              <w:rPr>
                <w:rFonts w:ascii="Times New Roman" w:hAnsi="Times New Roman" w:hint="eastAsia"/>
                <w:sz w:val="24"/>
                <w:szCs w:val="24"/>
              </w:rPr>
              <w:t>2025</w:t>
            </w:r>
            <w:r w:rsidRPr="0052529E">
              <w:rPr>
                <w:rFonts w:ascii="Times New Roman" w:hAnsi="Times New Roman" w:hint="eastAsia"/>
                <w:sz w:val="24"/>
                <w:szCs w:val="24"/>
              </w:rPr>
              <w:t>年度智能制造系统解决方案“揭榜挂帅”项目，充分彰显公司在智能制造、数字化转型领域的行业领先地位。</w:t>
            </w:r>
          </w:p>
          <w:p w14:paraId="204E7222" w14:textId="77777777" w:rsidR="0052529E" w:rsidRPr="0052529E" w:rsidRDefault="0052529E" w:rsidP="00ED790D">
            <w:pPr>
              <w:pStyle w:val="Style6"/>
              <w:spacing w:line="360" w:lineRule="auto"/>
              <w:ind w:firstLineChars="0" w:firstLine="0"/>
              <w:rPr>
                <w:rFonts w:ascii="Times New Roman" w:hAnsi="Times New Roman" w:hint="eastAsia"/>
                <w:sz w:val="24"/>
                <w:szCs w:val="24"/>
              </w:rPr>
            </w:pPr>
            <w:r w:rsidRPr="0052529E">
              <w:rPr>
                <w:rFonts w:ascii="Times New Roman" w:hAnsi="Times New Roman" w:hint="eastAsia"/>
                <w:sz w:val="24"/>
                <w:szCs w:val="24"/>
              </w:rPr>
              <w:t>五是</w:t>
            </w:r>
            <w:r w:rsidRPr="0052529E">
              <w:rPr>
                <w:rFonts w:ascii="Times New Roman" w:hAnsi="Times New Roman" w:hint="eastAsia"/>
                <w:sz w:val="24"/>
                <w:szCs w:val="24"/>
              </w:rPr>
              <w:t>ESG</w:t>
            </w:r>
            <w:r w:rsidRPr="0052529E">
              <w:rPr>
                <w:rFonts w:ascii="Times New Roman" w:hAnsi="Times New Roman" w:hint="eastAsia"/>
                <w:sz w:val="24"/>
                <w:szCs w:val="24"/>
              </w:rPr>
              <w:t>可持续发展建设优势：公司秉持“安全、奋斗、创新、诚信、责任”的核心价值观，积极践行</w:t>
            </w:r>
            <w:r w:rsidRPr="0052529E">
              <w:rPr>
                <w:rFonts w:ascii="Times New Roman" w:hAnsi="Times New Roman" w:hint="eastAsia"/>
                <w:sz w:val="24"/>
                <w:szCs w:val="24"/>
              </w:rPr>
              <w:t>ESG</w:t>
            </w:r>
            <w:r w:rsidRPr="0052529E">
              <w:rPr>
                <w:rFonts w:ascii="Times New Roman" w:hAnsi="Times New Roman" w:hint="eastAsia"/>
                <w:sz w:val="24"/>
                <w:szCs w:val="24"/>
              </w:rPr>
              <w:t>可持续发展理念，将绿色发展纳入公司战略。近年来，公司持续深化</w:t>
            </w:r>
            <w:r w:rsidRPr="0052529E">
              <w:rPr>
                <w:rFonts w:ascii="Times New Roman" w:hAnsi="Times New Roman" w:hint="eastAsia"/>
                <w:sz w:val="24"/>
                <w:szCs w:val="24"/>
              </w:rPr>
              <w:t>ISO 14001</w:t>
            </w:r>
            <w:r w:rsidRPr="0052529E">
              <w:rPr>
                <w:rFonts w:ascii="Times New Roman" w:hAnsi="Times New Roman" w:hint="eastAsia"/>
                <w:sz w:val="24"/>
                <w:szCs w:val="24"/>
              </w:rPr>
              <w:t>环境管理体系与</w:t>
            </w:r>
            <w:r w:rsidRPr="0052529E">
              <w:rPr>
                <w:rFonts w:ascii="Times New Roman" w:hAnsi="Times New Roman" w:hint="eastAsia"/>
                <w:sz w:val="24"/>
                <w:szCs w:val="24"/>
              </w:rPr>
              <w:t>ISO 50001</w:t>
            </w:r>
            <w:r w:rsidRPr="0052529E">
              <w:rPr>
                <w:rFonts w:ascii="Times New Roman" w:hAnsi="Times New Roman" w:hint="eastAsia"/>
                <w:sz w:val="24"/>
                <w:szCs w:val="24"/>
              </w:rPr>
              <w:t>能源管理体系的有效运行，严格遵循“绿色工厂”、“绿色供应链”标准，于</w:t>
            </w:r>
            <w:r w:rsidRPr="0052529E">
              <w:rPr>
                <w:rFonts w:ascii="Times New Roman" w:hAnsi="Times New Roman" w:hint="eastAsia"/>
                <w:sz w:val="24"/>
                <w:szCs w:val="24"/>
              </w:rPr>
              <w:t>2020</w:t>
            </w:r>
            <w:r w:rsidRPr="0052529E">
              <w:rPr>
                <w:rFonts w:ascii="Times New Roman" w:hAnsi="Times New Roman" w:hint="eastAsia"/>
                <w:sz w:val="24"/>
                <w:szCs w:val="24"/>
              </w:rPr>
              <w:t>年荣获“国家绿色工厂”称号，并于</w:t>
            </w:r>
            <w:r w:rsidRPr="0052529E">
              <w:rPr>
                <w:rFonts w:ascii="Times New Roman" w:hAnsi="Times New Roman" w:hint="eastAsia"/>
                <w:sz w:val="24"/>
                <w:szCs w:val="24"/>
              </w:rPr>
              <w:t>2023</w:t>
            </w:r>
            <w:r w:rsidRPr="0052529E">
              <w:rPr>
                <w:rFonts w:ascii="Times New Roman" w:hAnsi="Times New Roman" w:hint="eastAsia"/>
                <w:sz w:val="24"/>
                <w:szCs w:val="24"/>
              </w:rPr>
              <w:t>年入选“国家绿色供应链管理企业”。</w:t>
            </w:r>
          </w:p>
          <w:p w14:paraId="7C7D4F00" w14:textId="77777777" w:rsidR="0052529E" w:rsidRPr="0052529E" w:rsidRDefault="0052529E" w:rsidP="00ED790D">
            <w:pPr>
              <w:pStyle w:val="Style6"/>
              <w:spacing w:line="360" w:lineRule="auto"/>
              <w:ind w:firstLineChars="0" w:firstLine="0"/>
              <w:rPr>
                <w:rFonts w:ascii="Times New Roman" w:hAnsi="Times New Roman" w:hint="eastAsia"/>
                <w:sz w:val="24"/>
                <w:szCs w:val="24"/>
              </w:rPr>
            </w:pPr>
            <w:r w:rsidRPr="0052529E">
              <w:rPr>
                <w:rFonts w:ascii="Times New Roman" w:hAnsi="Times New Roman" w:hint="eastAsia"/>
                <w:sz w:val="24"/>
                <w:szCs w:val="24"/>
              </w:rPr>
              <w:t>六是区位和产业链优势：公司所在地包头市被誉为“稀土之都”，稀土资源储量与产量均居全国首位，已形成从稀土采选、冶炼分离到深加工及下游应用的完整工业体系。这一优越的区位为公司带来了多重发展优势：一是资源与供应链优势。包头地区稀土资源富集，拥有北方稀土等行业龙头，有利于公司就近建立稳定、优质的原材</w:t>
            </w:r>
            <w:r w:rsidRPr="0052529E">
              <w:rPr>
                <w:rFonts w:ascii="Times New Roman" w:hAnsi="Times New Roman" w:hint="eastAsia"/>
                <w:sz w:val="24"/>
                <w:szCs w:val="24"/>
              </w:rPr>
              <w:lastRenderedPageBreak/>
              <w:t>料采购渠道，有效保障供应并控制成本。二是政策与营商环境优势。地方政府高度重视稀土产业集约化发展，积极推动“两个稀土基地”建设，在产业政策、项目支持与营商环境方面为企业提供了有力支撑。三是产业集群与协同优势。公司所在的包头稀土高新区是全国唯一以稀土命名的国家级高新区，已形成从原材料到终端应用的完整产业链，产业集聚效应显著。公司在此经营多年，在技术交流、业务合作、物流协同等方面享有便利，进一步降低了供应链成本，提升了运营效率。</w:t>
            </w:r>
          </w:p>
          <w:p w14:paraId="28BA05C0" w14:textId="77777777" w:rsidR="008328D7" w:rsidRDefault="0052529E" w:rsidP="0052529E">
            <w:pPr>
              <w:pStyle w:val="Style6"/>
              <w:spacing w:line="360" w:lineRule="auto"/>
              <w:ind w:firstLineChars="0" w:firstLine="0"/>
              <w:rPr>
                <w:rFonts w:ascii="Times New Roman" w:hAnsi="Times New Roman"/>
                <w:sz w:val="24"/>
                <w:szCs w:val="24"/>
              </w:rPr>
            </w:pPr>
            <w:r w:rsidRPr="0052529E">
              <w:rPr>
                <w:rFonts w:ascii="Times New Roman" w:hAnsi="Times New Roman" w:hint="eastAsia"/>
                <w:sz w:val="24"/>
                <w:szCs w:val="24"/>
              </w:rPr>
              <w:t>公司积极践行包头“两个稀土基地”的建设，构建了从磁材毛坯生产、成品加工到表面处理的全产业链能力，从而将区位优势转化为扎实的原料保障、技术创新、规模效应与质量成本等综合竞争优势。</w:t>
            </w:r>
          </w:p>
          <w:p w14:paraId="07542415" w14:textId="743EEC6A" w:rsidR="00ED790D" w:rsidRPr="009B62D0" w:rsidRDefault="00ED790D" w:rsidP="00ED790D">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8</w:t>
            </w:r>
            <w:r w:rsidRPr="001F6D08">
              <w:rPr>
                <w:rFonts w:ascii="Times New Roman" w:hAnsi="Times New Roman"/>
                <w:b/>
                <w:sz w:val="24"/>
                <w:szCs w:val="24"/>
              </w:rPr>
              <w:t>、</w:t>
            </w:r>
            <w:r w:rsidRPr="00ED790D">
              <w:rPr>
                <w:rFonts w:ascii="Times New Roman" w:hAnsi="Times New Roman"/>
                <w:b/>
                <w:sz w:val="24"/>
                <w:szCs w:val="24"/>
              </w:rPr>
              <w:t>2026</w:t>
            </w:r>
            <w:r w:rsidRPr="00ED790D">
              <w:rPr>
                <w:rFonts w:ascii="Times New Roman" w:hAnsi="Times New Roman"/>
                <w:b/>
                <w:sz w:val="24"/>
                <w:szCs w:val="24"/>
              </w:rPr>
              <w:t>年公司在研发和市场方面有哪些新举措或规划？</w:t>
            </w:r>
          </w:p>
          <w:p w14:paraId="2F0B3C23" w14:textId="77777777" w:rsidR="00ED790D" w:rsidRPr="00ED790D" w:rsidRDefault="00ED790D" w:rsidP="00ED790D">
            <w:pPr>
              <w:pStyle w:val="Style6"/>
              <w:spacing w:line="360" w:lineRule="auto"/>
              <w:ind w:firstLineChars="0" w:firstLine="0"/>
              <w:rPr>
                <w:rFonts w:ascii="Times New Roman" w:hAnsi="Times New Roman" w:hint="eastAsia"/>
                <w:sz w:val="24"/>
                <w:szCs w:val="24"/>
              </w:rPr>
            </w:pPr>
            <w:r>
              <w:rPr>
                <w:rFonts w:ascii="Times New Roman" w:hAnsi="Times New Roman" w:hint="eastAsia"/>
                <w:sz w:val="24"/>
                <w:szCs w:val="24"/>
              </w:rPr>
              <w:t>答：</w:t>
            </w:r>
            <w:r w:rsidRPr="00ED790D">
              <w:rPr>
                <w:rFonts w:ascii="Times New Roman" w:hAnsi="Times New Roman" w:hint="eastAsia"/>
                <w:sz w:val="24"/>
                <w:szCs w:val="24"/>
              </w:rPr>
              <w:t>2026</w:t>
            </w:r>
            <w:r w:rsidRPr="00ED790D">
              <w:rPr>
                <w:rFonts w:ascii="Times New Roman" w:hAnsi="Times New Roman" w:hint="eastAsia"/>
                <w:sz w:val="24"/>
                <w:szCs w:val="24"/>
              </w:rPr>
              <w:t>年是天和磁材上市的第二年，也是“十五五”规划的开局之年。立足新起点，公司以“创新”为年度发展主题，秉持“打破常规，拥抱变革”的理念，持续深耕高性能稀土永磁材料领域。</w:t>
            </w:r>
          </w:p>
          <w:p w14:paraId="5D0ED15F" w14:textId="471B0C06" w:rsidR="00ED790D" w:rsidRPr="00ED790D" w:rsidRDefault="00ED790D" w:rsidP="00ED790D">
            <w:pPr>
              <w:pStyle w:val="Style6"/>
              <w:spacing w:line="360" w:lineRule="auto"/>
              <w:ind w:firstLineChars="0" w:firstLine="0"/>
              <w:rPr>
                <w:rFonts w:ascii="Times New Roman" w:hAnsi="Times New Roman" w:hint="eastAsia"/>
                <w:sz w:val="24"/>
                <w:szCs w:val="24"/>
              </w:rPr>
            </w:pPr>
            <w:r w:rsidRPr="00ED790D">
              <w:rPr>
                <w:rFonts w:ascii="Times New Roman" w:hAnsi="Times New Roman" w:hint="eastAsia"/>
                <w:sz w:val="24"/>
                <w:szCs w:val="24"/>
              </w:rPr>
              <w:t>在研发方面：以“创新”为核心，持续加强研发投入，推动产品与技术升级</w:t>
            </w:r>
            <w:r>
              <w:rPr>
                <w:rFonts w:ascii="Times New Roman" w:hAnsi="Times New Roman" w:hint="eastAsia"/>
                <w:sz w:val="24"/>
                <w:szCs w:val="24"/>
              </w:rPr>
              <w:t>。</w:t>
            </w:r>
            <w:r w:rsidRPr="00ED790D">
              <w:rPr>
                <w:rFonts w:ascii="Times New Roman" w:hAnsi="Times New Roman" w:hint="eastAsia"/>
                <w:sz w:val="24"/>
                <w:szCs w:val="24"/>
              </w:rPr>
              <w:t>（</w:t>
            </w:r>
            <w:r w:rsidRPr="00ED790D">
              <w:rPr>
                <w:rFonts w:ascii="Times New Roman" w:hAnsi="Times New Roman" w:hint="eastAsia"/>
                <w:sz w:val="24"/>
                <w:szCs w:val="24"/>
              </w:rPr>
              <w:t>1</w:t>
            </w:r>
            <w:r w:rsidRPr="00ED790D">
              <w:rPr>
                <w:rFonts w:ascii="Times New Roman" w:hAnsi="Times New Roman" w:hint="eastAsia"/>
                <w:sz w:val="24"/>
                <w:szCs w:val="24"/>
              </w:rPr>
              <w:t>）持续开发高性能无重稀土产品与技术：在现有无重稀土磁体技术基础上，进一步优化磁体性能，满足客户对高性能产品的需求，降低对重稀土的依赖，提升材料综合成本优势。（</w:t>
            </w:r>
            <w:r w:rsidRPr="00ED790D">
              <w:rPr>
                <w:rFonts w:ascii="Times New Roman" w:hAnsi="Times New Roman" w:hint="eastAsia"/>
                <w:sz w:val="24"/>
                <w:szCs w:val="24"/>
              </w:rPr>
              <w:t>2</w:t>
            </w:r>
            <w:r w:rsidRPr="00ED790D">
              <w:rPr>
                <w:rFonts w:ascii="Times New Roman" w:hAnsi="Times New Roman" w:hint="eastAsia"/>
                <w:sz w:val="24"/>
                <w:szCs w:val="24"/>
              </w:rPr>
              <w:t>）深化布局人形机器人、低空经济等新兴领域：围绕机器人关节电机、无框力矩电机、低空飞行器驱动电机及相关传感部件等应用场景，开发定制化磁体与组件，精准对接人形机器人、智能执行器、智能穿戴设备等新兴市场的性能需求。（</w:t>
            </w:r>
            <w:r w:rsidRPr="00ED790D">
              <w:rPr>
                <w:rFonts w:ascii="Times New Roman" w:hAnsi="Times New Roman" w:hint="eastAsia"/>
                <w:sz w:val="24"/>
                <w:szCs w:val="24"/>
              </w:rPr>
              <w:t>3</w:t>
            </w:r>
            <w:r w:rsidRPr="00ED790D">
              <w:rPr>
                <w:rFonts w:ascii="Times New Roman" w:hAnsi="Times New Roman" w:hint="eastAsia"/>
                <w:sz w:val="24"/>
                <w:szCs w:val="24"/>
              </w:rPr>
              <w:t>）加快拓展多元化产品体系，向综合磁解决方案延伸：积极推进注塑磁、粘结磁、磁组件等高附加值产品的研发与产业化，加强对磁组件、电机定转子等领域的研发与产能投入，直接响应终端客户需求，推动公司从“磁材产品供应商”向“综合稀土永磁解决方案提供商”转型升级。</w:t>
            </w:r>
          </w:p>
          <w:p w14:paraId="06C06E78" w14:textId="632C2E32" w:rsidR="00ED790D" w:rsidRDefault="00ED790D" w:rsidP="00ED790D">
            <w:pPr>
              <w:pStyle w:val="Style6"/>
              <w:spacing w:line="360" w:lineRule="auto"/>
              <w:ind w:firstLineChars="0" w:firstLine="0"/>
              <w:rPr>
                <w:rFonts w:ascii="Times New Roman" w:hAnsi="Times New Roman"/>
                <w:sz w:val="24"/>
                <w:szCs w:val="24"/>
              </w:rPr>
            </w:pPr>
            <w:r w:rsidRPr="00ED790D">
              <w:rPr>
                <w:rFonts w:ascii="Times New Roman" w:hAnsi="Times New Roman" w:hint="eastAsia"/>
                <w:sz w:val="24"/>
                <w:szCs w:val="24"/>
              </w:rPr>
              <w:t>在市场销售方面：向新而行</w:t>
            </w:r>
            <w:r>
              <w:rPr>
                <w:rFonts w:ascii="Times New Roman" w:hAnsi="Times New Roman" w:hint="eastAsia"/>
                <w:sz w:val="24"/>
                <w:szCs w:val="24"/>
              </w:rPr>
              <w:t>，</w:t>
            </w:r>
            <w:r w:rsidRPr="00ED790D">
              <w:rPr>
                <w:rFonts w:ascii="Times New Roman" w:hAnsi="Times New Roman" w:hint="eastAsia"/>
                <w:sz w:val="24"/>
                <w:szCs w:val="24"/>
              </w:rPr>
              <w:t>聚焦新产品、新客户、新市场的拓展</w:t>
            </w:r>
            <w:r>
              <w:rPr>
                <w:rFonts w:ascii="Times New Roman" w:hAnsi="Times New Roman" w:hint="eastAsia"/>
                <w:sz w:val="24"/>
                <w:szCs w:val="24"/>
              </w:rPr>
              <w:t>。</w:t>
            </w:r>
            <w:r w:rsidRPr="00ED790D">
              <w:rPr>
                <w:rFonts w:ascii="Times New Roman" w:hAnsi="Times New Roman" w:hint="eastAsia"/>
                <w:sz w:val="24"/>
                <w:szCs w:val="24"/>
              </w:rPr>
              <w:t>2026</w:t>
            </w:r>
            <w:r w:rsidRPr="00ED790D">
              <w:rPr>
                <w:rFonts w:ascii="Times New Roman" w:hAnsi="Times New Roman" w:hint="eastAsia"/>
                <w:sz w:val="24"/>
                <w:szCs w:val="24"/>
              </w:rPr>
              <w:t>年，公司将围绕“深化客户关系、优化渠道布局、聚焦新兴市</w:t>
            </w:r>
            <w:r w:rsidRPr="00ED790D">
              <w:rPr>
                <w:rFonts w:ascii="Times New Roman" w:hAnsi="Times New Roman" w:hint="eastAsia"/>
                <w:sz w:val="24"/>
                <w:szCs w:val="24"/>
              </w:rPr>
              <w:lastRenderedPageBreak/>
              <w:t>场”展开销售工作，持续深耕国内外高端市场。公司将通过强化销售团队与区域办事处布局，在稳固现有主流市场与客户的基础上，积极开拓新客户与新市场；同时深化与高端客户的战略合作，提升客户粘性。在新产品新业务方面，公司一方面将持续聚焦人形机器人、低空经济等未来产业，大力推广粘结磁、注塑磁、磁组件等新产品，另一方面将大力推进磁材专用生产设备的销售和业务拓展。同时配套相应的考核与激励机制，以把握行业结构性增长机遇，布局新兴赛道，增强市场竞争力和市场份额。</w:t>
            </w:r>
          </w:p>
          <w:p w14:paraId="75E3C356" w14:textId="20F60DB5" w:rsidR="00261242" w:rsidRPr="00261242" w:rsidRDefault="00261242" w:rsidP="00261242">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9</w:t>
            </w:r>
            <w:r w:rsidRPr="001F6D08">
              <w:rPr>
                <w:rFonts w:ascii="Times New Roman" w:hAnsi="Times New Roman"/>
                <w:b/>
                <w:sz w:val="24"/>
                <w:szCs w:val="24"/>
              </w:rPr>
              <w:t>、</w:t>
            </w:r>
            <w:r w:rsidRPr="00261242">
              <w:rPr>
                <w:rFonts w:ascii="Times New Roman" w:hAnsi="Times New Roman"/>
                <w:b/>
                <w:sz w:val="24"/>
                <w:szCs w:val="24"/>
              </w:rPr>
              <w:t>2026</w:t>
            </w:r>
            <w:r w:rsidRPr="00261242">
              <w:rPr>
                <w:rFonts w:ascii="Times New Roman" w:hAnsi="Times New Roman"/>
                <w:b/>
                <w:sz w:val="24"/>
                <w:szCs w:val="24"/>
              </w:rPr>
              <w:t>年是公司创新年，打破常规，拥抱变革，那么公司在资本市场方面有哪些想法？</w:t>
            </w:r>
          </w:p>
          <w:p w14:paraId="0F44964A" w14:textId="6DBE5ABA" w:rsidR="00ED790D" w:rsidRPr="00ED790D" w:rsidRDefault="00261242" w:rsidP="00261242">
            <w:pPr>
              <w:pStyle w:val="Style6"/>
              <w:spacing w:line="360" w:lineRule="auto"/>
              <w:ind w:firstLineChars="0" w:firstLine="0"/>
              <w:rPr>
                <w:rFonts w:ascii="Times New Roman" w:hAnsi="Times New Roman" w:hint="eastAsia"/>
                <w:bCs/>
                <w:sz w:val="24"/>
                <w:szCs w:val="24"/>
              </w:rPr>
            </w:pPr>
            <w:r>
              <w:rPr>
                <w:rFonts w:ascii="Times New Roman" w:hAnsi="Times New Roman" w:hint="eastAsia"/>
                <w:sz w:val="24"/>
                <w:szCs w:val="24"/>
              </w:rPr>
              <w:t>答：</w:t>
            </w:r>
            <w:r w:rsidRPr="00261242">
              <w:rPr>
                <w:rFonts w:ascii="Times New Roman" w:hAnsi="Times New Roman"/>
                <w:sz w:val="24"/>
                <w:szCs w:val="24"/>
              </w:rPr>
              <w:t>2026</w:t>
            </w:r>
            <w:r w:rsidRPr="00261242">
              <w:rPr>
                <w:rFonts w:ascii="Times New Roman" w:hAnsi="Times New Roman"/>
                <w:sz w:val="24"/>
                <w:szCs w:val="24"/>
              </w:rPr>
              <w:t>年公司将加强投资者关系与市值管理，推动公司价值持续提升。公司将通过定期</w:t>
            </w:r>
            <w:r>
              <w:rPr>
                <w:rFonts w:ascii="Times New Roman" w:hAnsi="Times New Roman" w:hint="eastAsia"/>
                <w:sz w:val="24"/>
                <w:szCs w:val="24"/>
              </w:rPr>
              <w:t>发布</w:t>
            </w:r>
            <w:r w:rsidRPr="00261242">
              <w:rPr>
                <w:rFonts w:ascii="Times New Roman" w:hAnsi="Times New Roman"/>
                <w:sz w:val="24"/>
                <w:szCs w:val="24"/>
              </w:rPr>
              <w:t>财报、</w:t>
            </w:r>
            <w:r w:rsidR="00230999">
              <w:rPr>
                <w:rFonts w:ascii="Times New Roman" w:hAnsi="Times New Roman" w:hint="eastAsia"/>
                <w:sz w:val="24"/>
                <w:szCs w:val="24"/>
              </w:rPr>
              <w:t>举行</w:t>
            </w:r>
            <w:r w:rsidRPr="00261242">
              <w:rPr>
                <w:rFonts w:ascii="Times New Roman" w:hAnsi="Times New Roman"/>
                <w:sz w:val="24"/>
                <w:szCs w:val="24"/>
              </w:rPr>
              <w:t>业绩说明会等方式，与投资者保持透明、及时的沟通，全面呈现公司经营状况。同时，积极与机构投资者、分析师及中小投资者开展交流，传递公司战略与长期价值。在市值管理方面，公司将依托业务增长、技术创新与持续分红等方式，不断增强市场信心与股东回报。此外，公司将持续完善环境、社会与治理（</w:t>
            </w:r>
            <w:r w:rsidRPr="00261242">
              <w:rPr>
                <w:rFonts w:ascii="Times New Roman" w:hAnsi="Times New Roman"/>
                <w:sz w:val="24"/>
                <w:szCs w:val="24"/>
              </w:rPr>
              <w:t>ESG</w:t>
            </w:r>
            <w:r w:rsidRPr="00261242">
              <w:rPr>
                <w:rFonts w:ascii="Times New Roman" w:hAnsi="Times New Roman"/>
                <w:sz w:val="24"/>
                <w:szCs w:val="24"/>
              </w:rPr>
              <w:t>）表现，系统提升可持续发展能力与企业长期价值，推动公司在资本市场上实现稳健、可持续的发展。</w:t>
            </w:r>
          </w:p>
        </w:tc>
      </w:tr>
      <w:tr w:rsidR="00782C0D" w:rsidRPr="004810FC" w14:paraId="012FF7A2"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047261AD"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lastRenderedPageBreak/>
              <w:t>关于本次活动是否涉及应披露重大信息的说明</w:t>
            </w:r>
          </w:p>
        </w:tc>
        <w:tc>
          <w:tcPr>
            <w:tcW w:w="3909" w:type="pct"/>
            <w:tcBorders>
              <w:top w:val="single" w:sz="4" w:space="0" w:color="auto"/>
              <w:left w:val="single" w:sz="4" w:space="0" w:color="auto"/>
              <w:bottom w:val="single" w:sz="4" w:space="0" w:color="auto"/>
              <w:right w:val="single" w:sz="4" w:space="0" w:color="auto"/>
            </w:tcBorders>
            <w:vAlign w:val="center"/>
          </w:tcPr>
          <w:p w14:paraId="3319D5E8"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无</w:t>
            </w:r>
          </w:p>
        </w:tc>
      </w:tr>
      <w:tr w:rsidR="00782C0D" w:rsidRPr="004810FC" w14:paraId="4C2B266E"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83BA6DE"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附件清单（如有）</w:t>
            </w:r>
          </w:p>
        </w:tc>
        <w:tc>
          <w:tcPr>
            <w:tcW w:w="3909" w:type="pct"/>
            <w:tcBorders>
              <w:top w:val="single" w:sz="4" w:space="0" w:color="auto"/>
              <w:left w:val="single" w:sz="4" w:space="0" w:color="auto"/>
              <w:bottom w:val="single" w:sz="4" w:space="0" w:color="auto"/>
              <w:right w:val="single" w:sz="4" w:space="0" w:color="auto"/>
            </w:tcBorders>
            <w:vAlign w:val="center"/>
          </w:tcPr>
          <w:p w14:paraId="137D6227" w14:textId="27F37A61" w:rsidR="00782C0D" w:rsidRPr="004810FC" w:rsidRDefault="00BA2BDA" w:rsidP="00782C0D">
            <w:pPr>
              <w:spacing w:line="360" w:lineRule="auto"/>
              <w:rPr>
                <w:rFonts w:eastAsiaTheme="minorEastAsia"/>
                <w:bCs/>
                <w:iCs/>
                <w:color w:val="000000"/>
                <w:sz w:val="24"/>
                <w:szCs w:val="24"/>
              </w:rPr>
            </w:pPr>
            <w:r>
              <w:rPr>
                <w:rFonts w:eastAsiaTheme="minorEastAsia" w:hint="eastAsia"/>
                <w:bCs/>
                <w:iCs/>
                <w:color w:val="000000"/>
                <w:sz w:val="24"/>
                <w:szCs w:val="24"/>
              </w:rPr>
              <w:t>无</w:t>
            </w:r>
          </w:p>
        </w:tc>
      </w:tr>
      <w:tr w:rsidR="00D67BB9" w:rsidRPr="004810FC" w14:paraId="2F8ABCFD"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369458D7" w14:textId="7880FEF6" w:rsidR="00D67BB9" w:rsidRPr="004810FC" w:rsidRDefault="00D67BB9" w:rsidP="00782C0D">
            <w:pPr>
              <w:spacing w:line="360" w:lineRule="auto"/>
              <w:rPr>
                <w:rFonts w:eastAsiaTheme="minorEastAsia"/>
                <w:bCs/>
                <w:iCs/>
                <w:color w:val="000000"/>
                <w:sz w:val="24"/>
                <w:szCs w:val="24"/>
              </w:rPr>
            </w:pPr>
            <w:r>
              <w:rPr>
                <w:rFonts w:eastAsiaTheme="minorEastAsia" w:hint="eastAsia"/>
                <w:bCs/>
                <w:iCs/>
                <w:color w:val="000000"/>
                <w:sz w:val="24"/>
                <w:szCs w:val="24"/>
              </w:rPr>
              <w:t>日期</w:t>
            </w:r>
          </w:p>
        </w:tc>
        <w:tc>
          <w:tcPr>
            <w:tcW w:w="3909" w:type="pct"/>
            <w:tcBorders>
              <w:top w:val="single" w:sz="4" w:space="0" w:color="auto"/>
              <w:left w:val="single" w:sz="4" w:space="0" w:color="auto"/>
              <w:bottom w:val="single" w:sz="4" w:space="0" w:color="auto"/>
              <w:right w:val="single" w:sz="4" w:space="0" w:color="auto"/>
            </w:tcBorders>
            <w:vAlign w:val="center"/>
          </w:tcPr>
          <w:p w14:paraId="7420F603" w14:textId="3055C984" w:rsidR="00D67BB9" w:rsidRPr="00463D67" w:rsidRDefault="00D67BB9" w:rsidP="00782C0D">
            <w:pPr>
              <w:spacing w:line="360" w:lineRule="auto"/>
              <w:rPr>
                <w:rFonts w:eastAsiaTheme="minorEastAsia"/>
                <w:bCs/>
                <w:iCs/>
                <w:color w:val="000000"/>
                <w:sz w:val="24"/>
                <w:szCs w:val="24"/>
              </w:rPr>
            </w:pPr>
            <w:r>
              <w:rPr>
                <w:rFonts w:eastAsiaTheme="minorEastAsia" w:hint="eastAsia"/>
                <w:bCs/>
                <w:iCs/>
                <w:sz w:val="24"/>
                <w:szCs w:val="24"/>
              </w:rPr>
              <w:t>202</w:t>
            </w:r>
            <w:r w:rsidR="00F45EB7">
              <w:rPr>
                <w:rFonts w:eastAsiaTheme="minorEastAsia" w:hint="eastAsia"/>
                <w:bCs/>
                <w:iCs/>
                <w:sz w:val="24"/>
                <w:szCs w:val="24"/>
              </w:rPr>
              <w:t>6</w:t>
            </w:r>
            <w:r>
              <w:rPr>
                <w:rFonts w:eastAsiaTheme="minorEastAsia" w:hint="eastAsia"/>
                <w:bCs/>
                <w:iCs/>
                <w:sz w:val="24"/>
                <w:szCs w:val="24"/>
              </w:rPr>
              <w:t>年</w:t>
            </w:r>
            <w:r w:rsidR="00F45EB7">
              <w:rPr>
                <w:rFonts w:eastAsiaTheme="minorEastAsia" w:hint="eastAsia"/>
                <w:bCs/>
                <w:iCs/>
                <w:sz w:val="24"/>
                <w:szCs w:val="24"/>
              </w:rPr>
              <w:t>5</w:t>
            </w:r>
            <w:r>
              <w:rPr>
                <w:rFonts w:eastAsiaTheme="minorEastAsia" w:hint="eastAsia"/>
                <w:bCs/>
                <w:iCs/>
                <w:sz w:val="24"/>
                <w:szCs w:val="24"/>
              </w:rPr>
              <w:t>月</w:t>
            </w:r>
            <w:r w:rsidR="00F45EB7">
              <w:rPr>
                <w:rFonts w:eastAsiaTheme="minorEastAsia" w:hint="eastAsia"/>
                <w:bCs/>
                <w:iCs/>
                <w:sz w:val="24"/>
                <w:szCs w:val="24"/>
              </w:rPr>
              <w:t>26</w:t>
            </w:r>
            <w:r>
              <w:rPr>
                <w:rFonts w:eastAsiaTheme="minorEastAsia" w:hint="eastAsia"/>
                <w:bCs/>
                <w:iCs/>
                <w:sz w:val="24"/>
                <w:szCs w:val="24"/>
              </w:rPr>
              <w:t>日</w:t>
            </w:r>
          </w:p>
        </w:tc>
      </w:tr>
    </w:tbl>
    <w:p w14:paraId="2D39FA38" w14:textId="63F0A58A" w:rsidR="00C436A7" w:rsidRDefault="00C436A7" w:rsidP="00BA5E94">
      <w:pPr>
        <w:widowControl/>
        <w:jc w:val="left"/>
        <w:rPr>
          <w:rFonts w:eastAsiaTheme="minorEastAsia"/>
        </w:rPr>
      </w:pPr>
    </w:p>
    <w:sectPr w:rsidR="00C436A7">
      <w:headerReference w:type="default" r:id="rId7"/>
      <w:headerReference w:type="first" r:id="rId8"/>
      <w:pgSz w:w="11906" w:h="16838"/>
      <w:pgMar w:top="1440" w:right="1797" w:bottom="1440" w:left="1797" w:header="850" w:footer="0"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0A7D" w14:textId="77777777" w:rsidR="005A5B29" w:rsidRDefault="005A5B29">
      <w:r>
        <w:separator/>
      </w:r>
    </w:p>
  </w:endnote>
  <w:endnote w:type="continuationSeparator" w:id="0">
    <w:p w14:paraId="445163FA" w14:textId="77777777" w:rsidR="005A5B29" w:rsidRDefault="005A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A82C" w14:textId="77777777" w:rsidR="005A5B29" w:rsidRDefault="005A5B29">
      <w:r>
        <w:separator/>
      </w:r>
    </w:p>
  </w:footnote>
  <w:footnote w:type="continuationSeparator" w:id="0">
    <w:p w14:paraId="27D53EE0" w14:textId="77777777" w:rsidR="005A5B29" w:rsidRDefault="005A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7CC5" w14:textId="77777777" w:rsidR="00ED79BD" w:rsidRDefault="00ED79BD">
    <w:pPr>
      <w:pStyle w:val="a7"/>
      <w:pBdr>
        <w:bottom w:val="none" w:sz="0" w:space="0" w:color="auto"/>
      </w:pBdr>
      <w:rPr>
        <w:rFonts w:ascii="Times New Roman" w:hAnsi="Times New Roman" w:cs="Times New Roman"/>
        <w:sz w:val="21"/>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476E" w14:textId="2ABA6B30" w:rsidR="00ED79BD" w:rsidRDefault="00000000">
    <w:pPr>
      <w:pStyle w:val="a7"/>
      <w:pBdr>
        <w:bottom w:val="none" w:sz="0" w:space="0" w:color="auto"/>
      </w:pBdr>
      <w:rPr>
        <w:rFonts w:ascii="Times New Roman" w:hAnsi="Times New Roman" w:cs="Times New Roman"/>
        <w:sz w:val="21"/>
        <w:szCs w:val="21"/>
      </w:rPr>
    </w:pPr>
    <w:r>
      <w:rPr>
        <w:rFonts w:ascii="Times New Roman" w:hAnsi="Times New Roman" w:cs="Times New Roman"/>
        <w:sz w:val="21"/>
        <w:szCs w:val="21"/>
      </w:rPr>
      <w:t>证券代码：</w:t>
    </w:r>
    <w:r w:rsidR="00C436A7">
      <w:rPr>
        <w:rFonts w:ascii="Times New Roman" w:hAnsi="Times New Roman" w:cs="Times New Roman" w:hint="eastAsia"/>
        <w:sz w:val="21"/>
        <w:szCs w:val="21"/>
      </w:rPr>
      <w:t>603072</w:t>
    </w:r>
    <w:r w:rsidR="00C436A7">
      <w:rPr>
        <w:rFonts w:ascii="Times New Roman" w:hAnsi="Times New Roman" w:cs="Times New Roman"/>
        <w:sz w:val="21"/>
        <w:szCs w:val="21"/>
      </w:rPr>
      <w:tab/>
    </w:r>
    <w:r>
      <w:rPr>
        <w:rFonts w:ascii="Times New Roman" w:hAnsi="Times New Roman" w:cs="Times New Roman"/>
        <w:sz w:val="21"/>
        <w:szCs w:val="21"/>
      </w:rPr>
      <w:ptab w:relativeTo="margin" w:alignment="center" w:leader="none"/>
    </w:r>
    <w:r>
      <w:rPr>
        <w:rFonts w:ascii="Times New Roman" w:hAnsi="Times New Roman" w:cs="Times New Roman"/>
        <w:sz w:val="21"/>
        <w:szCs w:val="21"/>
      </w:rPr>
      <w:ptab w:relativeTo="margin" w:alignment="right" w:leader="none"/>
    </w:r>
    <w:r>
      <w:rPr>
        <w:rFonts w:ascii="Times New Roman" w:hAnsi="Times New Roman" w:cs="Times New Roman"/>
        <w:sz w:val="21"/>
        <w:szCs w:val="21"/>
      </w:rPr>
      <w:t>证券简称：</w:t>
    </w:r>
    <w:r w:rsidR="00C436A7">
      <w:rPr>
        <w:rFonts w:ascii="Times New Roman" w:hAnsi="Times New Roman" w:cs="Times New Roman" w:hint="eastAsia"/>
        <w:sz w:val="21"/>
        <w:szCs w:val="21"/>
      </w:rPr>
      <w:t>天和磁材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709D"/>
    <w:multiLevelType w:val="hybridMultilevel"/>
    <w:tmpl w:val="6E1823D6"/>
    <w:lvl w:ilvl="0" w:tplc="0A06D792">
      <w:start w:val="1"/>
      <w:numFmt w:val="decimal"/>
      <w:lvlText w:val="%1、"/>
      <w:lvlJc w:val="left"/>
      <w:pPr>
        <w:tabs>
          <w:tab w:val="num" w:pos="862"/>
        </w:tabs>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96924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3E"/>
    <w:rsid w:val="00000D53"/>
    <w:rsid w:val="00001A44"/>
    <w:rsid w:val="00005DC7"/>
    <w:rsid w:val="00010E2E"/>
    <w:rsid w:val="00012C0E"/>
    <w:rsid w:val="0001590A"/>
    <w:rsid w:val="00017DAD"/>
    <w:rsid w:val="0002668D"/>
    <w:rsid w:val="000325CA"/>
    <w:rsid w:val="00036FE7"/>
    <w:rsid w:val="0004058A"/>
    <w:rsid w:val="00040F76"/>
    <w:rsid w:val="00043592"/>
    <w:rsid w:val="000601B6"/>
    <w:rsid w:val="00067BE6"/>
    <w:rsid w:val="0007243B"/>
    <w:rsid w:val="000754F1"/>
    <w:rsid w:val="000849F3"/>
    <w:rsid w:val="000901A2"/>
    <w:rsid w:val="000933FF"/>
    <w:rsid w:val="00095313"/>
    <w:rsid w:val="000A42A2"/>
    <w:rsid w:val="000A62C1"/>
    <w:rsid w:val="000B222F"/>
    <w:rsid w:val="000B41EE"/>
    <w:rsid w:val="000B58D4"/>
    <w:rsid w:val="000C6659"/>
    <w:rsid w:val="000C6D27"/>
    <w:rsid w:val="000D758F"/>
    <w:rsid w:val="000E0759"/>
    <w:rsid w:val="000E47E4"/>
    <w:rsid w:val="000E5ACE"/>
    <w:rsid w:val="000F14FC"/>
    <w:rsid w:val="000F1E31"/>
    <w:rsid w:val="000F500B"/>
    <w:rsid w:val="000F6057"/>
    <w:rsid w:val="000F7ECD"/>
    <w:rsid w:val="001001E2"/>
    <w:rsid w:val="00100A5F"/>
    <w:rsid w:val="00101F48"/>
    <w:rsid w:val="0010436C"/>
    <w:rsid w:val="00115E6C"/>
    <w:rsid w:val="00117AF5"/>
    <w:rsid w:val="00132177"/>
    <w:rsid w:val="00132831"/>
    <w:rsid w:val="00133827"/>
    <w:rsid w:val="00136988"/>
    <w:rsid w:val="001430B6"/>
    <w:rsid w:val="00150ABC"/>
    <w:rsid w:val="0015196C"/>
    <w:rsid w:val="00152863"/>
    <w:rsid w:val="00152D51"/>
    <w:rsid w:val="00153CA0"/>
    <w:rsid w:val="00154FB4"/>
    <w:rsid w:val="001655BB"/>
    <w:rsid w:val="00167464"/>
    <w:rsid w:val="00167E44"/>
    <w:rsid w:val="001732F8"/>
    <w:rsid w:val="0017662F"/>
    <w:rsid w:val="001770EC"/>
    <w:rsid w:val="00181375"/>
    <w:rsid w:val="00181C63"/>
    <w:rsid w:val="00183B35"/>
    <w:rsid w:val="00190A23"/>
    <w:rsid w:val="00191BD8"/>
    <w:rsid w:val="00195D94"/>
    <w:rsid w:val="001A0635"/>
    <w:rsid w:val="001B4D74"/>
    <w:rsid w:val="001C09B3"/>
    <w:rsid w:val="001C1EAF"/>
    <w:rsid w:val="001C5E7E"/>
    <w:rsid w:val="001E0B3A"/>
    <w:rsid w:val="001E5577"/>
    <w:rsid w:val="001F4926"/>
    <w:rsid w:val="001F5EB4"/>
    <w:rsid w:val="001F69DD"/>
    <w:rsid w:val="001F6D08"/>
    <w:rsid w:val="00200387"/>
    <w:rsid w:val="00206933"/>
    <w:rsid w:val="00206A06"/>
    <w:rsid w:val="002159D1"/>
    <w:rsid w:val="00220E62"/>
    <w:rsid w:val="00230999"/>
    <w:rsid w:val="00231103"/>
    <w:rsid w:val="002432AF"/>
    <w:rsid w:val="0024390C"/>
    <w:rsid w:val="00244710"/>
    <w:rsid w:val="00244C38"/>
    <w:rsid w:val="00247FF5"/>
    <w:rsid w:val="0025477D"/>
    <w:rsid w:val="00254B8E"/>
    <w:rsid w:val="00261242"/>
    <w:rsid w:val="00261438"/>
    <w:rsid w:val="00267B5C"/>
    <w:rsid w:val="00267D01"/>
    <w:rsid w:val="002700DD"/>
    <w:rsid w:val="002718CA"/>
    <w:rsid w:val="002719DA"/>
    <w:rsid w:val="00276F72"/>
    <w:rsid w:val="00283108"/>
    <w:rsid w:val="00290BD3"/>
    <w:rsid w:val="00296382"/>
    <w:rsid w:val="002979C1"/>
    <w:rsid w:val="002B304B"/>
    <w:rsid w:val="002B68D9"/>
    <w:rsid w:val="002C1489"/>
    <w:rsid w:val="002C4044"/>
    <w:rsid w:val="002C6E8D"/>
    <w:rsid w:val="002C740D"/>
    <w:rsid w:val="002D122D"/>
    <w:rsid w:val="002D2319"/>
    <w:rsid w:val="002D2D78"/>
    <w:rsid w:val="002D4DAC"/>
    <w:rsid w:val="002E022A"/>
    <w:rsid w:val="002F4179"/>
    <w:rsid w:val="00300E4E"/>
    <w:rsid w:val="00312949"/>
    <w:rsid w:val="00321351"/>
    <w:rsid w:val="00330AF1"/>
    <w:rsid w:val="00331F94"/>
    <w:rsid w:val="00335890"/>
    <w:rsid w:val="00341D0B"/>
    <w:rsid w:val="00342E26"/>
    <w:rsid w:val="00344BEE"/>
    <w:rsid w:val="00350821"/>
    <w:rsid w:val="00357F4E"/>
    <w:rsid w:val="0036086F"/>
    <w:rsid w:val="003623BF"/>
    <w:rsid w:val="003630C0"/>
    <w:rsid w:val="00367179"/>
    <w:rsid w:val="00373DF5"/>
    <w:rsid w:val="00374DFE"/>
    <w:rsid w:val="00376300"/>
    <w:rsid w:val="003834EF"/>
    <w:rsid w:val="003870AD"/>
    <w:rsid w:val="003873B3"/>
    <w:rsid w:val="003933C4"/>
    <w:rsid w:val="003B28E8"/>
    <w:rsid w:val="003B2A7A"/>
    <w:rsid w:val="003B51EE"/>
    <w:rsid w:val="003C2D63"/>
    <w:rsid w:val="003C3C78"/>
    <w:rsid w:val="003C3D5C"/>
    <w:rsid w:val="003C3EA4"/>
    <w:rsid w:val="003C7E9B"/>
    <w:rsid w:val="003E779F"/>
    <w:rsid w:val="003F4921"/>
    <w:rsid w:val="003F55CD"/>
    <w:rsid w:val="00405A89"/>
    <w:rsid w:val="00405C70"/>
    <w:rsid w:val="004075B1"/>
    <w:rsid w:val="004115D0"/>
    <w:rsid w:val="00413112"/>
    <w:rsid w:val="00415C01"/>
    <w:rsid w:val="00415D23"/>
    <w:rsid w:val="00423D04"/>
    <w:rsid w:val="00425671"/>
    <w:rsid w:val="00427122"/>
    <w:rsid w:val="00427FBF"/>
    <w:rsid w:val="00442AE5"/>
    <w:rsid w:val="00456DD3"/>
    <w:rsid w:val="00457757"/>
    <w:rsid w:val="00460709"/>
    <w:rsid w:val="004625B1"/>
    <w:rsid w:val="00462A7D"/>
    <w:rsid w:val="00462C19"/>
    <w:rsid w:val="00463D67"/>
    <w:rsid w:val="004650E1"/>
    <w:rsid w:val="00472FC2"/>
    <w:rsid w:val="0047434E"/>
    <w:rsid w:val="00475716"/>
    <w:rsid w:val="004810FC"/>
    <w:rsid w:val="00483C1E"/>
    <w:rsid w:val="0048790E"/>
    <w:rsid w:val="00493049"/>
    <w:rsid w:val="00493613"/>
    <w:rsid w:val="00493977"/>
    <w:rsid w:val="00493FFA"/>
    <w:rsid w:val="00494F19"/>
    <w:rsid w:val="0049638A"/>
    <w:rsid w:val="004A0FB1"/>
    <w:rsid w:val="004A5626"/>
    <w:rsid w:val="004A7257"/>
    <w:rsid w:val="004B5B5E"/>
    <w:rsid w:val="004B6198"/>
    <w:rsid w:val="004C21DC"/>
    <w:rsid w:val="004D099E"/>
    <w:rsid w:val="004D16CE"/>
    <w:rsid w:val="004D4B0F"/>
    <w:rsid w:val="004E33F2"/>
    <w:rsid w:val="004E5A03"/>
    <w:rsid w:val="004E6A66"/>
    <w:rsid w:val="004E74B9"/>
    <w:rsid w:val="004F6DB0"/>
    <w:rsid w:val="004F7BC7"/>
    <w:rsid w:val="0050045E"/>
    <w:rsid w:val="0050362E"/>
    <w:rsid w:val="005129A6"/>
    <w:rsid w:val="00514C19"/>
    <w:rsid w:val="0052529E"/>
    <w:rsid w:val="00534FF5"/>
    <w:rsid w:val="00535C27"/>
    <w:rsid w:val="0053789B"/>
    <w:rsid w:val="00546B4C"/>
    <w:rsid w:val="005475A7"/>
    <w:rsid w:val="00551E7A"/>
    <w:rsid w:val="00552EAC"/>
    <w:rsid w:val="00555D00"/>
    <w:rsid w:val="00561C13"/>
    <w:rsid w:val="00562CE1"/>
    <w:rsid w:val="00562D4A"/>
    <w:rsid w:val="0056307C"/>
    <w:rsid w:val="00567F7E"/>
    <w:rsid w:val="005705B4"/>
    <w:rsid w:val="00572AA1"/>
    <w:rsid w:val="00575E80"/>
    <w:rsid w:val="00583F6E"/>
    <w:rsid w:val="00594494"/>
    <w:rsid w:val="005A2614"/>
    <w:rsid w:val="005A3518"/>
    <w:rsid w:val="005A5B29"/>
    <w:rsid w:val="005A65D3"/>
    <w:rsid w:val="005B4B4D"/>
    <w:rsid w:val="005B65D6"/>
    <w:rsid w:val="005C3C68"/>
    <w:rsid w:val="005C618E"/>
    <w:rsid w:val="005C65DB"/>
    <w:rsid w:val="005D2BB4"/>
    <w:rsid w:val="005D5686"/>
    <w:rsid w:val="005E1794"/>
    <w:rsid w:val="005E723E"/>
    <w:rsid w:val="005F1470"/>
    <w:rsid w:val="005F6C1A"/>
    <w:rsid w:val="005F71DE"/>
    <w:rsid w:val="005F74CD"/>
    <w:rsid w:val="006012EF"/>
    <w:rsid w:val="006053BF"/>
    <w:rsid w:val="00605FDB"/>
    <w:rsid w:val="00606231"/>
    <w:rsid w:val="0060736A"/>
    <w:rsid w:val="006200D1"/>
    <w:rsid w:val="00632FA4"/>
    <w:rsid w:val="00636125"/>
    <w:rsid w:val="00645E6F"/>
    <w:rsid w:val="00652C30"/>
    <w:rsid w:val="006635CF"/>
    <w:rsid w:val="0066423A"/>
    <w:rsid w:val="00665007"/>
    <w:rsid w:val="006659ED"/>
    <w:rsid w:val="00672846"/>
    <w:rsid w:val="006741CD"/>
    <w:rsid w:val="006803DB"/>
    <w:rsid w:val="006929D6"/>
    <w:rsid w:val="00695DB9"/>
    <w:rsid w:val="006A121F"/>
    <w:rsid w:val="006A59AD"/>
    <w:rsid w:val="006A74CA"/>
    <w:rsid w:val="006B6A72"/>
    <w:rsid w:val="006B7544"/>
    <w:rsid w:val="006C08D8"/>
    <w:rsid w:val="006C16CF"/>
    <w:rsid w:val="006C31C8"/>
    <w:rsid w:val="006E10A4"/>
    <w:rsid w:val="006E1B73"/>
    <w:rsid w:val="006F3555"/>
    <w:rsid w:val="007012A4"/>
    <w:rsid w:val="0070194B"/>
    <w:rsid w:val="0071414E"/>
    <w:rsid w:val="00720F06"/>
    <w:rsid w:val="00721EE8"/>
    <w:rsid w:val="00731CF8"/>
    <w:rsid w:val="007322BE"/>
    <w:rsid w:val="007337A1"/>
    <w:rsid w:val="00735571"/>
    <w:rsid w:val="007362A6"/>
    <w:rsid w:val="007428C2"/>
    <w:rsid w:val="007603F2"/>
    <w:rsid w:val="00762EEE"/>
    <w:rsid w:val="00762FD4"/>
    <w:rsid w:val="007655DF"/>
    <w:rsid w:val="007669A4"/>
    <w:rsid w:val="00770BAD"/>
    <w:rsid w:val="00776A7E"/>
    <w:rsid w:val="00782C0D"/>
    <w:rsid w:val="00785B54"/>
    <w:rsid w:val="00787278"/>
    <w:rsid w:val="0079020D"/>
    <w:rsid w:val="007923CA"/>
    <w:rsid w:val="00792F59"/>
    <w:rsid w:val="00793838"/>
    <w:rsid w:val="00794BE7"/>
    <w:rsid w:val="007A1FE6"/>
    <w:rsid w:val="007A4CBF"/>
    <w:rsid w:val="007A51BA"/>
    <w:rsid w:val="007A5721"/>
    <w:rsid w:val="007A7C20"/>
    <w:rsid w:val="007B127E"/>
    <w:rsid w:val="007B318E"/>
    <w:rsid w:val="007B4C26"/>
    <w:rsid w:val="007D23D7"/>
    <w:rsid w:val="007D369C"/>
    <w:rsid w:val="007D5A9E"/>
    <w:rsid w:val="007D7FE4"/>
    <w:rsid w:val="007E2EA4"/>
    <w:rsid w:val="007F2C8D"/>
    <w:rsid w:val="007F556D"/>
    <w:rsid w:val="008010D5"/>
    <w:rsid w:val="00803E28"/>
    <w:rsid w:val="008045D8"/>
    <w:rsid w:val="0081049D"/>
    <w:rsid w:val="0081055D"/>
    <w:rsid w:val="00816660"/>
    <w:rsid w:val="00820557"/>
    <w:rsid w:val="00825F84"/>
    <w:rsid w:val="008313CD"/>
    <w:rsid w:val="00831639"/>
    <w:rsid w:val="008328D7"/>
    <w:rsid w:val="00835577"/>
    <w:rsid w:val="008407E5"/>
    <w:rsid w:val="0084092F"/>
    <w:rsid w:val="00840FAF"/>
    <w:rsid w:val="00841468"/>
    <w:rsid w:val="008425DC"/>
    <w:rsid w:val="00846A1B"/>
    <w:rsid w:val="00853121"/>
    <w:rsid w:val="00865E75"/>
    <w:rsid w:val="00866053"/>
    <w:rsid w:val="00871EF1"/>
    <w:rsid w:val="00882818"/>
    <w:rsid w:val="00884D5A"/>
    <w:rsid w:val="00885186"/>
    <w:rsid w:val="00890960"/>
    <w:rsid w:val="00894D60"/>
    <w:rsid w:val="008965EA"/>
    <w:rsid w:val="00897C1F"/>
    <w:rsid w:val="008A7E61"/>
    <w:rsid w:val="008C016A"/>
    <w:rsid w:val="008C404C"/>
    <w:rsid w:val="008D39FE"/>
    <w:rsid w:val="008D7BDF"/>
    <w:rsid w:val="008E2246"/>
    <w:rsid w:val="008F7925"/>
    <w:rsid w:val="009001DE"/>
    <w:rsid w:val="009114F1"/>
    <w:rsid w:val="00950C73"/>
    <w:rsid w:val="00952CDA"/>
    <w:rsid w:val="009734E2"/>
    <w:rsid w:val="00973E23"/>
    <w:rsid w:val="009807BE"/>
    <w:rsid w:val="00983D9E"/>
    <w:rsid w:val="00983F87"/>
    <w:rsid w:val="00987667"/>
    <w:rsid w:val="009918CD"/>
    <w:rsid w:val="0099210F"/>
    <w:rsid w:val="00992AD0"/>
    <w:rsid w:val="00996EBC"/>
    <w:rsid w:val="009A2F70"/>
    <w:rsid w:val="009A3D94"/>
    <w:rsid w:val="009A65D4"/>
    <w:rsid w:val="009A6DB5"/>
    <w:rsid w:val="009B27CA"/>
    <w:rsid w:val="009B2FED"/>
    <w:rsid w:val="009B62D0"/>
    <w:rsid w:val="009C189A"/>
    <w:rsid w:val="009C4866"/>
    <w:rsid w:val="009C56FC"/>
    <w:rsid w:val="009D1EFA"/>
    <w:rsid w:val="009D3BD6"/>
    <w:rsid w:val="009D46D3"/>
    <w:rsid w:val="009D6446"/>
    <w:rsid w:val="009E119C"/>
    <w:rsid w:val="009E3F8E"/>
    <w:rsid w:val="009E4934"/>
    <w:rsid w:val="009E4EBE"/>
    <w:rsid w:val="009F14D7"/>
    <w:rsid w:val="009F208A"/>
    <w:rsid w:val="009F2719"/>
    <w:rsid w:val="009F4A36"/>
    <w:rsid w:val="009F5F2B"/>
    <w:rsid w:val="009F6A67"/>
    <w:rsid w:val="00A00C02"/>
    <w:rsid w:val="00A10475"/>
    <w:rsid w:val="00A25446"/>
    <w:rsid w:val="00A34001"/>
    <w:rsid w:val="00A3503B"/>
    <w:rsid w:val="00A37F45"/>
    <w:rsid w:val="00A452D7"/>
    <w:rsid w:val="00A47D0A"/>
    <w:rsid w:val="00A5421B"/>
    <w:rsid w:val="00A57DED"/>
    <w:rsid w:val="00A57F5B"/>
    <w:rsid w:val="00A62C14"/>
    <w:rsid w:val="00A6326E"/>
    <w:rsid w:val="00A63754"/>
    <w:rsid w:val="00A655C4"/>
    <w:rsid w:val="00A66AE1"/>
    <w:rsid w:val="00A67805"/>
    <w:rsid w:val="00A77F91"/>
    <w:rsid w:val="00A844F8"/>
    <w:rsid w:val="00A856BA"/>
    <w:rsid w:val="00A8681F"/>
    <w:rsid w:val="00A90E05"/>
    <w:rsid w:val="00A916E9"/>
    <w:rsid w:val="00A9173B"/>
    <w:rsid w:val="00A91E24"/>
    <w:rsid w:val="00A92A7A"/>
    <w:rsid w:val="00AA1DF1"/>
    <w:rsid w:val="00AA3FF5"/>
    <w:rsid w:val="00AB156F"/>
    <w:rsid w:val="00AB3165"/>
    <w:rsid w:val="00AB6F06"/>
    <w:rsid w:val="00AB6F90"/>
    <w:rsid w:val="00AC76E7"/>
    <w:rsid w:val="00AD13CE"/>
    <w:rsid w:val="00AD2D49"/>
    <w:rsid w:val="00AD2FF1"/>
    <w:rsid w:val="00AE28FF"/>
    <w:rsid w:val="00AE3E2B"/>
    <w:rsid w:val="00AF2D7E"/>
    <w:rsid w:val="00B01A7D"/>
    <w:rsid w:val="00B02E02"/>
    <w:rsid w:val="00B203A6"/>
    <w:rsid w:val="00B25DE0"/>
    <w:rsid w:val="00B26949"/>
    <w:rsid w:val="00B270E1"/>
    <w:rsid w:val="00B3023D"/>
    <w:rsid w:val="00B32939"/>
    <w:rsid w:val="00B34ECA"/>
    <w:rsid w:val="00B36B7A"/>
    <w:rsid w:val="00B370AE"/>
    <w:rsid w:val="00B37700"/>
    <w:rsid w:val="00B43C15"/>
    <w:rsid w:val="00B5143A"/>
    <w:rsid w:val="00B55697"/>
    <w:rsid w:val="00B558CD"/>
    <w:rsid w:val="00B56262"/>
    <w:rsid w:val="00B56BFE"/>
    <w:rsid w:val="00B63A1B"/>
    <w:rsid w:val="00B6409E"/>
    <w:rsid w:val="00B6755D"/>
    <w:rsid w:val="00B67C53"/>
    <w:rsid w:val="00B67EC3"/>
    <w:rsid w:val="00B72602"/>
    <w:rsid w:val="00B77F4D"/>
    <w:rsid w:val="00B806C7"/>
    <w:rsid w:val="00B82F1B"/>
    <w:rsid w:val="00B9283B"/>
    <w:rsid w:val="00BA0534"/>
    <w:rsid w:val="00BA1267"/>
    <w:rsid w:val="00BA2BDA"/>
    <w:rsid w:val="00BA2F57"/>
    <w:rsid w:val="00BA5E94"/>
    <w:rsid w:val="00BC00A0"/>
    <w:rsid w:val="00BC027D"/>
    <w:rsid w:val="00BC17B1"/>
    <w:rsid w:val="00BC470C"/>
    <w:rsid w:val="00BC4D98"/>
    <w:rsid w:val="00BC58EB"/>
    <w:rsid w:val="00BC65E2"/>
    <w:rsid w:val="00BC68AD"/>
    <w:rsid w:val="00BD3E48"/>
    <w:rsid w:val="00BD645D"/>
    <w:rsid w:val="00BE24FE"/>
    <w:rsid w:val="00BE3154"/>
    <w:rsid w:val="00BE7713"/>
    <w:rsid w:val="00C01339"/>
    <w:rsid w:val="00C275F2"/>
    <w:rsid w:val="00C309BE"/>
    <w:rsid w:val="00C30A7D"/>
    <w:rsid w:val="00C33162"/>
    <w:rsid w:val="00C35A39"/>
    <w:rsid w:val="00C400C4"/>
    <w:rsid w:val="00C436A7"/>
    <w:rsid w:val="00C504AC"/>
    <w:rsid w:val="00C5245D"/>
    <w:rsid w:val="00C53947"/>
    <w:rsid w:val="00C64E02"/>
    <w:rsid w:val="00C75F8E"/>
    <w:rsid w:val="00C76C16"/>
    <w:rsid w:val="00C8285C"/>
    <w:rsid w:val="00C83F51"/>
    <w:rsid w:val="00C86FE8"/>
    <w:rsid w:val="00C919B1"/>
    <w:rsid w:val="00CA0BDC"/>
    <w:rsid w:val="00CA51B1"/>
    <w:rsid w:val="00CB26DF"/>
    <w:rsid w:val="00CB3FF9"/>
    <w:rsid w:val="00CC1D6E"/>
    <w:rsid w:val="00CC4339"/>
    <w:rsid w:val="00CE4E49"/>
    <w:rsid w:val="00CF5DA5"/>
    <w:rsid w:val="00D016AB"/>
    <w:rsid w:val="00D02A13"/>
    <w:rsid w:val="00D03B1B"/>
    <w:rsid w:val="00D04AB9"/>
    <w:rsid w:val="00D10A49"/>
    <w:rsid w:val="00D117D3"/>
    <w:rsid w:val="00D177E0"/>
    <w:rsid w:val="00D20789"/>
    <w:rsid w:val="00D26037"/>
    <w:rsid w:val="00D301FA"/>
    <w:rsid w:val="00D32FC7"/>
    <w:rsid w:val="00D33129"/>
    <w:rsid w:val="00D41A0A"/>
    <w:rsid w:val="00D46318"/>
    <w:rsid w:val="00D50D51"/>
    <w:rsid w:val="00D51AD7"/>
    <w:rsid w:val="00D5429F"/>
    <w:rsid w:val="00D60B85"/>
    <w:rsid w:val="00D6424B"/>
    <w:rsid w:val="00D67BB9"/>
    <w:rsid w:val="00D72C95"/>
    <w:rsid w:val="00D76501"/>
    <w:rsid w:val="00D770D3"/>
    <w:rsid w:val="00D81CC0"/>
    <w:rsid w:val="00D85C72"/>
    <w:rsid w:val="00D90A39"/>
    <w:rsid w:val="00D931CE"/>
    <w:rsid w:val="00D973BB"/>
    <w:rsid w:val="00DA033A"/>
    <w:rsid w:val="00DA0892"/>
    <w:rsid w:val="00DA325F"/>
    <w:rsid w:val="00DA696F"/>
    <w:rsid w:val="00DB0DDC"/>
    <w:rsid w:val="00DB1367"/>
    <w:rsid w:val="00DB49D0"/>
    <w:rsid w:val="00DB7F90"/>
    <w:rsid w:val="00DC6F43"/>
    <w:rsid w:val="00DC7870"/>
    <w:rsid w:val="00DD183E"/>
    <w:rsid w:val="00DD56FE"/>
    <w:rsid w:val="00DD6417"/>
    <w:rsid w:val="00DF0236"/>
    <w:rsid w:val="00DF5A91"/>
    <w:rsid w:val="00E006E3"/>
    <w:rsid w:val="00E063BA"/>
    <w:rsid w:val="00E160AB"/>
    <w:rsid w:val="00E215C6"/>
    <w:rsid w:val="00E22BF0"/>
    <w:rsid w:val="00E2783C"/>
    <w:rsid w:val="00E33AE1"/>
    <w:rsid w:val="00E34F33"/>
    <w:rsid w:val="00E368D8"/>
    <w:rsid w:val="00E403B0"/>
    <w:rsid w:val="00E416BA"/>
    <w:rsid w:val="00E425D1"/>
    <w:rsid w:val="00E425E1"/>
    <w:rsid w:val="00E5441D"/>
    <w:rsid w:val="00E6231C"/>
    <w:rsid w:val="00E62371"/>
    <w:rsid w:val="00E8184D"/>
    <w:rsid w:val="00E831A1"/>
    <w:rsid w:val="00E93CF4"/>
    <w:rsid w:val="00E94841"/>
    <w:rsid w:val="00EA1BC5"/>
    <w:rsid w:val="00EA67BF"/>
    <w:rsid w:val="00EB4FB9"/>
    <w:rsid w:val="00EB79F7"/>
    <w:rsid w:val="00EC0366"/>
    <w:rsid w:val="00EC3198"/>
    <w:rsid w:val="00ED603A"/>
    <w:rsid w:val="00ED60CE"/>
    <w:rsid w:val="00ED790D"/>
    <w:rsid w:val="00ED79BD"/>
    <w:rsid w:val="00EE40C1"/>
    <w:rsid w:val="00F01308"/>
    <w:rsid w:val="00F020E2"/>
    <w:rsid w:val="00F02869"/>
    <w:rsid w:val="00F35AFC"/>
    <w:rsid w:val="00F45280"/>
    <w:rsid w:val="00F45EB7"/>
    <w:rsid w:val="00F61571"/>
    <w:rsid w:val="00F65392"/>
    <w:rsid w:val="00F6643B"/>
    <w:rsid w:val="00F718AF"/>
    <w:rsid w:val="00F74181"/>
    <w:rsid w:val="00F74B39"/>
    <w:rsid w:val="00F75C52"/>
    <w:rsid w:val="00F775C9"/>
    <w:rsid w:val="00F84C60"/>
    <w:rsid w:val="00F939B3"/>
    <w:rsid w:val="00F949EC"/>
    <w:rsid w:val="00FA09E5"/>
    <w:rsid w:val="00FA0B84"/>
    <w:rsid w:val="00FA6512"/>
    <w:rsid w:val="00FB1875"/>
    <w:rsid w:val="00FB2661"/>
    <w:rsid w:val="00FB6311"/>
    <w:rsid w:val="00FC559F"/>
    <w:rsid w:val="00FD246E"/>
    <w:rsid w:val="00FD42F5"/>
    <w:rsid w:val="00FE138E"/>
    <w:rsid w:val="00FE20BE"/>
    <w:rsid w:val="00FE23EB"/>
    <w:rsid w:val="00FE4BD2"/>
    <w:rsid w:val="00FF232A"/>
    <w:rsid w:val="BE931691"/>
    <w:rsid w:val="FB56B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D2CC"/>
  <w15:docId w15:val="{8A1E31AD-6050-41DE-A17E-94D2677B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Theme="minorHAnsi" w:eastAsiaTheme="minorEastAsia" w:hAnsiTheme="minorHAnsi"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003">
    <w:name w:val="003三级标题"/>
    <w:basedOn w:val="a"/>
    <w:link w:val="003Char"/>
    <w:qFormat/>
    <w:pPr>
      <w:keepNext/>
      <w:keepLines/>
      <w:adjustRightInd w:val="0"/>
      <w:snapToGrid w:val="0"/>
      <w:spacing w:beforeLines="50" w:before="50" w:afterLines="50" w:after="50" w:line="360" w:lineRule="auto"/>
      <w:ind w:firstLineChars="200" w:firstLine="200"/>
      <w:outlineLvl w:val="2"/>
    </w:pPr>
    <w:rPr>
      <w:rFonts w:ascii="Calibri" w:hAnsi="Calibri"/>
      <w:b/>
      <w:bCs/>
      <w:sz w:val="24"/>
      <w:szCs w:val="28"/>
      <w:lang w:val="zh-CN"/>
    </w:rPr>
  </w:style>
  <w:style w:type="paragraph" w:customStyle="1" w:styleId="005">
    <w:name w:val="005正文"/>
    <w:basedOn w:val="a"/>
    <w:link w:val="005CharChar"/>
    <w:qFormat/>
    <w:pPr>
      <w:spacing w:beforeLines="50" w:before="50" w:afterLines="50" w:after="50" w:line="360" w:lineRule="auto"/>
      <w:ind w:firstLineChars="200" w:firstLine="200"/>
    </w:pPr>
    <w:rPr>
      <w:rFonts w:ascii="Calibri" w:hAnsi="Calibri"/>
      <w:sz w:val="24"/>
      <w:szCs w:val="22"/>
    </w:rPr>
  </w:style>
  <w:style w:type="character" w:customStyle="1" w:styleId="003Char">
    <w:name w:val="003三级标题 Char"/>
    <w:link w:val="003"/>
    <w:qFormat/>
    <w:rPr>
      <w:rFonts w:ascii="Calibri" w:eastAsia="宋体" w:hAnsi="Calibri" w:cs="Times New Roman"/>
      <w:b/>
      <w:bCs/>
      <w:sz w:val="24"/>
      <w:szCs w:val="28"/>
      <w:lang w:val="zh-CN" w:eastAsia="zh-CN"/>
    </w:rPr>
  </w:style>
  <w:style w:type="character" w:customStyle="1" w:styleId="005CharChar">
    <w:name w:val="005正文 Char Char"/>
    <w:link w:val="005"/>
    <w:qFormat/>
    <w:rPr>
      <w:rFonts w:ascii="Calibri" w:eastAsia="宋体" w:hAnsi="Calibri" w:cs="Times New Roman"/>
      <w:sz w:val="24"/>
    </w:rPr>
  </w:style>
  <w:style w:type="paragraph" w:customStyle="1" w:styleId="006">
    <w:name w:val="006备注"/>
    <w:basedOn w:val="a"/>
    <w:qFormat/>
    <w:pPr>
      <w:adjustRightInd w:val="0"/>
    </w:pPr>
    <w:rPr>
      <w:rFonts w:cs="Arial"/>
      <w:bCs/>
      <w:szCs w:val="22"/>
    </w:rPr>
  </w:style>
  <w:style w:type="paragraph" w:customStyle="1" w:styleId="009">
    <w:name w:val="009单位"/>
    <w:basedOn w:val="005"/>
    <w:link w:val="009Char"/>
    <w:qFormat/>
    <w:pPr>
      <w:keepNext/>
      <w:adjustRightInd w:val="0"/>
      <w:snapToGrid w:val="0"/>
      <w:spacing w:beforeLines="0" w:before="0" w:afterLines="0" w:after="0" w:line="240" w:lineRule="auto"/>
      <w:ind w:firstLineChars="0" w:firstLine="0"/>
      <w:jc w:val="right"/>
    </w:pPr>
    <w:rPr>
      <w:rFonts w:ascii="Times New Roman" w:hAnsi="Times New Roman"/>
      <w:sz w:val="21"/>
      <w:lang w:val="zh-CN"/>
    </w:rPr>
  </w:style>
  <w:style w:type="character" w:customStyle="1" w:styleId="009Char">
    <w:name w:val="009单位 Char"/>
    <w:link w:val="009"/>
    <w:qFormat/>
    <w:locked/>
    <w:rPr>
      <w:rFonts w:ascii="Times New Roman" w:eastAsia="宋体" w:hAnsi="Times New Roman" w:cs="Times New Roman"/>
      <w:lang w:val="zh-CN" w:eastAsia="zh-CN"/>
    </w:rPr>
  </w:style>
  <w:style w:type="character" w:customStyle="1" w:styleId="a4">
    <w:name w:val="批注文字 字符"/>
    <w:basedOn w:val="a0"/>
    <w:link w:val="a3"/>
    <w:uiPriority w:val="99"/>
    <w:qFormat/>
  </w:style>
  <w:style w:type="character" w:customStyle="1" w:styleId="aa">
    <w:name w:val="批注主题 字符"/>
    <w:basedOn w:val="a4"/>
    <w:link w:val="a9"/>
    <w:uiPriority w:val="99"/>
    <w:semiHidden/>
    <w:qFormat/>
    <w:rPr>
      <w:b/>
      <w:bCs/>
    </w:rPr>
  </w:style>
  <w:style w:type="character" w:customStyle="1" w:styleId="fontstyle01">
    <w:name w:val="fontstyle01"/>
    <w:basedOn w:val="a0"/>
    <w:qFormat/>
    <w:rPr>
      <w:rFonts w:ascii="宋体" w:eastAsia="宋体" w:hAnsi="宋体" w:hint="eastAsia"/>
      <w:color w:val="000000"/>
      <w:sz w:val="24"/>
      <w:szCs w:val="24"/>
    </w:rPr>
  </w:style>
  <w:style w:type="paragraph" w:styleId="ac">
    <w:name w:val="List Paragraph"/>
    <w:basedOn w:val="a"/>
    <w:uiPriority w:val="99"/>
    <w:qFormat/>
    <w:pPr>
      <w:ind w:firstLineChars="200" w:firstLine="420"/>
    </w:pPr>
  </w:style>
  <w:style w:type="character" w:styleId="ad">
    <w:name w:val="Hyperlink"/>
    <w:basedOn w:val="a0"/>
    <w:uiPriority w:val="99"/>
    <w:unhideWhenUsed/>
    <w:rsid w:val="00AB6F90"/>
    <w:rPr>
      <w:color w:val="0563C1" w:themeColor="hyperlink"/>
      <w:u w:val="single"/>
    </w:rPr>
  </w:style>
  <w:style w:type="character" w:styleId="ae">
    <w:name w:val="Unresolved Mention"/>
    <w:basedOn w:val="a0"/>
    <w:uiPriority w:val="99"/>
    <w:semiHidden/>
    <w:unhideWhenUsed/>
    <w:rsid w:val="00AB6F90"/>
    <w:rPr>
      <w:color w:val="605E5C"/>
      <w:shd w:val="clear" w:color="auto" w:fill="E1DFDD"/>
    </w:rPr>
  </w:style>
  <w:style w:type="paragraph" w:customStyle="1" w:styleId="Style6">
    <w:name w:val="_Style 6"/>
    <w:basedOn w:val="a"/>
    <w:uiPriority w:val="34"/>
    <w:qFormat/>
    <w:rsid w:val="00825F84"/>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8256">
      <w:bodyDiv w:val="1"/>
      <w:marLeft w:val="0"/>
      <w:marRight w:val="0"/>
      <w:marTop w:val="0"/>
      <w:marBottom w:val="0"/>
      <w:divBdr>
        <w:top w:val="none" w:sz="0" w:space="0" w:color="auto"/>
        <w:left w:val="none" w:sz="0" w:space="0" w:color="auto"/>
        <w:bottom w:val="none" w:sz="0" w:space="0" w:color="auto"/>
        <w:right w:val="none" w:sz="0" w:space="0" w:color="auto"/>
      </w:divBdr>
    </w:div>
    <w:div w:id="493645994">
      <w:bodyDiv w:val="1"/>
      <w:marLeft w:val="0"/>
      <w:marRight w:val="0"/>
      <w:marTop w:val="0"/>
      <w:marBottom w:val="0"/>
      <w:divBdr>
        <w:top w:val="none" w:sz="0" w:space="0" w:color="auto"/>
        <w:left w:val="none" w:sz="0" w:space="0" w:color="auto"/>
        <w:bottom w:val="none" w:sz="0" w:space="0" w:color="auto"/>
        <w:right w:val="none" w:sz="0" w:space="0" w:color="auto"/>
      </w:divBdr>
    </w:div>
    <w:div w:id="574164499">
      <w:bodyDiv w:val="1"/>
      <w:marLeft w:val="0"/>
      <w:marRight w:val="0"/>
      <w:marTop w:val="0"/>
      <w:marBottom w:val="0"/>
      <w:divBdr>
        <w:top w:val="none" w:sz="0" w:space="0" w:color="auto"/>
        <w:left w:val="none" w:sz="0" w:space="0" w:color="auto"/>
        <w:bottom w:val="none" w:sz="0" w:space="0" w:color="auto"/>
        <w:right w:val="none" w:sz="0" w:space="0" w:color="auto"/>
      </w:divBdr>
    </w:div>
    <w:div w:id="632253098">
      <w:bodyDiv w:val="1"/>
      <w:marLeft w:val="0"/>
      <w:marRight w:val="0"/>
      <w:marTop w:val="0"/>
      <w:marBottom w:val="0"/>
      <w:divBdr>
        <w:top w:val="none" w:sz="0" w:space="0" w:color="auto"/>
        <w:left w:val="none" w:sz="0" w:space="0" w:color="auto"/>
        <w:bottom w:val="none" w:sz="0" w:space="0" w:color="auto"/>
        <w:right w:val="none" w:sz="0" w:space="0" w:color="auto"/>
      </w:divBdr>
    </w:div>
    <w:div w:id="767769552">
      <w:bodyDiv w:val="1"/>
      <w:marLeft w:val="0"/>
      <w:marRight w:val="0"/>
      <w:marTop w:val="0"/>
      <w:marBottom w:val="0"/>
      <w:divBdr>
        <w:top w:val="none" w:sz="0" w:space="0" w:color="auto"/>
        <w:left w:val="none" w:sz="0" w:space="0" w:color="auto"/>
        <w:bottom w:val="none" w:sz="0" w:space="0" w:color="auto"/>
        <w:right w:val="none" w:sz="0" w:space="0" w:color="auto"/>
      </w:divBdr>
    </w:div>
    <w:div w:id="796950050">
      <w:bodyDiv w:val="1"/>
      <w:marLeft w:val="0"/>
      <w:marRight w:val="0"/>
      <w:marTop w:val="0"/>
      <w:marBottom w:val="0"/>
      <w:divBdr>
        <w:top w:val="none" w:sz="0" w:space="0" w:color="auto"/>
        <w:left w:val="none" w:sz="0" w:space="0" w:color="auto"/>
        <w:bottom w:val="none" w:sz="0" w:space="0" w:color="auto"/>
        <w:right w:val="none" w:sz="0" w:space="0" w:color="auto"/>
      </w:divBdr>
    </w:div>
    <w:div w:id="1420521904">
      <w:bodyDiv w:val="1"/>
      <w:marLeft w:val="0"/>
      <w:marRight w:val="0"/>
      <w:marTop w:val="0"/>
      <w:marBottom w:val="0"/>
      <w:divBdr>
        <w:top w:val="none" w:sz="0" w:space="0" w:color="auto"/>
        <w:left w:val="none" w:sz="0" w:space="0" w:color="auto"/>
        <w:bottom w:val="none" w:sz="0" w:space="0" w:color="auto"/>
        <w:right w:val="none" w:sz="0" w:space="0" w:color="auto"/>
      </w:divBdr>
    </w:div>
    <w:div w:id="1908491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3136</TotalTime>
  <Pages>6</Pages>
  <Words>2042</Words>
  <Characters>2553</Characters>
  <Application>Microsoft Office Word</Application>
  <DocSecurity>0</DocSecurity>
  <Lines>283</Lines>
  <Paragraphs>270</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Jesse Wan</cp:lastModifiedBy>
  <cp:revision>1139</cp:revision>
  <cp:lastPrinted>2022-09-21T17:16:00Z</cp:lastPrinted>
  <dcterms:created xsi:type="dcterms:W3CDTF">2022-07-12T15:34:00Z</dcterms:created>
  <dcterms:modified xsi:type="dcterms:W3CDTF">2026-05-28T01:46:00Z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2052-5.1.0.7657</vt:lpwstr>
  </property>
  <property fmtid="{D5CDD505-2E9C-101B-9397-08002B2CF9AE}" pid="3" name="ICV">
    <vt:lpwstr>870B565B9F6684926786E463EEA6FB50</vt:lpwstr>
  </property>
</Properties>
</file>