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CD993">
      <w:pPr>
        <w:spacing w:before="156" w:beforeLines="50" w:after="156" w:afterLines="50" w:line="400" w:lineRule="exact"/>
        <w:rPr>
          <w:rFonts w:hint="eastAsia" w:ascii="Times New Roman" w:hAnsi="Times New Roman" w:eastAsia="宋体"/>
          <w:bCs/>
          <w:iCs/>
          <w:color w:val="000000"/>
          <w:sz w:val="24"/>
          <w:lang w:val="en-US" w:eastAsia="zh-CN"/>
        </w:rPr>
      </w:pPr>
      <w:r>
        <w:rPr>
          <w:rFonts w:hint="eastAsia" w:ascii="Times New Roman" w:hAnsi="Times New Roman"/>
          <w:bCs/>
          <w:iCs/>
          <w:color w:val="000000"/>
          <w:sz w:val="24"/>
        </w:rPr>
        <w:t xml:space="preserve">证券代码：600067                               </w:t>
      </w:r>
      <w:r>
        <w:rPr>
          <w:rFonts w:ascii="Times New Roman" w:hAnsi="Times New Roman"/>
          <w:bCs/>
          <w:iCs/>
          <w:color w:val="000000"/>
          <w:sz w:val="24"/>
        </w:rPr>
        <w:t xml:space="preserve">    </w:t>
      </w:r>
      <w:r>
        <w:rPr>
          <w:rFonts w:hint="eastAsia" w:ascii="Times New Roman" w:hAnsi="Times New Roman"/>
          <w:bCs/>
          <w:iCs/>
          <w:color w:val="000000"/>
          <w:sz w:val="24"/>
        </w:rPr>
        <w:t>证券简称：冠城</w:t>
      </w:r>
      <w:r>
        <w:rPr>
          <w:rFonts w:hint="eastAsia" w:ascii="Times New Roman" w:hAnsi="Times New Roman"/>
          <w:bCs/>
          <w:iCs/>
          <w:color w:val="000000"/>
          <w:sz w:val="24"/>
          <w:lang w:val="en-US" w:eastAsia="zh-CN"/>
        </w:rPr>
        <w:t>新材</w:t>
      </w:r>
    </w:p>
    <w:p w14:paraId="36B3A89B">
      <w:pPr>
        <w:jc w:val="center"/>
        <w:rPr>
          <w:rFonts w:ascii="Times New Roman" w:hAnsi="Times New Roman"/>
          <w:b/>
          <w:bCs/>
          <w:sz w:val="30"/>
          <w:szCs w:val="30"/>
        </w:rPr>
      </w:pPr>
      <w:r>
        <w:rPr>
          <w:rFonts w:hint="eastAsia" w:ascii="Times New Roman" w:hAnsi="Times New Roman"/>
          <w:b/>
          <w:bCs/>
          <w:sz w:val="30"/>
          <w:szCs w:val="30"/>
        </w:rPr>
        <w:t>冠城大通</w:t>
      </w:r>
      <w:r>
        <w:rPr>
          <w:rFonts w:hint="eastAsia" w:ascii="Times New Roman" w:hAnsi="Times New Roman"/>
          <w:b/>
          <w:bCs/>
          <w:sz w:val="30"/>
          <w:szCs w:val="30"/>
          <w:lang w:val="en-US" w:eastAsia="zh-CN"/>
        </w:rPr>
        <w:t>新材料</w:t>
      </w:r>
      <w:r>
        <w:rPr>
          <w:rFonts w:hint="eastAsia" w:ascii="Times New Roman" w:hAnsi="Times New Roman"/>
          <w:b/>
          <w:bCs/>
          <w:sz w:val="30"/>
          <w:szCs w:val="30"/>
        </w:rPr>
        <w:t>股份有限公司投资者关系活动记录表</w:t>
      </w:r>
    </w:p>
    <w:p w14:paraId="255811BC">
      <w:pPr>
        <w:spacing w:line="400" w:lineRule="exact"/>
        <w:rPr>
          <w:rFonts w:ascii="Times New Roman" w:hAnsi="Times New Roman"/>
          <w:bCs/>
          <w:iCs/>
          <w:color w:val="000000"/>
          <w:sz w:val="24"/>
        </w:rPr>
      </w:pPr>
      <w:r>
        <w:rPr>
          <w:rFonts w:hint="eastAsia" w:ascii="Times New Roman" w:hAnsi="Times New Roman"/>
          <w:bCs/>
          <w:iCs/>
          <w:color w:val="000000"/>
          <w:sz w:val="24"/>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6AF9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EAD2174">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投资者关系活动类别</w:t>
            </w:r>
          </w:p>
          <w:p w14:paraId="12E935E9">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17C5EC29">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特定对象调研       </w:t>
            </w:r>
            <w:r>
              <w:rPr>
                <w:rFonts w:ascii="Times New Roman" w:hAnsi="Times New Roman"/>
                <w:sz w:val="24"/>
                <w:szCs w:val="24"/>
              </w:rPr>
              <w:t xml:space="preserve"> </w:t>
            </w:r>
            <w:r>
              <w:rPr>
                <w:rFonts w:hint="eastAsia" w:ascii="Times New Roman" w:hAnsi="Times New Roman"/>
                <w:bCs/>
                <w:iCs/>
                <w:color w:val="000000"/>
                <w:sz w:val="24"/>
                <w:szCs w:val="24"/>
              </w:rPr>
              <w:t>□</w:t>
            </w:r>
            <w:r>
              <w:rPr>
                <w:rFonts w:hint="eastAsia" w:ascii="Times New Roman" w:hAnsi="Times New Roman"/>
                <w:sz w:val="24"/>
                <w:szCs w:val="24"/>
              </w:rPr>
              <w:t>分析师会议</w:t>
            </w:r>
          </w:p>
          <w:p w14:paraId="1F01A36F">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媒体采访            </w:t>
            </w:r>
            <w:r>
              <w:rPr>
                <w:rFonts w:hint="eastAsia" w:ascii="Times New Roman" w:hAnsi="Times New Roman"/>
                <w:bCs/>
                <w:iCs/>
                <w:color w:val="000000"/>
                <w:sz w:val="24"/>
                <w:szCs w:val="24"/>
              </w:rPr>
              <w:sym w:font="Wingdings 2" w:char="0052"/>
            </w:r>
            <w:r>
              <w:rPr>
                <w:rFonts w:hint="eastAsia" w:ascii="Times New Roman" w:hAnsi="Times New Roman"/>
                <w:sz w:val="24"/>
                <w:szCs w:val="24"/>
              </w:rPr>
              <w:t>业绩说明会</w:t>
            </w:r>
          </w:p>
          <w:p w14:paraId="1CE79831">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新闻发布会          </w:t>
            </w:r>
            <w:r>
              <w:rPr>
                <w:rFonts w:hint="eastAsia" w:ascii="Times New Roman" w:hAnsi="Times New Roman"/>
                <w:bCs/>
                <w:iCs/>
                <w:color w:val="000000"/>
                <w:sz w:val="24"/>
                <w:szCs w:val="24"/>
                <w:lang w:eastAsia="zh-CN"/>
              </w:rPr>
              <w:t>□</w:t>
            </w:r>
            <w:r>
              <w:rPr>
                <w:rFonts w:hint="eastAsia" w:ascii="Times New Roman" w:hAnsi="Times New Roman"/>
                <w:sz w:val="24"/>
                <w:szCs w:val="24"/>
              </w:rPr>
              <w:t>路演活动</w:t>
            </w:r>
          </w:p>
          <w:p w14:paraId="7BC6527C">
            <w:pPr>
              <w:tabs>
                <w:tab w:val="left" w:pos="3045"/>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现场参观</w:t>
            </w:r>
            <w:r>
              <w:rPr>
                <w:rFonts w:hint="eastAsia" w:ascii="Times New Roman" w:hAnsi="Times New Roman"/>
                <w:bCs/>
                <w:iCs/>
                <w:color w:val="000000"/>
                <w:sz w:val="24"/>
                <w:szCs w:val="24"/>
              </w:rPr>
              <w:tab/>
            </w:r>
          </w:p>
          <w:p w14:paraId="02575237">
            <w:pPr>
              <w:tabs>
                <w:tab w:val="center" w:pos="3199"/>
              </w:tabs>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w:t>
            </w:r>
            <w:r>
              <w:rPr>
                <w:rFonts w:hint="eastAsia" w:ascii="Times New Roman" w:hAnsi="Times New Roman"/>
                <w:sz w:val="24"/>
                <w:szCs w:val="24"/>
              </w:rPr>
              <w:t xml:space="preserve">其他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w:t>
            </w:r>
          </w:p>
        </w:tc>
      </w:tr>
      <w:tr w14:paraId="3E6B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AA77D06">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参与单位名称及人员姓名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vAlign w:val="center"/>
          </w:tcPr>
          <w:p w14:paraId="56741589">
            <w:pPr>
              <w:spacing w:line="360" w:lineRule="auto"/>
              <w:rPr>
                <w:rFonts w:hint="eastAsia" w:ascii="Times New Roman" w:hAnsi="Times New Roman" w:eastAsia="宋体"/>
                <w:bCs/>
                <w:iCs/>
                <w:color w:val="000000"/>
                <w:sz w:val="24"/>
                <w:szCs w:val="24"/>
                <w:lang w:val="en-US" w:eastAsia="zh-CN"/>
              </w:rPr>
            </w:pPr>
            <w:r>
              <w:rPr>
                <w:rFonts w:hint="eastAsia" w:ascii="Times New Roman" w:hAnsi="Times New Roman"/>
                <w:bCs/>
                <w:iCs/>
                <w:color w:val="000000"/>
                <w:sz w:val="24"/>
                <w:szCs w:val="24"/>
                <w:lang w:val="en-US" w:eastAsia="zh-CN"/>
              </w:rPr>
              <w:t>参加公司</w:t>
            </w: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年度网上业绩说明会的</w:t>
            </w:r>
            <w:r>
              <w:rPr>
                <w:rFonts w:hint="eastAsia" w:ascii="Times New Roman" w:hAnsi="Times New Roman"/>
                <w:bCs/>
                <w:iCs/>
                <w:color w:val="000000"/>
                <w:sz w:val="24"/>
                <w:szCs w:val="24"/>
                <w:lang w:val="en-US" w:eastAsia="zh-CN"/>
              </w:rPr>
              <w:t>投资者</w:t>
            </w:r>
          </w:p>
        </w:tc>
      </w:tr>
      <w:tr w14:paraId="5170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D88E73B">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时间</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781B7BFA">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6</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27</w:t>
            </w:r>
            <w:r>
              <w:rPr>
                <w:rFonts w:hint="eastAsia" w:ascii="Times New Roman" w:hAnsi="Times New Roman"/>
                <w:bCs/>
                <w:iCs/>
                <w:color w:val="000000"/>
                <w:sz w:val="24"/>
                <w:szCs w:val="24"/>
              </w:rPr>
              <w:t>日</w:t>
            </w:r>
            <w:r>
              <w:rPr>
                <w:rFonts w:hint="eastAsia" w:ascii="Times New Roman" w:hAnsi="Times New Roman"/>
                <w:bCs/>
                <w:iCs/>
                <w:color w:val="000000"/>
                <w:sz w:val="24"/>
                <w:szCs w:val="24"/>
                <w:lang w:eastAsia="zh-CN"/>
              </w:rPr>
              <w:t>（</w:t>
            </w:r>
            <w:r>
              <w:rPr>
                <w:rFonts w:hint="eastAsia" w:ascii="Times New Roman" w:hAnsi="Times New Roman"/>
                <w:bCs/>
                <w:iCs/>
                <w:color w:val="000000"/>
                <w:sz w:val="24"/>
                <w:szCs w:val="24"/>
              </w:rPr>
              <w:t>星期</w:t>
            </w:r>
            <w:r>
              <w:rPr>
                <w:rFonts w:hint="eastAsia" w:ascii="Times New Roman" w:hAnsi="Times New Roman"/>
                <w:bCs/>
                <w:iCs/>
                <w:color w:val="000000"/>
                <w:sz w:val="24"/>
                <w:szCs w:val="24"/>
                <w:lang w:val="en-US" w:eastAsia="zh-CN"/>
              </w:rPr>
              <w:t>三</w:t>
            </w:r>
            <w:r>
              <w:rPr>
                <w:rFonts w:hint="eastAsia" w:ascii="Times New Roman" w:hAnsi="Times New Roman"/>
                <w:bCs/>
                <w:iCs/>
                <w:color w:val="000000"/>
                <w:sz w:val="24"/>
                <w:szCs w:val="24"/>
                <w:lang w:eastAsia="zh-CN"/>
              </w:rPr>
              <w:t>）</w:t>
            </w:r>
            <w:r>
              <w:rPr>
                <w:rFonts w:hint="eastAsia" w:ascii="Times New Roman" w:hAnsi="Times New Roman"/>
                <w:bCs/>
                <w:iCs/>
                <w:color w:val="000000"/>
                <w:sz w:val="24"/>
                <w:szCs w:val="24"/>
              </w:rPr>
              <w:t>下午1</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w:t>
            </w:r>
            <w:r>
              <w:rPr>
                <w:rFonts w:hint="eastAsia" w:ascii="Times New Roman" w:hAnsi="Times New Roman"/>
                <w:bCs/>
                <w:iCs/>
                <w:color w:val="000000"/>
                <w:sz w:val="24"/>
                <w:szCs w:val="24"/>
                <w:lang w:val="en-US" w:eastAsia="zh-CN"/>
              </w:rPr>
              <w:t>0</w:t>
            </w:r>
            <w:r>
              <w:rPr>
                <w:rFonts w:hint="eastAsia" w:ascii="Times New Roman" w:hAnsi="Times New Roman"/>
                <w:bCs/>
                <w:iCs/>
                <w:color w:val="000000"/>
                <w:sz w:val="24"/>
                <w:szCs w:val="24"/>
              </w:rPr>
              <w:t>0-1</w:t>
            </w:r>
            <w:r>
              <w:rPr>
                <w:rFonts w:hint="default" w:ascii="Times New Roman" w:hAnsi="Times New Roman"/>
                <w:bCs/>
                <w:iCs/>
                <w:color w:val="000000"/>
                <w:sz w:val="24"/>
                <w:szCs w:val="24"/>
                <w:lang w:val="en-US"/>
              </w:rPr>
              <w:t>6</w:t>
            </w:r>
            <w:r>
              <w:rPr>
                <w:rFonts w:hint="eastAsia" w:ascii="Times New Roman" w:hAnsi="Times New Roman"/>
                <w:bCs/>
                <w:iCs/>
                <w:color w:val="000000"/>
                <w:sz w:val="24"/>
                <w:szCs w:val="24"/>
              </w:rPr>
              <w:t>:00</w:t>
            </w:r>
          </w:p>
        </w:tc>
      </w:tr>
      <w:tr w14:paraId="0F2A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B79B274">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地点</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06C00275">
            <w:pPr>
              <w:spacing w:line="360" w:lineRule="auto"/>
              <w:rPr>
                <w:rFonts w:ascii="Times New Roman" w:hAnsi="Times New Roman"/>
                <w:bCs/>
                <w:iCs/>
                <w:color w:val="000000"/>
                <w:sz w:val="24"/>
                <w:szCs w:val="24"/>
              </w:rPr>
            </w:pPr>
            <w:r>
              <w:rPr>
                <w:color w:val="000000"/>
                <w:sz w:val="24"/>
              </w:rPr>
              <w:t>上证路演中心（</w:t>
            </w:r>
            <w:r>
              <w:rPr>
                <w:rFonts w:hint="default" w:ascii="Times New Roman" w:hAnsi="Times New Roman" w:cs="Times New Roman"/>
                <w:color w:val="000000"/>
                <w:sz w:val="24"/>
              </w:rPr>
              <w:t>网址：https://roadshow.sseinfo.com/）</w:t>
            </w:r>
          </w:p>
        </w:tc>
      </w:tr>
      <w:tr w14:paraId="0849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38FA708">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上市公司接待人员姓名</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7B6FBA45">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公司总裁韩孝捷先生，独立董事</w:t>
            </w:r>
            <w:r>
              <w:rPr>
                <w:rFonts w:hint="eastAsia" w:ascii="Times New Roman" w:hAnsi="Times New Roman"/>
                <w:bCs/>
                <w:iCs/>
                <w:color w:val="000000"/>
                <w:sz w:val="24"/>
                <w:szCs w:val="24"/>
                <w:lang w:val="en-US" w:eastAsia="zh-CN"/>
              </w:rPr>
              <w:t>胡超</w:t>
            </w:r>
            <w:r>
              <w:rPr>
                <w:rFonts w:hint="eastAsia" w:ascii="Times New Roman" w:hAnsi="Times New Roman"/>
                <w:bCs/>
                <w:iCs/>
                <w:color w:val="000000"/>
                <w:sz w:val="24"/>
                <w:szCs w:val="24"/>
              </w:rPr>
              <w:t>先生，财务总监李春先生，董事会秘书余坦锋先生。</w:t>
            </w:r>
          </w:p>
        </w:tc>
      </w:tr>
      <w:tr w14:paraId="47DE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42E08EC">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投资者关系活动主要内容介绍</w:t>
            </w:r>
          </w:p>
          <w:p w14:paraId="4518F1A4">
            <w:pPr>
              <w:spacing w:line="360" w:lineRule="auto"/>
              <w:rPr>
                <w:rFonts w:ascii="Times New Roman" w:hAnsi="Times New Roman"/>
                <w:b/>
                <w:bCs/>
                <w:iCs/>
                <w:color w:val="000000"/>
                <w:sz w:val="24"/>
                <w:szCs w:val="24"/>
              </w:rPr>
            </w:pP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63505AD5">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为便于广大投资者更全面深入地了解公司202</w:t>
            </w:r>
            <w:r>
              <w:rPr>
                <w:rFonts w:hint="eastAsia" w:ascii="Times New Roman" w:hAnsi="Times New Roman"/>
                <w:sz w:val="24"/>
                <w:lang w:val="en-US" w:eastAsia="zh-CN"/>
              </w:rPr>
              <w:t>5</w:t>
            </w:r>
            <w:r>
              <w:rPr>
                <w:rFonts w:hint="eastAsia" w:ascii="Times New Roman" w:hAnsi="Times New Roman"/>
                <w:sz w:val="24"/>
              </w:rPr>
              <w:t>年度经营成果、财务状况，进一步加强与投资者的互动交流，</w:t>
            </w:r>
            <w:r>
              <w:rPr>
                <w:rFonts w:hint="eastAsia" w:ascii="Times New Roman" w:hAnsi="Times New Roman"/>
                <w:sz w:val="24"/>
                <w:lang w:val="en-US" w:eastAsia="zh-CN"/>
              </w:rPr>
              <w:t>公司召开</w:t>
            </w:r>
            <w:r>
              <w:rPr>
                <w:rFonts w:hint="eastAsia" w:ascii="Times New Roman" w:hAnsi="Times New Roman"/>
                <w:sz w:val="24"/>
              </w:rPr>
              <w:t>202</w:t>
            </w:r>
            <w:r>
              <w:rPr>
                <w:rFonts w:hint="eastAsia" w:ascii="Times New Roman" w:hAnsi="Times New Roman"/>
                <w:sz w:val="24"/>
                <w:lang w:val="en-US" w:eastAsia="zh-CN"/>
              </w:rPr>
              <w:t>5</w:t>
            </w:r>
            <w:r>
              <w:rPr>
                <w:rFonts w:hint="eastAsia" w:ascii="Times New Roman" w:hAnsi="Times New Roman"/>
                <w:sz w:val="24"/>
              </w:rPr>
              <w:t>年度网上业绩说明会</w:t>
            </w:r>
            <w:r>
              <w:rPr>
                <w:rFonts w:hint="eastAsia" w:ascii="Times New Roman" w:hAnsi="Times New Roman"/>
                <w:sz w:val="24"/>
                <w:lang w:eastAsia="zh-CN"/>
              </w:rPr>
              <w:t>，以文字互动形式答复投资者问题。</w:t>
            </w:r>
            <w:r>
              <w:rPr>
                <w:rFonts w:hint="eastAsia" w:ascii="Times New Roman" w:hAnsi="Times New Roman"/>
                <w:sz w:val="24"/>
              </w:rPr>
              <w:t>主要问题及公司回复如下：</w:t>
            </w:r>
          </w:p>
          <w:p w14:paraId="69A5BE2D">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w:t>
            </w:r>
            <w:r>
              <w:rPr>
                <w:rFonts w:hint="eastAsia" w:ascii="Times New Roman" w:hAnsi="Times New Roman"/>
                <w:b/>
                <w:bCs/>
                <w:sz w:val="24"/>
                <w:lang w:val="en-US" w:eastAsia="zh-CN"/>
              </w:rPr>
              <w:t>问题：公</w:t>
            </w:r>
            <w:r>
              <w:rPr>
                <w:rFonts w:hint="eastAsia" w:ascii="Times New Roman" w:hAnsi="Times New Roman"/>
                <w:b/>
                <w:bCs/>
                <w:sz w:val="24"/>
              </w:rPr>
              <w:t>司布局机器人相关电磁线业务，目前处于送样测试、试样阶段，还是已经拿到客户订单并实现批量供货？后续产业化落地进度如何？</w:t>
            </w:r>
          </w:p>
          <w:p w14:paraId="6AD4B8A3">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您好，公司已向下游个别电机企业送样测试但未实现销售，未来能否供货、供货量多少将取决于下游客户开发、合作情况，存在不确定性。感谢您的关注。</w:t>
            </w:r>
          </w:p>
          <w:p w14:paraId="7FD9C432">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2、</w:t>
            </w:r>
            <w:r>
              <w:rPr>
                <w:rFonts w:hint="eastAsia" w:ascii="Times New Roman" w:hAnsi="Times New Roman"/>
                <w:b/>
                <w:bCs/>
                <w:sz w:val="24"/>
                <w:lang w:val="en-US" w:eastAsia="zh-CN"/>
              </w:rPr>
              <w:t>问题：公</w:t>
            </w:r>
            <w:r>
              <w:rPr>
                <w:rFonts w:hint="eastAsia" w:ascii="Times New Roman" w:hAnsi="Times New Roman"/>
                <w:b/>
                <w:bCs/>
                <w:sz w:val="24"/>
              </w:rPr>
              <w:t>司自2024年公告剥离房地产以来已逾两年，至今无实质进展。投资者互动平台仅回复“尚在推进当中”。上述两大核心项目的政府应收款约40亿元显然是地产板块估值的核心构成。2026年内若上述应收款仍无法到账，地产剥离是否会延期甚至搁置？上述政府应收款的回收障碍，是否为剥离无法落地的核心原因？请正面回应。</w:t>
            </w:r>
          </w:p>
          <w:p w14:paraId="0D7E1DCD">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您好。公司已在逐步清理地产业务，后续将继续积极推动。公司应收款是否回收与地产板块估值、剥离进展无直接关系，未知您应收款数据来源。感谢您的关注。</w:t>
            </w:r>
          </w:p>
          <w:p w14:paraId="1796B03F">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3、</w:t>
            </w:r>
            <w:r>
              <w:rPr>
                <w:rFonts w:hint="eastAsia" w:ascii="Times New Roman" w:hAnsi="Times New Roman"/>
                <w:b/>
                <w:bCs/>
                <w:sz w:val="24"/>
                <w:lang w:val="en-US" w:eastAsia="zh-CN"/>
              </w:rPr>
              <w:t>问题：</w:t>
            </w:r>
            <w:r>
              <w:rPr>
                <w:rFonts w:hint="eastAsia" w:ascii="Times New Roman" w:hAnsi="Times New Roman"/>
                <w:b/>
                <w:bCs/>
                <w:sz w:val="24"/>
              </w:rPr>
              <w:t>管理层好。我注意到公司核心股东目前的股权质押比例达到了50.41%，处于相对较高的水平。想请问管理层，目前是否有相应的风险控制措施来应对潜在的股价波动风险？公司如何保障在极端市场情况下，控股股东控制权的长期稳定性，以及这对公司未来的日常经营和战略发展是否会有潜在影响？大股东进行较高比例的股权质押，其主要的资金用途大概是用于支持上市公司的发展，还是股东自身的资金安排？另外，结合公司目前的业绩情况，管理层对于维持股价的稳定以及提振二级市场投资者信心，近期有没有具体的规划或利好释放？根据公开数据估算，公司大股东的股权质押平仓线大约在2.39元左右。如果未来遇到不可抗力的市场系统性风险导致股价大幅波动，控股股东是否有充足的资金或其他资产来补充质押物，以避免强制平仓对公司股价造成冲击？</w:t>
            </w:r>
          </w:p>
          <w:p w14:paraId="5509147F">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二级市场股票价格受宏观环境、行业因素、市场情绪等多重因素影响，公司将专注提升经营质量及核心竞争力，推动股价逐步回归合理区间。公司未知您信息来源，感谢您对控股股东相关事项关注，对于应披露事项我们将按规定予以披露。感谢您的建议和关注。</w:t>
            </w:r>
          </w:p>
          <w:p w14:paraId="0A2450B3">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4、</w:t>
            </w:r>
            <w:r>
              <w:rPr>
                <w:rFonts w:hint="eastAsia" w:ascii="Times New Roman" w:hAnsi="Times New Roman"/>
                <w:b/>
                <w:bCs/>
                <w:sz w:val="24"/>
                <w:lang w:val="en-US" w:eastAsia="zh-CN"/>
              </w:rPr>
              <w:t>问题：</w:t>
            </w:r>
            <w:r>
              <w:rPr>
                <w:rFonts w:hint="eastAsia" w:ascii="Times New Roman" w:hAnsi="Times New Roman"/>
                <w:b/>
                <w:bCs/>
                <w:sz w:val="24"/>
              </w:rPr>
              <w:t>贵公司发布并购先登高科是不是已经失败？能不能明确回答问题？</w:t>
            </w:r>
          </w:p>
          <w:p w14:paraId="04D4392C">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您好，鉴于投资先登高科事项交易各方对股份转让事项无法达成一致，经公司审慎研究后决定取消本次交易事项，各方已确认终止本次交易事项，公司已于定期报告中披露上述事宜。感谢您的关注。</w:t>
            </w:r>
          </w:p>
          <w:p w14:paraId="14098B55">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5、</w:t>
            </w:r>
            <w:r>
              <w:rPr>
                <w:rFonts w:hint="eastAsia" w:ascii="Times New Roman" w:hAnsi="Times New Roman"/>
                <w:b/>
                <w:bCs/>
                <w:sz w:val="24"/>
                <w:lang w:val="en-US" w:eastAsia="zh-CN"/>
              </w:rPr>
              <w:t>问题：</w:t>
            </w:r>
            <w:r>
              <w:rPr>
                <w:rFonts w:hint="eastAsia" w:ascii="Times New Roman" w:hAnsi="Times New Roman"/>
                <w:b/>
                <w:bCs/>
                <w:sz w:val="24"/>
              </w:rPr>
              <w:t>贵公司一直说玻璃地产，但是从发布公告到至今一直迟迟看不到公司的推进，请问贵公司能不能明确未来规划跟决心</w:t>
            </w:r>
          </w:p>
          <w:p w14:paraId="243C7CBE">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您好。公司已在逐步清理地产业务，后续将继续积极推动，根据相关规定及时履行信息披露义务。感谢您的关注。</w:t>
            </w:r>
          </w:p>
          <w:p w14:paraId="4FB92747">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6、</w:t>
            </w:r>
            <w:r>
              <w:rPr>
                <w:rFonts w:hint="eastAsia" w:ascii="Times New Roman" w:hAnsi="Times New Roman"/>
                <w:b/>
                <w:bCs/>
                <w:sz w:val="24"/>
                <w:lang w:val="en-US" w:eastAsia="zh-CN"/>
              </w:rPr>
              <w:t>问题：</w:t>
            </w:r>
            <w:r>
              <w:rPr>
                <w:rFonts w:hint="eastAsia" w:ascii="Times New Roman" w:hAnsi="Times New Roman"/>
                <w:b/>
                <w:bCs/>
                <w:sz w:val="24"/>
              </w:rPr>
              <w:t>公司内部管理是否健全是否存在管理混乱问题？</w:t>
            </w:r>
          </w:p>
          <w:p w14:paraId="7CECC07B">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您好，公司已建立完善的内控机制，感谢您的关注。</w:t>
            </w:r>
          </w:p>
          <w:p w14:paraId="74332477">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7、</w:t>
            </w:r>
            <w:r>
              <w:rPr>
                <w:rFonts w:hint="eastAsia" w:ascii="Times New Roman" w:hAnsi="Times New Roman"/>
                <w:b/>
                <w:bCs/>
                <w:sz w:val="24"/>
                <w:lang w:val="en-US" w:eastAsia="zh-CN"/>
              </w:rPr>
              <w:t>问题：</w:t>
            </w:r>
            <w:r>
              <w:rPr>
                <w:rFonts w:hint="eastAsia" w:ascii="Times New Roman" w:hAnsi="Times New Roman"/>
                <w:b/>
                <w:bCs/>
                <w:sz w:val="24"/>
              </w:rPr>
              <w:t>您好，请问公司制造电磁线和扁线需要用到大量的铜，铜价的上涨对公司是利好还是铜价的下跌对公司是利好，还是公司的效益与铜价的涨跌没有关系？</w:t>
            </w:r>
          </w:p>
          <w:p w14:paraId="15903829">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您好，公司电磁线采用“电解铜+加工费”的定价模式，以降低原材料价格波动风险。感谢您的关注。</w:t>
            </w:r>
          </w:p>
          <w:p w14:paraId="5169F755">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8、</w:t>
            </w:r>
            <w:r>
              <w:rPr>
                <w:rFonts w:hint="eastAsia" w:ascii="Times New Roman" w:hAnsi="Times New Roman"/>
                <w:b/>
                <w:bCs/>
                <w:sz w:val="24"/>
                <w:lang w:val="en-US" w:eastAsia="zh-CN"/>
              </w:rPr>
              <w:t>问题：</w:t>
            </w:r>
            <w:r>
              <w:rPr>
                <w:rFonts w:hint="eastAsia" w:ascii="Times New Roman" w:hAnsi="Times New Roman"/>
                <w:b/>
                <w:bCs/>
                <w:sz w:val="24"/>
              </w:rPr>
              <w:t>请问公司冠城新材是否是国家电网等头部企业的核心供应商？是不是中国西电的供应商？公司将怎样抓住国家“十五五”（2026—2030年）电网规划的核心目标加快构建新型电力系统的机遇？公司有哪些产品应用于电网建设？</w:t>
            </w:r>
          </w:p>
          <w:p w14:paraId="043CF689">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您好。公司电磁线下游包括电机生产企业等，未知其终端客户具体情况。感谢您的关注。</w:t>
            </w:r>
          </w:p>
          <w:p w14:paraId="775A5331">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9、</w:t>
            </w:r>
            <w:r>
              <w:rPr>
                <w:rFonts w:hint="eastAsia" w:ascii="Times New Roman" w:hAnsi="Times New Roman"/>
                <w:b/>
                <w:bCs/>
                <w:sz w:val="24"/>
                <w:lang w:val="en-US" w:eastAsia="zh-CN"/>
              </w:rPr>
              <w:t>问题：</w:t>
            </w:r>
            <w:r>
              <w:rPr>
                <w:rFonts w:hint="eastAsia" w:ascii="Times New Roman" w:hAnsi="Times New Roman"/>
                <w:b/>
                <w:bCs/>
                <w:sz w:val="24"/>
              </w:rPr>
              <w:t>公司收购公司和清退房地产多年至今也没完成，今后有什么举措提高办事效率？</w:t>
            </w:r>
          </w:p>
          <w:p w14:paraId="04E78BD8">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您好，公司已在逐步清理地产业务，加速房地产完工项目尾盘清盘，后续将继续积极推动，根据相关规定及时履行信息披露义务。感谢您的关注。</w:t>
            </w:r>
          </w:p>
          <w:p w14:paraId="6DA45F73">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10、</w:t>
            </w:r>
            <w:r>
              <w:rPr>
                <w:rFonts w:hint="eastAsia" w:ascii="Times New Roman" w:hAnsi="Times New Roman"/>
                <w:b/>
                <w:bCs/>
                <w:sz w:val="24"/>
                <w:lang w:val="en-US" w:eastAsia="zh-CN"/>
              </w:rPr>
              <w:t>问题：</w:t>
            </w:r>
            <w:r>
              <w:rPr>
                <w:rFonts w:hint="eastAsia" w:ascii="Times New Roman" w:hAnsi="Times New Roman"/>
                <w:b/>
                <w:bCs/>
                <w:sz w:val="24"/>
              </w:rPr>
              <w:t>您好总裁，公司已制定2026年“提质增效重回报”行动方案，从聚焦主业、重视投资者回报等多个方面入手，以全方位提升公司投资价值，但是股价一路下跌，是否市场对这个行动方案并不认可，是否有重新制定一份市场认可的行动方案打算？</w:t>
            </w:r>
          </w:p>
          <w:p w14:paraId="1887E950">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公司收回了15个亿的土地补偿金，公司准备怎么使用这笔资金？是否会继续回购股份？</w:t>
            </w:r>
          </w:p>
          <w:p w14:paraId="0B517217">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二级市场股票价格受宏观环境、行业因素、市场情绪等多重因素影响，公司将专注提升经营质量及核心竞争力，推动股价逐步回归合理区间。公司根据经营管理需要统筹安排资金使用。感谢您的建议和关注。</w:t>
            </w:r>
          </w:p>
          <w:p w14:paraId="51D344B9">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11、</w:t>
            </w:r>
            <w:r>
              <w:rPr>
                <w:rFonts w:hint="eastAsia" w:ascii="Times New Roman" w:hAnsi="Times New Roman"/>
                <w:b/>
                <w:bCs/>
                <w:sz w:val="24"/>
                <w:lang w:val="en-US" w:eastAsia="zh-CN"/>
              </w:rPr>
              <w:t>问题：</w:t>
            </w:r>
            <w:r>
              <w:rPr>
                <w:rFonts w:hint="eastAsia" w:ascii="Times New Roman" w:hAnsi="Times New Roman"/>
                <w:b/>
                <w:bCs/>
                <w:sz w:val="24"/>
              </w:rPr>
              <w:t>您好，公告显示，拟剥离的12家地产公司截至2024年底的净资产约为23.66亿元。考虑到控股股东近期存在股份被司法拍卖及冻结的情况，请问管理层：控股股东是否有足够的资金实力以现金方式完成本次收购？本次交易的支付方式是否会涉及承接标的公司的巨额债务、以股抵债或分期付款等非现金形式？如果控股股东资金不足，是否会引入‘指定方’（第三方）来承接这部分资产？如果是，目前是否有确定的意向方？这次收购还要多久完成？有什么问题没有协商好？是否有阻碍？除了收购先登高科失败？公司有没有洽谈其他的产业上下游并购重组对象？有没有考虑未来整体收购先登高科？</w:t>
            </w:r>
          </w:p>
          <w:p w14:paraId="63CB6F36">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在逐步清理地产业务，后续进展公司将根据相关规定及时履行信息披露义务。公司坚定电磁线发展战略，未来还将继续利用自身行业技术优势，扩大优势产能，积极寻求电磁线横向及上下游并购重组机会，提升公司整体竞争力。感谢您的关注。</w:t>
            </w:r>
          </w:p>
          <w:p w14:paraId="7524674A">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12、</w:t>
            </w:r>
            <w:r>
              <w:rPr>
                <w:rFonts w:hint="eastAsia" w:ascii="Times New Roman" w:hAnsi="Times New Roman"/>
                <w:b/>
                <w:bCs/>
                <w:sz w:val="24"/>
                <w:lang w:val="en-US" w:eastAsia="zh-CN"/>
              </w:rPr>
              <w:t>问题：</w:t>
            </w:r>
            <w:r>
              <w:rPr>
                <w:rFonts w:hint="eastAsia" w:ascii="Times New Roman" w:hAnsi="Times New Roman"/>
                <w:b/>
                <w:bCs/>
                <w:sz w:val="24"/>
              </w:rPr>
              <w:t>请问你从华为到了这边，怎么业绩好像没有涨？股价这么连续下跌？</w:t>
            </w:r>
          </w:p>
          <w:p w14:paraId="51F65E91">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您好，二级市场的股票价格受宏观环境、行业因素、市场情绪等多重因素影响，感谢您的关注。</w:t>
            </w:r>
          </w:p>
          <w:p w14:paraId="2D5C030D">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13、</w:t>
            </w:r>
            <w:r>
              <w:rPr>
                <w:rFonts w:hint="eastAsia" w:ascii="Times New Roman" w:hAnsi="Times New Roman"/>
                <w:b/>
                <w:bCs/>
                <w:sz w:val="24"/>
                <w:lang w:val="en-US" w:eastAsia="zh-CN"/>
              </w:rPr>
              <w:t>问题</w:t>
            </w:r>
            <w:r>
              <w:rPr>
                <w:rFonts w:hint="eastAsia" w:ascii="Times New Roman" w:hAnsi="Times New Roman"/>
                <w:b/>
                <w:bCs/>
                <w:sz w:val="24"/>
              </w:rPr>
              <w:t>：自2025年报和2026第一季度财报发布以来，公司股价已连续下行一月有余，显示投资者对公司经营管理存在严重的忧虑。请问公司是否有具体措施，做好市值管理，让投资者重拾信心？</w:t>
            </w:r>
          </w:p>
          <w:p w14:paraId="16F600F2">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您好，公司已制定2026年“提质增效重回报”行动方案，从聚焦主业、重视投资者回报等多个方面入手，以全方位提升公司投资价值，详见公司2026年4月23日披露的公告，感谢您的关注。</w:t>
            </w:r>
          </w:p>
          <w:p w14:paraId="6EA24798">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14、</w:t>
            </w:r>
            <w:r>
              <w:rPr>
                <w:rFonts w:hint="eastAsia" w:ascii="Times New Roman" w:hAnsi="Times New Roman"/>
                <w:b/>
                <w:bCs/>
                <w:sz w:val="24"/>
                <w:lang w:val="en-US" w:eastAsia="zh-CN"/>
              </w:rPr>
              <w:t>问题</w:t>
            </w:r>
            <w:r>
              <w:rPr>
                <w:rFonts w:hint="eastAsia" w:ascii="Times New Roman" w:hAnsi="Times New Roman"/>
                <w:b/>
                <w:bCs/>
                <w:sz w:val="24"/>
              </w:rPr>
              <w:t>：您好，我有一个关于股东名册披露准确性的疑问。公司3月20日的公告显示，钟革先生通过法拍受让的1400多万股已经完成过户。但在半个月后的3月31日一季报中，他却‘查无此人’。1400万股的持股量在当时绝对能排进公司前十大股东。请问这批股份在一季报截止日当天，到底有没有登记在钟革先生名下？ 如果已登记，为何未披露？如果是数据提取的时间差问题，公司后续能否优化定期报告的编制流程，确保公告与财报数据的一致性？</w:t>
            </w:r>
          </w:p>
          <w:p w14:paraId="086649AF">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您好，公司根据中登公司提供的定期报告节点股东名册填报定期报告中前十股东，感谢您的关注。</w:t>
            </w:r>
          </w:p>
          <w:p w14:paraId="63222D59">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15、</w:t>
            </w:r>
            <w:r>
              <w:rPr>
                <w:rFonts w:hint="eastAsia" w:ascii="Times New Roman" w:hAnsi="Times New Roman"/>
                <w:b/>
                <w:bCs/>
                <w:sz w:val="24"/>
                <w:lang w:val="en-US" w:eastAsia="zh-CN"/>
              </w:rPr>
              <w:t>问题</w:t>
            </w:r>
            <w:r>
              <w:rPr>
                <w:rFonts w:hint="eastAsia" w:ascii="Times New Roman" w:hAnsi="Times New Roman"/>
                <w:b/>
                <w:bCs/>
                <w:sz w:val="24"/>
              </w:rPr>
              <w:t>：①公司转型后财务与房地产脱钩②2026第1季度又转亏，第2季度有没有好转，③贵公司布局算力租凭是否属实④请问贵公司，2026年是否有举措改善公司收益</w:t>
            </w:r>
          </w:p>
          <w:p w14:paraId="67241395">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第二季度业绩敬请留意公司定期报告披露。公司没有布局算力租赁。公司已制定2026年“提质增效重回报”行动方案，从聚焦主业、重视投资者回报等多个方面入手，以全方位提升公司投资价值，详见公司2026年4月23日披露的公告，感谢您的关注。</w:t>
            </w:r>
          </w:p>
          <w:p w14:paraId="2613D2B3">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16、</w:t>
            </w:r>
            <w:r>
              <w:rPr>
                <w:rFonts w:hint="eastAsia" w:ascii="Times New Roman" w:hAnsi="Times New Roman"/>
                <w:b/>
                <w:bCs/>
                <w:sz w:val="24"/>
                <w:lang w:val="en-US" w:eastAsia="zh-CN"/>
              </w:rPr>
              <w:t>问题</w:t>
            </w:r>
            <w:r>
              <w:rPr>
                <w:rFonts w:hint="eastAsia" w:ascii="Times New Roman" w:hAnsi="Times New Roman"/>
                <w:b/>
                <w:bCs/>
                <w:sz w:val="24"/>
              </w:rPr>
              <w:t>：“各位高管好。我关注到公司在今年3月20日发布公告，明确披露控股股东司法拍卖的1400.45万股股份（受让方为钟革先生）已于3月20日完成过户登记。</w:t>
            </w:r>
          </w:p>
          <w:p w14:paraId="537990DB">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然而，在随后发布的2026年一季报（统计截止日为3月31日）中，该股东并未出现在‘前十大股东’名单里。考虑到1400万股的体量，在当时的持股排名中绝对足以进入前十（当时第十名持股仅约689万股）。</w:t>
            </w:r>
          </w:p>
          <w:p w14:paraId="00813622">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我想请问：为何在季报法定截止日前11天就已完成的过户，却没有体现在一季报的股东名册中？这是否意味着公司在编制定期报告时，股东名册的提取节点与中登公司的实际数据存在时间差？未来如何避免此类信息披露上的不一致？”</w:t>
            </w:r>
          </w:p>
          <w:p w14:paraId="48429EEC">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您好，公司根据中登公司提供的定期报告节点股东名册填报定期报告中前十股东，感谢您的关注。</w:t>
            </w:r>
          </w:p>
          <w:p w14:paraId="353A34B9">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17、</w:t>
            </w:r>
            <w:r>
              <w:rPr>
                <w:rFonts w:hint="eastAsia" w:ascii="Times New Roman" w:hAnsi="Times New Roman"/>
                <w:b/>
                <w:bCs/>
                <w:sz w:val="24"/>
                <w:lang w:val="en-US" w:eastAsia="zh-CN"/>
              </w:rPr>
              <w:t>问题：</w:t>
            </w:r>
            <w:r>
              <w:rPr>
                <w:rFonts w:hint="eastAsia" w:ascii="Times New Roman" w:hAnsi="Times New Roman"/>
                <w:b/>
                <w:bCs/>
                <w:sz w:val="24"/>
              </w:rPr>
              <w:t>管理层好。请问：1.公司2025年减值计提大幅减少助力扭亏，请问目前公司资产减值风险是否已充分出清？后续是否仍存在大额减值计提的潜在压力？2.公司在2025年表示要剥离房地产业务，目前房地产存量业务收尾工作进展情况如何？3.一季度公司主业盈利能力明显恶化，受到哪些因素影响？结合2025年经营成果与2026年一季度经营压力，公司2026年整体经营目标是什么？</w:t>
            </w:r>
          </w:p>
          <w:p w14:paraId="2146D9DA">
            <w:pPr>
              <w:adjustRightInd w:val="0"/>
              <w:snapToGrid w:val="0"/>
              <w:spacing w:line="360" w:lineRule="auto"/>
              <w:ind w:firstLine="482" w:firstLineChars="200"/>
              <w:rPr>
                <w:rFonts w:hint="eastAsia" w:ascii="Times New Roman" w:hAnsi="Times New Roman"/>
                <w:b w:val="0"/>
                <w:bCs w:val="0"/>
                <w:sz w:val="24"/>
              </w:rPr>
            </w:pPr>
            <w:r>
              <w:rPr>
                <w:rFonts w:hint="eastAsia" w:ascii="Times New Roman" w:hAnsi="Times New Roman"/>
                <w:b/>
                <w:bCs/>
                <w:sz w:val="24"/>
                <w:lang w:val="en-US" w:eastAsia="zh-CN"/>
              </w:rPr>
              <w:t>答复：</w:t>
            </w:r>
            <w:r>
              <w:rPr>
                <w:rFonts w:hint="eastAsia" w:ascii="Times New Roman" w:hAnsi="Times New Roman"/>
                <w:b w:val="0"/>
                <w:bCs w:val="0"/>
                <w:sz w:val="24"/>
              </w:rPr>
              <w:t>您好，公司根据企业会计准则相关规定计提相应房地产存货减值。公司目前处于转型发展时期，近几年已不再新增土地储备，目前正在逐步清理地产业务，房地产业务仅余少量在建项目及尾盘销售，结算较少。2026年经营目标已在公司2025年报中“经营计划”章节，感谢您的关注。</w:t>
            </w:r>
          </w:p>
          <w:p w14:paraId="51D4ADA5">
            <w:pPr>
              <w:adjustRightInd w:val="0"/>
              <w:snapToGrid w:val="0"/>
              <w:spacing w:line="360" w:lineRule="auto"/>
              <w:ind w:firstLine="482" w:firstLineChars="200"/>
              <w:rPr>
                <w:rFonts w:hint="eastAsia" w:ascii="Times New Roman" w:hAnsi="Times New Roman"/>
                <w:b/>
                <w:bCs/>
                <w:sz w:val="24"/>
              </w:rPr>
            </w:pPr>
            <w:r>
              <w:rPr>
                <w:rFonts w:hint="eastAsia" w:ascii="Times New Roman" w:hAnsi="Times New Roman"/>
                <w:b/>
                <w:bCs/>
                <w:sz w:val="24"/>
              </w:rPr>
              <w:t>18、</w:t>
            </w:r>
            <w:r>
              <w:rPr>
                <w:rFonts w:hint="eastAsia" w:ascii="Times New Roman" w:hAnsi="Times New Roman"/>
                <w:b/>
                <w:bCs/>
                <w:sz w:val="24"/>
                <w:lang w:val="en-US" w:eastAsia="zh-CN"/>
              </w:rPr>
              <w:t>问题：</w:t>
            </w:r>
            <w:r>
              <w:rPr>
                <w:rFonts w:hint="eastAsia" w:ascii="Times New Roman" w:hAnsi="Times New Roman"/>
                <w:b/>
                <w:bCs/>
                <w:sz w:val="24"/>
              </w:rPr>
              <w:t>近日公司股票持续下跌，公司是否有增持公司股票的愿望？2026年上半年公司经营能否盈利？</w:t>
            </w:r>
          </w:p>
          <w:p w14:paraId="2CE0C7A0">
            <w:pPr>
              <w:adjustRightInd w:val="0"/>
              <w:snapToGrid w:val="0"/>
              <w:spacing w:line="360" w:lineRule="auto"/>
              <w:ind w:firstLine="482" w:firstLineChars="200"/>
              <w:rPr>
                <w:rFonts w:hint="eastAsia" w:ascii="Times New Roman" w:hAnsi="Times New Roman"/>
                <w:b w:val="0"/>
                <w:bCs w:val="0"/>
                <w:sz w:val="24"/>
                <w:lang w:eastAsia="zh-CN"/>
              </w:rPr>
            </w:pPr>
            <w:r>
              <w:rPr>
                <w:rFonts w:hint="eastAsia" w:ascii="Times New Roman" w:hAnsi="Times New Roman"/>
                <w:b/>
                <w:bCs/>
                <w:sz w:val="24"/>
                <w:lang w:val="en-US" w:eastAsia="zh-CN"/>
              </w:rPr>
              <w:t>答复：</w:t>
            </w:r>
            <w:r>
              <w:rPr>
                <w:rFonts w:hint="eastAsia" w:ascii="Times New Roman" w:hAnsi="Times New Roman"/>
                <w:b w:val="0"/>
                <w:bCs w:val="0"/>
                <w:sz w:val="24"/>
              </w:rPr>
              <w:t>您好，请留意公司定期报告，感谢您的建议。</w:t>
            </w:r>
            <w:bookmarkStart w:id="0" w:name="_GoBack"/>
            <w:bookmarkEnd w:id="0"/>
          </w:p>
        </w:tc>
      </w:tr>
      <w:tr w14:paraId="6370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C9A1DB1">
            <w:pPr>
              <w:spacing w:line="360" w:lineRule="auto"/>
              <w:rPr>
                <w:rFonts w:ascii="Times New Roman" w:hAnsi="Times New Roman"/>
                <w:b/>
                <w:bCs/>
                <w:iCs/>
                <w:color w:val="000000"/>
                <w:sz w:val="24"/>
                <w:szCs w:val="24"/>
              </w:rPr>
            </w:pPr>
            <w:r>
              <w:rPr>
                <w:rFonts w:hint="eastAsia" w:ascii="Times New Roman" w:hAnsi="Times New Roman"/>
                <w:b/>
                <w:bCs/>
                <w:iCs/>
                <w:color w:val="000000"/>
                <w:sz w:val="24"/>
                <w:szCs w:val="24"/>
              </w:rPr>
              <w:t>附件清单（如有）</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4F71FFD8">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无</w:t>
            </w:r>
          </w:p>
        </w:tc>
      </w:tr>
      <w:tr w14:paraId="4000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A978302">
            <w:pPr>
              <w:spacing w:line="360" w:lineRule="auto"/>
              <w:rPr>
                <w:rFonts w:ascii="Times New Roman" w:hAnsi="Times New Roman"/>
                <w:b/>
                <w:bCs/>
                <w:iCs/>
                <w:color w:val="000000"/>
                <w:sz w:val="24"/>
                <w:szCs w:val="24"/>
              </w:rPr>
            </w:pPr>
            <w:r>
              <w:rPr>
                <w:rFonts w:ascii="Times New Roman" w:hAnsi="Times New Roman"/>
                <w:b/>
                <w:bCs/>
                <w:iCs/>
                <w:color w:val="000000"/>
                <w:sz w:val="24"/>
                <w:szCs w:val="24"/>
              </w:rPr>
              <w:t>日期</w:t>
            </w:r>
          </w:p>
        </w:tc>
        <w:tc>
          <w:tcPr>
            <w:tcW w:w="6316" w:type="dxa"/>
            <w:tcBorders>
              <w:top w:val="single" w:color="auto" w:sz="4" w:space="0"/>
              <w:left w:val="single" w:color="auto" w:sz="4" w:space="0"/>
              <w:bottom w:val="single" w:color="auto" w:sz="4" w:space="0"/>
              <w:right w:val="single" w:color="auto" w:sz="4" w:space="0"/>
            </w:tcBorders>
            <w:shd w:val="clear" w:color="auto" w:fill="auto"/>
          </w:tcPr>
          <w:p w14:paraId="2189D6BE">
            <w:pPr>
              <w:spacing w:line="360" w:lineRule="auto"/>
              <w:rPr>
                <w:rFonts w:ascii="Times New Roman" w:hAnsi="Times New Roman"/>
                <w:bCs/>
                <w:iCs/>
                <w:color w:val="000000"/>
                <w:sz w:val="24"/>
                <w:szCs w:val="24"/>
              </w:rPr>
            </w:pPr>
            <w:r>
              <w:rPr>
                <w:rFonts w:hint="eastAsia" w:ascii="Times New Roman" w:hAnsi="Times New Roman"/>
                <w:bCs/>
                <w:iCs/>
                <w:color w:val="000000"/>
                <w:sz w:val="24"/>
                <w:szCs w:val="24"/>
              </w:rPr>
              <w:t>202</w:t>
            </w:r>
            <w:r>
              <w:rPr>
                <w:rFonts w:hint="eastAsia" w:ascii="Times New Roman" w:hAnsi="Times New Roman"/>
                <w:bCs/>
                <w:iCs/>
                <w:color w:val="000000"/>
                <w:sz w:val="24"/>
                <w:szCs w:val="24"/>
                <w:lang w:val="en-US" w:eastAsia="zh-CN"/>
              </w:rPr>
              <w:t>6</w:t>
            </w:r>
            <w:r>
              <w:rPr>
                <w:rFonts w:hint="eastAsia" w:ascii="Times New Roman" w:hAnsi="Times New Roman"/>
                <w:bCs/>
                <w:iCs/>
                <w:color w:val="000000"/>
                <w:sz w:val="24"/>
                <w:szCs w:val="24"/>
              </w:rPr>
              <w:t>年</w:t>
            </w:r>
            <w:r>
              <w:rPr>
                <w:rFonts w:hint="eastAsia" w:ascii="Times New Roman" w:hAnsi="Times New Roman"/>
                <w:bCs/>
                <w:iCs/>
                <w:color w:val="000000"/>
                <w:sz w:val="24"/>
                <w:szCs w:val="24"/>
                <w:lang w:val="en-US" w:eastAsia="zh-CN"/>
              </w:rPr>
              <w:t>5</w:t>
            </w:r>
            <w:r>
              <w:rPr>
                <w:rFonts w:hint="eastAsia" w:ascii="Times New Roman" w:hAnsi="Times New Roman"/>
                <w:bCs/>
                <w:iCs/>
                <w:color w:val="000000"/>
                <w:sz w:val="24"/>
                <w:szCs w:val="24"/>
              </w:rPr>
              <w:t>月</w:t>
            </w:r>
            <w:r>
              <w:rPr>
                <w:rFonts w:hint="eastAsia" w:ascii="Times New Roman" w:hAnsi="Times New Roman"/>
                <w:bCs/>
                <w:iCs/>
                <w:color w:val="000000"/>
                <w:sz w:val="24"/>
                <w:szCs w:val="24"/>
                <w:lang w:val="en-US" w:eastAsia="zh-CN"/>
              </w:rPr>
              <w:t>27</w:t>
            </w:r>
            <w:r>
              <w:rPr>
                <w:rFonts w:hint="eastAsia" w:ascii="Times New Roman" w:hAnsi="Times New Roman"/>
                <w:bCs/>
                <w:iCs/>
                <w:color w:val="000000"/>
                <w:sz w:val="24"/>
                <w:szCs w:val="24"/>
              </w:rPr>
              <w:t>日</w:t>
            </w:r>
          </w:p>
        </w:tc>
      </w:tr>
    </w:tbl>
    <w:p w14:paraId="5C8B4BDB">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YzRkNTdmM2M0MjM2NGE1ZGQ4M2Y2M2Q4ODZmMmQifQ=="/>
  </w:docVars>
  <w:rsids>
    <w:rsidRoot w:val="00E42D29"/>
    <w:rsid w:val="000126BF"/>
    <w:rsid w:val="000242E0"/>
    <w:rsid w:val="000343D3"/>
    <w:rsid w:val="00035D49"/>
    <w:rsid w:val="00040B80"/>
    <w:rsid w:val="00053362"/>
    <w:rsid w:val="0006624D"/>
    <w:rsid w:val="000869B2"/>
    <w:rsid w:val="00091F8C"/>
    <w:rsid w:val="00094906"/>
    <w:rsid w:val="000B53FA"/>
    <w:rsid w:val="000C62D4"/>
    <w:rsid w:val="000D5CC8"/>
    <w:rsid w:val="000D6CEA"/>
    <w:rsid w:val="000E4686"/>
    <w:rsid w:val="000F1B3C"/>
    <w:rsid w:val="000F4241"/>
    <w:rsid w:val="00116D9C"/>
    <w:rsid w:val="00120F8E"/>
    <w:rsid w:val="00164888"/>
    <w:rsid w:val="00173D6D"/>
    <w:rsid w:val="001904AC"/>
    <w:rsid w:val="001C4A79"/>
    <w:rsid w:val="001C6DFC"/>
    <w:rsid w:val="001D2E1B"/>
    <w:rsid w:val="001D51B9"/>
    <w:rsid w:val="001F1135"/>
    <w:rsid w:val="001F2A17"/>
    <w:rsid w:val="001F2F44"/>
    <w:rsid w:val="00202FEA"/>
    <w:rsid w:val="002116E9"/>
    <w:rsid w:val="002172F8"/>
    <w:rsid w:val="00222DD2"/>
    <w:rsid w:val="00223075"/>
    <w:rsid w:val="00236934"/>
    <w:rsid w:val="00242236"/>
    <w:rsid w:val="00266B19"/>
    <w:rsid w:val="0027163B"/>
    <w:rsid w:val="0027215D"/>
    <w:rsid w:val="002908A9"/>
    <w:rsid w:val="00295EB9"/>
    <w:rsid w:val="002A5EDF"/>
    <w:rsid w:val="002C0F06"/>
    <w:rsid w:val="002C6444"/>
    <w:rsid w:val="002E6FFA"/>
    <w:rsid w:val="003018FC"/>
    <w:rsid w:val="00313ECB"/>
    <w:rsid w:val="00333514"/>
    <w:rsid w:val="003340D1"/>
    <w:rsid w:val="00337168"/>
    <w:rsid w:val="00360588"/>
    <w:rsid w:val="00361DA5"/>
    <w:rsid w:val="00371A09"/>
    <w:rsid w:val="00373B0D"/>
    <w:rsid w:val="003837D8"/>
    <w:rsid w:val="00386A93"/>
    <w:rsid w:val="00397450"/>
    <w:rsid w:val="003A261D"/>
    <w:rsid w:val="003A31D9"/>
    <w:rsid w:val="003A5392"/>
    <w:rsid w:val="003B112D"/>
    <w:rsid w:val="003B6D77"/>
    <w:rsid w:val="003B7A92"/>
    <w:rsid w:val="003C7044"/>
    <w:rsid w:val="003D0FAC"/>
    <w:rsid w:val="0041375E"/>
    <w:rsid w:val="004149E5"/>
    <w:rsid w:val="00417676"/>
    <w:rsid w:val="004200E3"/>
    <w:rsid w:val="0042583D"/>
    <w:rsid w:val="00437D26"/>
    <w:rsid w:val="00440B90"/>
    <w:rsid w:val="00447A4D"/>
    <w:rsid w:val="004576A2"/>
    <w:rsid w:val="00460DE5"/>
    <w:rsid w:val="00467354"/>
    <w:rsid w:val="00480E0F"/>
    <w:rsid w:val="00482DEC"/>
    <w:rsid w:val="00485659"/>
    <w:rsid w:val="004A0252"/>
    <w:rsid w:val="004A7D44"/>
    <w:rsid w:val="004B01AE"/>
    <w:rsid w:val="004E2D0C"/>
    <w:rsid w:val="004F170D"/>
    <w:rsid w:val="004F1D52"/>
    <w:rsid w:val="004F6D40"/>
    <w:rsid w:val="00501BA0"/>
    <w:rsid w:val="005138B1"/>
    <w:rsid w:val="005155CD"/>
    <w:rsid w:val="00534056"/>
    <w:rsid w:val="00534981"/>
    <w:rsid w:val="00585F15"/>
    <w:rsid w:val="005D0EF9"/>
    <w:rsid w:val="005E194A"/>
    <w:rsid w:val="005E2FE9"/>
    <w:rsid w:val="005E7956"/>
    <w:rsid w:val="00606104"/>
    <w:rsid w:val="00606A51"/>
    <w:rsid w:val="00611FDB"/>
    <w:rsid w:val="006301AF"/>
    <w:rsid w:val="0063104D"/>
    <w:rsid w:val="006416EE"/>
    <w:rsid w:val="00643204"/>
    <w:rsid w:val="0064325B"/>
    <w:rsid w:val="006515F8"/>
    <w:rsid w:val="006848BD"/>
    <w:rsid w:val="00690D17"/>
    <w:rsid w:val="006B5369"/>
    <w:rsid w:val="006D095C"/>
    <w:rsid w:val="006D0B45"/>
    <w:rsid w:val="006E07D2"/>
    <w:rsid w:val="006E389F"/>
    <w:rsid w:val="006E4412"/>
    <w:rsid w:val="006F1754"/>
    <w:rsid w:val="006F6D35"/>
    <w:rsid w:val="0071748A"/>
    <w:rsid w:val="0072585D"/>
    <w:rsid w:val="00736069"/>
    <w:rsid w:val="00736215"/>
    <w:rsid w:val="00743C93"/>
    <w:rsid w:val="00753EAF"/>
    <w:rsid w:val="00754736"/>
    <w:rsid w:val="00756B01"/>
    <w:rsid w:val="007638D9"/>
    <w:rsid w:val="00764703"/>
    <w:rsid w:val="00766B78"/>
    <w:rsid w:val="007716E7"/>
    <w:rsid w:val="00774954"/>
    <w:rsid w:val="00783ADA"/>
    <w:rsid w:val="007908E5"/>
    <w:rsid w:val="00792760"/>
    <w:rsid w:val="007977DF"/>
    <w:rsid w:val="007D3996"/>
    <w:rsid w:val="007D5044"/>
    <w:rsid w:val="007D5DF1"/>
    <w:rsid w:val="007E0557"/>
    <w:rsid w:val="007E159C"/>
    <w:rsid w:val="007E3483"/>
    <w:rsid w:val="007F50F9"/>
    <w:rsid w:val="007F678F"/>
    <w:rsid w:val="00802890"/>
    <w:rsid w:val="00810C42"/>
    <w:rsid w:val="00812A0F"/>
    <w:rsid w:val="0081359A"/>
    <w:rsid w:val="00813969"/>
    <w:rsid w:val="0081651F"/>
    <w:rsid w:val="00837255"/>
    <w:rsid w:val="0084056D"/>
    <w:rsid w:val="00844B04"/>
    <w:rsid w:val="008663D9"/>
    <w:rsid w:val="0087322A"/>
    <w:rsid w:val="00886A14"/>
    <w:rsid w:val="00890FF8"/>
    <w:rsid w:val="00894E09"/>
    <w:rsid w:val="008A4628"/>
    <w:rsid w:val="008C081B"/>
    <w:rsid w:val="008D77E7"/>
    <w:rsid w:val="008F50F4"/>
    <w:rsid w:val="00902D51"/>
    <w:rsid w:val="00911812"/>
    <w:rsid w:val="00916F71"/>
    <w:rsid w:val="00920876"/>
    <w:rsid w:val="00920BB1"/>
    <w:rsid w:val="00924A98"/>
    <w:rsid w:val="00924EE0"/>
    <w:rsid w:val="009350E0"/>
    <w:rsid w:val="00941E00"/>
    <w:rsid w:val="00947B28"/>
    <w:rsid w:val="00974242"/>
    <w:rsid w:val="00990861"/>
    <w:rsid w:val="009931CD"/>
    <w:rsid w:val="0099503F"/>
    <w:rsid w:val="00995C94"/>
    <w:rsid w:val="009A7360"/>
    <w:rsid w:val="009B01C2"/>
    <w:rsid w:val="009B0719"/>
    <w:rsid w:val="009B472F"/>
    <w:rsid w:val="009C3B33"/>
    <w:rsid w:val="009D61E5"/>
    <w:rsid w:val="009D7A07"/>
    <w:rsid w:val="009E361F"/>
    <w:rsid w:val="009E4081"/>
    <w:rsid w:val="009E7861"/>
    <w:rsid w:val="009F3BCD"/>
    <w:rsid w:val="00A4428D"/>
    <w:rsid w:val="00A47DD6"/>
    <w:rsid w:val="00A61AE8"/>
    <w:rsid w:val="00A87FF5"/>
    <w:rsid w:val="00A950F2"/>
    <w:rsid w:val="00AA4E2B"/>
    <w:rsid w:val="00AB1769"/>
    <w:rsid w:val="00AD14CD"/>
    <w:rsid w:val="00AD6036"/>
    <w:rsid w:val="00B07E89"/>
    <w:rsid w:val="00B16E3C"/>
    <w:rsid w:val="00B27340"/>
    <w:rsid w:val="00B36019"/>
    <w:rsid w:val="00B55865"/>
    <w:rsid w:val="00B56D0C"/>
    <w:rsid w:val="00B66420"/>
    <w:rsid w:val="00B71FF0"/>
    <w:rsid w:val="00B8712F"/>
    <w:rsid w:val="00B923C6"/>
    <w:rsid w:val="00BA112D"/>
    <w:rsid w:val="00BA1F0F"/>
    <w:rsid w:val="00BA723A"/>
    <w:rsid w:val="00BB5D3F"/>
    <w:rsid w:val="00BC3AE2"/>
    <w:rsid w:val="00BC623E"/>
    <w:rsid w:val="00BC7A23"/>
    <w:rsid w:val="00BD1F37"/>
    <w:rsid w:val="00BE0FB1"/>
    <w:rsid w:val="00BE1269"/>
    <w:rsid w:val="00BE2B40"/>
    <w:rsid w:val="00BE5CB7"/>
    <w:rsid w:val="00C02531"/>
    <w:rsid w:val="00C0282D"/>
    <w:rsid w:val="00C07D01"/>
    <w:rsid w:val="00C13925"/>
    <w:rsid w:val="00C20476"/>
    <w:rsid w:val="00C25B9C"/>
    <w:rsid w:val="00C277CD"/>
    <w:rsid w:val="00C52207"/>
    <w:rsid w:val="00C557C1"/>
    <w:rsid w:val="00C57379"/>
    <w:rsid w:val="00C66557"/>
    <w:rsid w:val="00C710F8"/>
    <w:rsid w:val="00C771FE"/>
    <w:rsid w:val="00C84DD9"/>
    <w:rsid w:val="00C85353"/>
    <w:rsid w:val="00C92533"/>
    <w:rsid w:val="00C954CA"/>
    <w:rsid w:val="00CA2B3C"/>
    <w:rsid w:val="00CA72F5"/>
    <w:rsid w:val="00CB2C1B"/>
    <w:rsid w:val="00CB39B4"/>
    <w:rsid w:val="00CC4129"/>
    <w:rsid w:val="00CD2B28"/>
    <w:rsid w:val="00CD542F"/>
    <w:rsid w:val="00CF7AE8"/>
    <w:rsid w:val="00D03A21"/>
    <w:rsid w:val="00D1041C"/>
    <w:rsid w:val="00D10630"/>
    <w:rsid w:val="00D32C58"/>
    <w:rsid w:val="00D439BD"/>
    <w:rsid w:val="00D50D3F"/>
    <w:rsid w:val="00D56961"/>
    <w:rsid w:val="00D62E01"/>
    <w:rsid w:val="00D756BE"/>
    <w:rsid w:val="00D93A43"/>
    <w:rsid w:val="00D94C0B"/>
    <w:rsid w:val="00DB1E79"/>
    <w:rsid w:val="00DB30BD"/>
    <w:rsid w:val="00DB3E76"/>
    <w:rsid w:val="00DD48BD"/>
    <w:rsid w:val="00DF0836"/>
    <w:rsid w:val="00E0304C"/>
    <w:rsid w:val="00E05206"/>
    <w:rsid w:val="00E12600"/>
    <w:rsid w:val="00E3164C"/>
    <w:rsid w:val="00E42D29"/>
    <w:rsid w:val="00E57C69"/>
    <w:rsid w:val="00E616B7"/>
    <w:rsid w:val="00E70BBE"/>
    <w:rsid w:val="00E74781"/>
    <w:rsid w:val="00E8312F"/>
    <w:rsid w:val="00E84352"/>
    <w:rsid w:val="00E8601C"/>
    <w:rsid w:val="00E87369"/>
    <w:rsid w:val="00E90314"/>
    <w:rsid w:val="00E95735"/>
    <w:rsid w:val="00EA6A65"/>
    <w:rsid w:val="00ED07EB"/>
    <w:rsid w:val="00ED32E4"/>
    <w:rsid w:val="00EF3E75"/>
    <w:rsid w:val="00F01ACF"/>
    <w:rsid w:val="00F04775"/>
    <w:rsid w:val="00F3093C"/>
    <w:rsid w:val="00F375EE"/>
    <w:rsid w:val="00F526B1"/>
    <w:rsid w:val="00F56EB2"/>
    <w:rsid w:val="00F84701"/>
    <w:rsid w:val="00F94191"/>
    <w:rsid w:val="00FA74EC"/>
    <w:rsid w:val="00FD20ED"/>
    <w:rsid w:val="00FD4F56"/>
    <w:rsid w:val="0C7F5037"/>
    <w:rsid w:val="207459E6"/>
    <w:rsid w:val="2C383283"/>
    <w:rsid w:val="305B5CA3"/>
    <w:rsid w:val="360D6928"/>
    <w:rsid w:val="44223458"/>
    <w:rsid w:val="4BD7548C"/>
    <w:rsid w:val="5C730ABA"/>
    <w:rsid w:val="61216A50"/>
    <w:rsid w:val="61D0030A"/>
    <w:rsid w:val="625F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character" w:styleId="9">
    <w:name w:val="Emphasis"/>
    <w:basedOn w:val="8"/>
    <w:qFormat/>
    <w:uiPriority w:val="20"/>
    <w:rPr>
      <w:i/>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招股书正文"/>
    <w:basedOn w:val="1"/>
    <w:link w:val="15"/>
    <w:qFormat/>
    <w:uiPriority w:val="0"/>
    <w:pPr>
      <w:adjustRightInd w:val="0"/>
      <w:snapToGrid w:val="0"/>
      <w:spacing w:beforeLines="50" w:afterLines="50" w:line="360" w:lineRule="auto"/>
      <w:ind w:firstLine="200" w:firstLineChars="200"/>
    </w:pPr>
    <w:rPr>
      <w:rFonts w:ascii="Times New Roman" w:hAnsi="Times New Roman"/>
      <w:color w:val="000000"/>
      <w:sz w:val="24"/>
      <w:szCs w:val="21"/>
    </w:rPr>
  </w:style>
  <w:style w:type="character" w:customStyle="1" w:styleId="15">
    <w:name w:val="招股书正文 字符"/>
    <w:link w:val="14"/>
    <w:qFormat/>
    <w:uiPriority w:val="0"/>
    <w:rPr>
      <w:rFonts w:ascii="Times New Roman" w:hAnsi="Times New Roman" w:eastAsia="宋体" w:cs="Times New Roman"/>
      <w:color w:val="000000"/>
      <w:sz w:val="24"/>
      <w:szCs w:val="21"/>
    </w:rPr>
  </w:style>
  <w:style w:type="paragraph" w:customStyle="1" w:styleId="16">
    <w:name w:val="反馈正文"/>
    <w:basedOn w:val="1"/>
    <w:link w:val="17"/>
    <w:qFormat/>
    <w:uiPriority w:val="0"/>
    <w:pPr>
      <w:spacing w:beforeLines="50" w:afterLines="50" w:line="360" w:lineRule="auto"/>
      <w:ind w:firstLine="200" w:firstLineChars="200"/>
    </w:pPr>
    <w:rPr>
      <w:rFonts w:ascii="Times New Roman" w:hAnsi="Times New Roman"/>
      <w:color w:val="000000"/>
      <w:kern w:val="0"/>
      <w:sz w:val="24"/>
      <w:szCs w:val="21"/>
    </w:rPr>
  </w:style>
  <w:style w:type="character" w:customStyle="1" w:styleId="17">
    <w:name w:val="反馈正文 字符"/>
    <w:link w:val="16"/>
    <w:qFormat/>
    <w:uiPriority w:val="0"/>
    <w:rPr>
      <w:rFonts w:ascii="Times New Roman" w:hAnsi="Times New Roman" w:eastAsia="宋体" w:cs="Times New Roman"/>
      <w:color w:val="000000"/>
      <w:kern w:val="0"/>
      <w:sz w:val="24"/>
      <w:szCs w:val="21"/>
    </w:rPr>
  </w:style>
  <w:style w:type="character" w:customStyle="1" w:styleId="18">
    <w:name w:val="批注文字 字符"/>
    <w:basedOn w:val="8"/>
    <w:link w:val="2"/>
    <w:semiHidden/>
    <w:qFormat/>
    <w:uiPriority w:val="99"/>
    <w:rPr>
      <w:rFonts w:ascii="Calibri" w:hAnsi="Calibri"/>
      <w:kern w:val="2"/>
      <w:sz w:val="21"/>
      <w:szCs w:val="22"/>
    </w:rPr>
  </w:style>
  <w:style w:type="character" w:customStyle="1" w:styleId="19">
    <w:name w:val="批注主题 字符"/>
    <w:basedOn w:val="18"/>
    <w:link w:val="6"/>
    <w:semiHidden/>
    <w:qFormat/>
    <w:uiPriority w:val="99"/>
    <w:rPr>
      <w:rFonts w:ascii="Calibri" w:hAnsi="Calibri"/>
      <w:b/>
      <w:bCs/>
      <w:kern w:val="2"/>
      <w:sz w:val="21"/>
      <w:szCs w:val="22"/>
    </w:rPr>
  </w:style>
  <w:style w:type="character" w:customStyle="1" w:styleId="20">
    <w:name w:val="批注框文本 字符"/>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7365</Words>
  <Characters>7729</Characters>
  <Lines>13</Lines>
  <Paragraphs>3</Paragraphs>
  <TotalTime>21</TotalTime>
  <ScaleCrop>false</ScaleCrop>
  <LinksUpToDate>false</LinksUpToDate>
  <CharactersWithSpaces>7862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2024-06-20T03:11:00Z</dcterms:created>
  <dc:creator>ZXR</dc:creator>
  <cp:lastModifiedBy>chx</cp:lastModifiedBy>
  <cp:lastPrinted>2026-05-27T08:56:26Z</cp:lastPrinted>
  <dcterms:modified xsi:type="dcterms:W3CDTF">2026-05-27T09:16:24Z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8CF2A15B7E4C485E83D3DD6478B58947_13</vt:lpwstr>
  </property>
  <property fmtid="{D5CDD505-2E9C-101B-9397-08002B2CF9AE}" pid="4" name="KSOTemplateDocerSaveRecord">
    <vt:lpwstr>eyJoZGlkIjoiNjU5YzRkNTdmM2M0MjM2NGE1ZGQ4M2Y2M2Q4ODZmMmQiLCJ1c2VySWQiOiIzMzAyMTU5MTQifQ==</vt:lpwstr>
  </property>
</Properties>
</file>