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156" w:afterLines="50" w:line="520" w:lineRule="exact"/>
        <w:jc w:val="left"/>
        <w:rPr>
          <w:rFonts w:ascii="Times New Roman" w:hAnsi="Times New Roman" w:eastAsia="楷体"/>
          <w:sz w:val="24"/>
        </w:rPr>
      </w:pPr>
      <w:r>
        <w:rPr>
          <w:rFonts w:ascii="Times New Roman" w:hAnsi="Times New Roman" w:eastAsia="楷体"/>
          <w:sz w:val="24"/>
        </w:rPr>
        <w:t xml:space="preserve">证券代码：600968                                 证券简称：海油发展  </w:t>
      </w:r>
    </w:p>
    <w:p>
      <w:pPr>
        <w:spacing w:line="480" w:lineRule="exact"/>
        <w:jc w:val="center"/>
        <w:rPr>
          <w:rFonts w:ascii="Times New Roman" w:hAnsi="Times New Roman"/>
          <w:b/>
          <w:bCs/>
          <w:sz w:val="28"/>
          <w:szCs w:val="30"/>
        </w:rPr>
      </w:pPr>
      <w:r>
        <w:rPr>
          <w:rFonts w:ascii="Times New Roman" w:hAnsi="Times New Roman"/>
          <w:b/>
          <w:bCs/>
          <w:sz w:val="28"/>
          <w:szCs w:val="30"/>
        </w:rPr>
        <w:t>中海油能源发展股份有限公司</w:t>
      </w:r>
    </w:p>
    <w:p>
      <w:pPr>
        <w:spacing w:line="480" w:lineRule="exact"/>
        <w:jc w:val="center"/>
        <w:outlineLvl w:val="0"/>
        <w:rPr>
          <w:rFonts w:ascii="Times New Roman" w:hAnsi="Times New Roman"/>
          <w:b/>
          <w:bCs/>
          <w:sz w:val="28"/>
          <w:szCs w:val="30"/>
        </w:rPr>
      </w:pPr>
      <w:r>
        <w:rPr>
          <w:rFonts w:ascii="Times New Roman" w:hAnsi="Times New Roman"/>
          <w:b/>
          <w:bCs/>
          <w:sz w:val="28"/>
          <w:szCs w:val="30"/>
        </w:rPr>
        <w:t>投资者关系活动记录表</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2"/>
        <w:gridCol w:w="6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bCs/>
                <w:sz w:val="24"/>
              </w:rPr>
            </w:pPr>
            <w:r>
              <w:rPr>
                <w:rFonts w:ascii="Times New Roman" w:hAnsi="Times New Roman"/>
                <w:bCs/>
                <w:sz w:val="24"/>
              </w:rPr>
              <w:t>投资者关系活动类别</w:t>
            </w:r>
          </w:p>
        </w:tc>
        <w:tc>
          <w:tcPr>
            <w:tcW w:w="3857" w:type="pct"/>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bCs/>
                <w:sz w:val="24"/>
              </w:rPr>
            </w:pPr>
            <w:r>
              <w:rPr>
                <w:rFonts w:ascii="Times New Roman" w:hAnsi="Times New Roman"/>
                <w:bCs/>
                <w:sz w:val="24"/>
              </w:rPr>
              <w:sym w:font="Wingdings 2" w:char="00A3"/>
            </w:r>
            <w:r>
              <w:rPr>
                <w:rFonts w:ascii="Times New Roman" w:hAnsi="Times New Roman"/>
                <w:bCs/>
                <w:sz w:val="24"/>
              </w:rPr>
              <w:t xml:space="preserve">特定对象调研 </w:t>
            </w:r>
            <w:r>
              <w:rPr>
                <w:rFonts w:ascii="Times New Roman" w:hAnsi="Times New Roman"/>
                <w:bCs/>
                <w:sz w:val="24"/>
              </w:rPr>
              <w:sym w:font="Wingdings 2" w:char="00A3"/>
            </w:r>
            <w:r>
              <w:rPr>
                <w:rFonts w:ascii="Times New Roman" w:hAnsi="Times New Roman"/>
                <w:bCs/>
                <w:sz w:val="24"/>
              </w:rPr>
              <w:t>分析师会议</w:t>
            </w:r>
          </w:p>
          <w:p>
            <w:pPr>
              <w:spacing w:line="400" w:lineRule="exact"/>
              <w:rPr>
                <w:rFonts w:ascii="Times New Roman" w:hAnsi="Times New Roman"/>
                <w:bCs/>
                <w:sz w:val="24"/>
              </w:rPr>
            </w:pPr>
            <w:r>
              <w:rPr>
                <w:rFonts w:ascii="Times New Roman" w:hAnsi="Times New Roman"/>
                <w:bCs/>
                <w:sz w:val="24"/>
              </w:rPr>
              <w:sym w:font="Wingdings 2" w:char="00A3"/>
            </w:r>
            <w:r>
              <w:rPr>
                <w:rFonts w:ascii="Times New Roman" w:hAnsi="Times New Roman"/>
                <w:bCs/>
                <w:sz w:val="24"/>
              </w:rPr>
              <w:t xml:space="preserve">媒体采访     </w:t>
            </w:r>
            <w:r>
              <w:rPr>
                <w:rFonts w:ascii="Times New Roman" w:hAnsi="Times New Roman"/>
                <w:bCs/>
                <w:sz w:val="24"/>
              </w:rPr>
              <w:sym w:font="Wingdings 2" w:char="00A3"/>
            </w:r>
            <w:r>
              <w:rPr>
                <w:rFonts w:ascii="Times New Roman" w:hAnsi="Times New Roman"/>
                <w:bCs/>
                <w:sz w:val="24"/>
              </w:rPr>
              <w:t>业绩说明会</w:t>
            </w:r>
          </w:p>
          <w:p>
            <w:pPr>
              <w:spacing w:line="400" w:lineRule="exact"/>
              <w:rPr>
                <w:rFonts w:ascii="Times New Roman" w:hAnsi="Times New Roman"/>
                <w:bCs/>
                <w:sz w:val="24"/>
              </w:rPr>
            </w:pPr>
            <w:r>
              <w:rPr>
                <w:rFonts w:ascii="Times New Roman" w:hAnsi="Times New Roman"/>
                <w:bCs/>
                <w:sz w:val="24"/>
              </w:rPr>
              <w:sym w:font="Wingdings 2" w:char="00A3"/>
            </w:r>
            <w:r>
              <w:rPr>
                <w:rFonts w:ascii="Times New Roman" w:hAnsi="Times New Roman"/>
                <w:bCs/>
                <w:sz w:val="24"/>
              </w:rPr>
              <w:t xml:space="preserve">新闻发布会   </w:t>
            </w:r>
            <w:r>
              <w:rPr>
                <w:rFonts w:hint="eastAsia" w:ascii="Times New Roman" w:hAnsi="Times New Roman"/>
                <w:bCs/>
                <w:sz w:val="24"/>
                <w:lang w:eastAsia="zh-CN"/>
              </w:rPr>
              <w:sym w:font="Wingdings 2" w:char="00A3"/>
            </w:r>
            <w:r>
              <w:rPr>
                <w:rFonts w:ascii="Times New Roman" w:hAnsi="Times New Roman"/>
                <w:bCs/>
                <w:sz w:val="24"/>
              </w:rPr>
              <w:t>路演活动</w:t>
            </w:r>
          </w:p>
          <w:p>
            <w:pPr>
              <w:spacing w:line="400" w:lineRule="exact"/>
              <w:rPr>
                <w:rFonts w:ascii="Times New Roman" w:hAnsi="Times New Roman"/>
                <w:bCs/>
                <w:sz w:val="24"/>
              </w:rPr>
            </w:pPr>
            <w:r>
              <w:rPr>
                <w:rFonts w:ascii="Times New Roman" w:hAnsi="Times New Roman"/>
                <w:bCs/>
                <w:sz w:val="24"/>
              </w:rPr>
              <w:sym w:font="Wingdings 2" w:char="00A3"/>
            </w:r>
            <w:r>
              <w:rPr>
                <w:rFonts w:ascii="Times New Roman" w:hAnsi="Times New Roman"/>
                <w:bCs/>
                <w:sz w:val="24"/>
              </w:rPr>
              <w:t>现场参观</w:t>
            </w:r>
          </w:p>
          <w:p>
            <w:pPr>
              <w:spacing w:line="400" w:lineRule="exact"/>
              <w:rPr>
                <w:rFonts w:ascii="Times New Roman" w:hAnsi="Times New Roman"/>
                <w:bCs/>
                <w:sz w:val="24"/>
              </w:rPr>
            </w:pPr>
            <w:r>
              <w:rPr>
                <w:rFonts w:ascii="Times New Roman" w:hAnsi="Times New Roman"/>
                <w:bCs/>
                <w:sz w:val="24"/>
              </w:rPr>
              <w:sym w:font="Wingdings 2" w:char="0052"/>
            </w:r>
            <w:r>
              <w:rPr>
                <w:rFonts w:ascii="Times New Roman" w:hAnsi="Times New Roman"/>
                <w:bCs/>
                <w:sz w:val="24"/>
              </w:rPr>
              <w:t>其他（</w:t>
            </w:r>
            <w:r>
              <w:rPr>
                <w:rFonts w:hint="eastAsia" w:ascii="Times New Roman" w:hAnsi="Times New Roman"/>
                <w:bCs/>
                <w:sz w:val="24"/>
                <w:lang w:val="en-US" w:eastAsia="zh-CN"/>
              </w:rPr>
              <w:t>长江证券策略会</w:t>
            </w:r>
            <w:r>
              <w:rPr>
                <w:rFonts w:ascii="Times New Roman" w:hAnsi="Times New Roman"/>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bCs/>
                <w:sz w:val="24"/>
              </w:rPr>
            </w:pPr>
            <w:r>
              <w:rPr>
                <w:rFonts w:ascii="Times New Roman" w:hAnsi="Times New Roman"/>
                <w:bCs/>
                <w:sz w:val="24"/>
              </w:rPr>
              <w:t>时间</w:t>
            </w:r>
          </w:p>
        </w:tc>
        <w:tc>
          <w:tcPr>
            <w:tcW w:w="3857" w:type="pct"/>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r>
              <w:rPr>
                <w:rFonts w:ascii="Times New Roman" w:hAnsi="Times New Roman"/>
                <w:sz w:val="24"/>
              </w:rPr>
              <w:t>2026年</w:t>
            </w:r>
            <w:r>
              <w:rPr>
                <w:rFonts w:hint="eastAsia" w:ascii="Times New Roman" w:hAnsi="Times New Roman"/>
                <w:sz w:val="24"/>
                <w:lang w:val="en-US" w:eastAsia="zh-CN"/>
              </w:rPr>
              <w:t>5</w:t>
            </w:r>
            <w:r>
              <w:rPr>
                <w:rFonts w:ascii="Times New Roman" w:hAnsi="Times New Roman"/>
                <w:sz w:val="24"/>
              </w:rPr>
              <w:t>月</w:t>
            </w:r>
            <w:r>
              <w:rPr>
                <w:rFonts w:hint="eastAsia" w:ascii="Times New Roman" w:hAnsi="Times New Roman"/>
                <w:sz w:val="24"/>
                <w:lang w:val="en-US" w:eastAsia="zh-CN"/>
              </w:rPr>
              <w:t>28</w:t>
            </w:r>
            <w:r>
              <w:rPr>
                <w:rFonts w:ascii="Times New Roman" w:hAnsi="Times New Roman"/>
                <w:sz w:val="24"/>
              </w:rPr>
              <w:t>日-</w:t>
            </w:r>
            <w:r>
              <w:rPr>
                <w:rFonts w:hint="eastAsia" w:ascii="Times New Roman" w:hAnsi="Times New Roman"/>
                <w:sz w:val="24"/>
                <w:lang w:val="en-US" w:eastAsia="zh-CN"/>
              </w:rPr>
              <w:t>5</w:t>
            </w:r>
            <w:r>
              <w:rPr>
                <w:rFonts w:ascii="Times New Roman" w:hAnsi="Times New Roman"/>
                <w:sz w:val="24"/>
              </w:rPr>
              <w:t>月</w:t>
            </w:r>
            <w:r>
              <w:rPr>
                <w:rFonts w:hint="eastAsia" w:ascii="Times New Roman" w:hAnsi="Times New Roman"/>
                <w:sz w:val="24"/>
                <w:lang w:val="en-US" w:eastAsia="zh-CN"/>
              </w:rPr>
              <w:t>29</w:t>
            </w:r>
            <w:r>
              <w:rPr>
                <w:rFonts w:ascii="Times New Roman" w:hAnsi="Times New Roman"/>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bCs/>
                <w:sz w:val="24"/>
              </w:rPr>
            </w:pPr>
            <w:r>
              <w:rPr>
                <w:rFonts w:ascii="Times New Roman" w:hAnsi="Times New Roman"/>
                <w:bCs/>
                <w:sz w:val="24"/>
              </w:rPr>
              <w:t>地点</w:t>
            </w:r>
          </w:p>
        </w:tc>
        <w:tc>
          <w:tcPr>
            <w:tcW w:w="3857" w:type="pct"/>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宋体"/>
                <w:sz w:val="24"/>
                <w:lang w:val="en-US" w:eastAsia="zh-CN"/>
              </w:rPr>
            </w:pPr>
            <w:r>
              <w:rPr>
                <w:rFonts w:hint="eastAsia" w:ascii="Times New Roman" w:hAnsi="Times New Roman"/>
                <w:sz w:val="24"/>
                <w:lang w:val="en-US" w:eastAsia="zh-CN"/>
              </w:rPr>
              <w:t>武汉光谷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bCs/>
                <w:sz w:val="24"/>
              </w:rPr>
            </w:pPr>
            <w:r>
              <w:rPr>
                <w:rFonts w:ascii="Times New Roman" w:hAnsi="Times New Roman"/>
                <w:bCs/>
                <w:sz w:val="24"/>
              </w:rPr>
              <w:t>参与单位名称及人员姓名</w:t>
            </w:r>
          </w:p>
        </w:tc>
        <w:tc>
          <w:tcPr>
            <w:tcW w:w="3857" w:type="pct"/>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宋体"/>
                <w:sz w:val="24"/>
                <w:lang w:val="en-US" w:eastAsia="zh-CN"/>
              </w:rPr>
            </w:pPr>
            <w:r>
              <w:rPr>
                <w:rFonts w:hint="eastAsia" w:ascii="Times New Roman" w:hAnsi="Times New Roman"/>
                <w:sz w:val="24"/>
                <w:lang w:val="en-US" w:eastAsia="zh-CN"/>
              </w:rPr>
              <w:t>国联基金、民生加银基金、国投瑞金基金、朴拙资本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pct"/>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bCs/>
                <w:sz w:val="24"/>
              </w:rPr>
            </w:pPr>
            <w:r>
              <w:rPr>
                <w:rFonts w:ascii="Times New Roman" w:hAnsi="Times New Roman"/>
                <w:bCs/>
                <w:sz w:val="24"/>
              </w:rPr>
              <w:t>上市公司接待人员姓名</w:t>
            </w:r>
          </w:p>
        </w:tc>
        <w:tc>
          <w:tcPr>
            <w:tcW w:w="3857" w:type="pct"/>
            <w:tcBorders>
              <w:top w:val="single" w:color="auto" w:sz="4" w:space="0"/>
              <w:left w:val="single" w:color="auto" w:sz="4" w:space="0"/>
              <w:bottom w:val="single" w:color="auto" w:sz="4" w:space="0"/>
              <w:right w:val="single" w:color="auto" w:sz="4" w:space="0"/>
            </w:tcBorders>
            <w:vAlign w:val="center"/>
          </w:tcPr>
          <w:tbl>
            <w:tblPr>
              <w:tblStyle w:val="11"/>
              <w:tblW w:w="5000" w:type="pct"/>
              <w:tblInd w:w="0" w:type="dxa"/>
              <w:tblLayout w:type="autofit"/>
              <w:tblCellMar>
                <w:top w:w="0" w:type="dxa"/>
                <w:left w:w="108" w:type="dxa"/>
                <w:bottom w:w="0" w:type="dxa"/>
                <w:right w:w="108" w:type="dxa"/>
              </w:tblCellMar>
            </w:tblPr>
            <w:tblGrid>
              <w:gridCol w:w="1320"/>
              <w:gridCol w:w="5192"/>
            </w:tblGrid>
            <w:tr>
              <w:tblPrEx>
                <w:tblCellMar>
                  <w:top w:w="0" w:type="dxa"/>
                  <w:left w:w="108" w:type="dxa"/>
                  <w:bottom w:w="0" w:type="dxa"/>
                  <w:right w:w="108" w:type="dxa"/>
                </w:tblCellMar>
              </w:tblPrEx>
              <w:trPr>
                <w:trHeight w:val="285" w:hRule="atLeast"/>
              </w:trPr>
              <w:tc>
                <w:tcPr>
                  <w:tcW w:w="1013" w:type="pct"/>
                  <w:shd w:val="clear" w:color="auto" w:fill="auto"/>
                  <w:noWrap/>
                  <w:vAlign w:val="bottom"/>
                </w:tcPr>
                <w:p>
                  <w:pPr>
                    <w:spacing w:line="276" w:lineRule="auto"/>
                    <w:rPr>
                      <w:rFonts w:hint="eastAsia" w:ascii="Times New Roman" w:hAnsi="Times New Roman" w:eastAsia="宋体"/>
                      <w:sz w:val="24"/>
                      <w:lang w:eastAsia="zh-CN"/>
                    </w:rPr>
                  </w:pPr>
                  <w:r>
                    <w:rPr>
                      <w:rFonts w:hint="eastAsia" w:ascii="Times New Roman" w:hAnsi="Times New Roman"/>
                      <w:sz w:val="24"/>
                      <w:lang w:val="en-US" w:eastAsia="zh-CN"/>
                    </w:rPr>
                    <w:t>蔡建鑫</w:t>
                  </w:r>
                </w:p>
              </w:tc>
              <w:tc>
                <w:tcPr>
                  <w:tcW w:w="3986" w:type="pct"/>
                  <w:shd w:val="clear" w:color="auto" w:fill="auto"/>
                  <w:noWrap/>
                  <w:vAlign w:val="center"/>
                </w:tcPr>
                <w:p>
                  <w:pPr>
                    <w:spacing w:line="276" w:lineRule="auto"/>
                    <w:rPr>
                      <w:rFonts w:hint="default" w:ascii="Times New Roman" w:hAnsi="Times New Roman" w:eastAsia="宋体"/>
                      <w:sz w:val="24"/>
                      <w:lang w:val="en-US" w:eastAsia="zh-CN"/>
                    </w:rPr>
                  </w:pPr>
                  <w:r>
                    <w:rPr>
                      <w:rFonts w:ascii="Times New Roman" w:hAnsi="Times New Roman"/>
                      <w:sz w:val="24"/>
                    </w:rPr>
                    <w:t>董事会</w:t>
                  </w:r>
                  <w:r>
                    <w:rPr>
                      <w:rFonts w:hint="eastAsia" w:ascii="Times New Roman" w:hAnsi="Times New Roman"/>
                      <w:sz w:val="24"/>
                      <w:lang w:val="en-US" w:eastAsia="zh-CN"/>
                    </w:rPr>
                    <w:t>办公室副主任、公司证券事务代表</w:t>
                  </w:r>
                </w:p>
              </w:tc>
            </w:tr>
          </w:tbl>
          <w:p>
            <w:pPr>
              <w:spacing w:line="276" w:lineRule="auto"/>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bCs/>
                <w:sz w:val="24"/>
              </w:rPr>
            </w:pPr>
            <w:r>
              <w:rPr>
                <w:rFonts w:ascii="Times New Roman" w:hAnsi="Times New Roman"/>
                <w:bCs/>
                <w:sz w:val="24"/>
              </w:rPr>
              <w:t>投资者关系活动主要内容介绍</w:t>
            </w:r>
          </w:p>
        </w:tc>
        <w:tc>
          <w:tcPr>
            <w:tcW w:w="3857" w:type="pc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4"/>
                <w:highlight w:val="none"/>
              </w:rPr>
            </w:pPr>
            <w:bookmarkStart w:id="0" w:name="_Toc2358"/>
            <w:r>
              <w:rPr>
                <w:rFonts w:ascii="Times New Roman" w:hAnsi="Times New Roman"/>
                <w:sz w:val="24"/>
                <w:highlight w:val="none"/>
              </w:rPr>
              <w:t>Q1：</w:t>
            </w:r>
            <w:bookmarkEnd w:id="0"/>
            <w:r>
              <w:rPr>
                <w:rStyle w:val="13"/>
                <w:rFonts w:ascii="宋体" w:hAnsi="宋体" w:eastAsia="宋体" w:cs="宋体"/>
                <w:kern w:val="0"/>
                <w:sz w:val="24"/>
                <w:szCs w:val="24"/>
                <w:highlight w:val="none"/>
                <w:lang w:val="en-US" w:eastAsia="zh-CN" w:bidi="ar"/>
              </w:rPr>
              <w:t>近期股价走弱的原因是什么？</w:t>
            </w:r>
          </w:p>
          <w:p>
            <w:pPr>
              <w:rPr>
                <w:rFonts w:ascii="Times New Roman" w:hAnsi="Times New Roman"/>
                <w:sz w:val="24"/>
                <w:highlight w:val="none"/>
              </w:rPr>
            </w:pPr>
            <w:r>
              <w:rPr>
                <w:rFonts w:ascii="Times New Roman" w:hAnsi="Times New Roman"/>
                <w:sz w:val="24"/>
                <w:highlight w:val="none"/>
              </w:rPr>
              <w:t>A1：</w:t>
            </w:r>
            <w:r>
              <w:rPr>
                <w:rFonts w:hint="eastAsia" w:ascii="Times New Roman" w:hAnsi="Times New Roman"/>
                <w:sz w:val="24"/>
                <w:highlight w:val="none"/>
                <w:lang w:val="en-US" w:eastAsia="zh-CN"/>
              </w:rPr>
              <w:t>近期股价走弱主要是</w:t>
            </w:r>
            <w:r>
              <w:rPr>
                <w:rFonts w:ascii="宋体" w:hAnsi="宋体" w:eastAsia="宋体" w:cs="宋体"/>
                <w:kern w:val="0"/>
                <w:sz w:val="24"/>
                <w:szCs w:val="24"/>
                <w:highlight w:val="none"/>
                <w:lang w:val="en-US" w:eastAsia="zh-CN" w:bidi="ar"/>
              </w:rPr>
              <w:t>市场风格切换</w:t>
            </w:r>
            <w:r>
              <w:rPr>
                <w:rFonts w:hint="eastAsia" w:ascii="宋体" w:hAnsi="宋体" w:cs="宋体"/>
                <w:kern w:val="0"/>
                <w:sz w:val="24"/>
                <w:szCs w:val="24"/>
                <w:highlight w:val="none"/>
                <w:lang w:val="en-US" w:eastAsia="zh-CN" w:bidi="ar"/>
              </w:rPr>
              <w:t>，</w:t>
            </w:r>
            <w:r>
              <w:rPr>
                <w:rFonts w:ascii="宋体" w:hAnsi="宋体" w:eastAsia="宋体" w:cs="宋体"/>
                <w:kern w:val="0"/>
                <w:sz w:val="24"/>
                <w:szCs w:val="24"/>
                <w:highlight w:val="none"/>
                <w:lang w:val="en-US" w:eastAsia="zh-CN" w:bidi="ar"/>
              </w:rPr>
              <w:t>资金流出传统稳健板块及油价预期波动所致</w:t>
            </w:r>
            <w:r>
              <w:rPr>
                <w:rFonts w:hint="eastAsia" w:ascii="宋体" w:hAnsi="宋体" w:cs="宋体"/>
                <w:kern w:val="0"/>
                <w:sz w:val="24"/>
                <w:szCs w:val="24"/>
                <w:highlight w:val="none"/>
                <w:lang w:val="en-US" w:eastAsia="zh-CN" w:bidi="ar"/>
              </w:rPr>
              <w:t>。</w:t>
            </w:r>
            <w:r>
              <w:rPr>
                <w:rFonts w:ascii="宋体" w:hAnsi="宋体" w:eastAsia="宋体" w:cs="宋体"/>
                <w:kern w:val="0"/>
                <w:sz w:val="24"/>
                <w:szCs w:val="24"/>
                <w:highlight w:val="none"/>
                <w:lang w:val="en-US" w:eastAsia="zh-CN" w:bidi="ar"/>
              </w:rPr>
              <w:t>公司基本面</w:t>
            </w:r>
            <w:r>
              <w:rPr>
                <w:rFonts w:hint="eastAsia" w:ascii="宋体" w:hAnsi="宋体" w:cs="宋体"/>
                <w:kern w:val="0"/>
                <w:sz w:val="24"/>
                <w:szCs w:val="24"/>
                <w:highlight w:val="none"/>
                <w:lang w:val="en-US" w:eastAsia="zh-CN" w:bidi="ar"/>
              </w:rPr>
              <w:t>平稳</w:t>
            </w:r>
            <w:r>
              <w:rPr>
                <w:rFonts w:ascii="宋体" w:hAnsi="宋体" w:eastAsia="宋体" w:cs="宋体"/>
                <w:kern w:val="0"/>
                <w:sz w:val="24"/>
                <w:szCs w:val="24"/>
                <w:highlight w:val="none"/>
                <w:lang w:val="en-US" w:eastAsia="zh-CN" w:bidi="ar"/>
              </w:rPr>
              <w:t>，当前业绩确定性较强</w:t>
            </w:r>
            <w:r>
              <w:rPr>
                <w:rFonts w:hint="eastAsia" w:ascii="宋体" w:hAnsi="宋体" w:cs="宋体"/>
                <w:kern w:val="0"/>
                <w:sz w:val="24"/>
                <w:szCs w:val="24"/>
                <w:highlight w:val="none"/>
                <w:lang w:val="en-US" w:eastAsia="zh-CN" w:bidi="ar"/>
              </w:rPr>
              <w:t>，</w:t>
            </w:r>
            <w:r>
              <w:rPr>
                <w:rFonts w:ascii="宋体" w:hAnsi="宋体" w:eastAsia="宋体" w:cs="宋体"/>
                <w:kern w:val="0"/>
                <w:sz w:val="24"/>
                <w:szCs w:val="24"/>
                <w:highlight w:val="none"/>
                <w:lang w:val="en-US" w:eastAsia="zh-CN" w:bidi="ar"/>
              </w:rPr>
              <w:t>经营保持稳健</w:t>
            </w:r>
            <w:r>
              <w:rPr>
                <w:rFonts w:ascii="Times New Roman" w:hAnsi="Times New Roman"/>
                <w:sz w:val="24"/>
                <w:highlight w:val="none"/>
              </w:rPr>
              <w:t>。</w:t>
            </w:r>
          </w:p>
          <w:p>
            <w:pPr>
              <w:rPr>
                <w:rStyle w:val="13"/>
                <w:rFonts w:ascii="宋体" w:hAnsi="宋体" w:eastAsia="宋体" w:cs="宋体"/>
                <w:kern w:val="0"/>
                <w:sz w:val="24"/>
                <w:szCs w:val="24"/>
                <w:highlight w:val="none"/>
                <w:lang w:val="en-US" w:eastAsia="zh-CN" w:bidi="ar"/>
              </w:rPr>
            </w:pPr>
            <w:bookmarkStart w:id="1" w:name="_Toc22235"/>
            <w:r>
              <w:rPr>
                <w:rStyle w:val="13"/>
                <w:rFonts w:ascii="宋体" w:hAnsi="宋体" w:eastAsia="宋体" w:cs="宋体"/>
                <w:kern w:val="0"/>
                <w:sz w:val="24"/>
                <w:szCs w:val="24"/>
                <w:highlight w:val="none"/>
                <w:lang w:val="en-US" w:eastAsia="zh-CN" w:bidi="ar"/>
              </w:rPr>
              <w:t>Q2：</w:t>
            </w:r>
            <w:bookmarkEnd w:id="1"/>
            <w:r>
              <w:rPr>
                <w:rStyle w:val="13"/>
                <w:rFonts w:hint="eastAsia" w:ascii="宋体" w:hAnsi="宋体" w:cs="宋体"/>
                <w:kern w:val="0"/>
                <w:sz w:val="24"/>
                <w:szCs w:val="24"/>
                <w:highlight w:val="none"/>
                <w:lang w:val="en-US" w:eastAsia="zh-CN" w:bidi="ar"/>
              </w:rPr>
              <w:t>2025年度，</w:t>
            </w:r>
            <w:r>
              <w:rPr>
                <w:rStyle w:val="13"/>
                <w:rFonts w:ascii="宋体" w:hAnsi="宋体" w:eastAsia="宋体" w:cs="宋体"/>
                <w:kern w:val="0"/>
                <w:sz w:val="24"/>
                <w:szCs w:val="24"/>
                <w:highlight w:val="none"/>
                <w:lang w:val="en-US" w:eastAsia="zh-CN" w:bidi="ar"/>
              </w:rPr>
              <w:t>能源技术服务产业收入</w:t>
            </w:r>
            <w:r>
              <w:rPr>
                <w:rStyle w:val="13"/>
                <w:rFonts w:hint="eastAsia" w:ascii="宋体" w:hAnsi="宋体" w:eastAsia="宋体" w:cs="宋体"/>
                <w:kern w:val="0"/>
                <w:sz w:val="24"/>
                <w:szCs w:val="24"/>
                <w:highlight w:val="none"/>
                <w:lang w:val="en-US" w:eastAsia="zh-CN" w:bidi="ar"/>
              </w:rPr>
              <w:t>下降</w:t>
            </w:r>
            <w:r>
              <w:rPr>
                <w:rStyle w:val="13"/>
                <w:rFonts w:ascii="宋体" w:hAnsi="宋体" w:eastAsia="宋体" w:cs="宋体"/>
                <w:kern w:val="0"/>
                <w:sz w:val="24"/>
                <w:szCs w:val="24"/>
                <w:highlight w:val="none"/>
                <w:lang w:val="en-US" w:eastAsia="zh-CN" w:bidi="ar"/>
              </w:rPr>
              <w:t>、利润增长的原因</w:t>
            </w:r>
            <w:r>
              <w:rPr>
                <w:rStyle w:val="13"/>
                <w:rFonts w:hint="eastAsia" w:ascii="宋体" w:hAnsi="宋体" w:eastAsia="宋体" w:cs="宋体"/>
                <w:kern w:val="0"/>
                <w:sz w:val="24"/>
                <w:szCs w:val="24"/>
                <w:highlight w:val="none"/>
                <w:lang w:val="en-US" w:eastAsia="zh-CN" w:bidi="ar"/>
              </w:rPr>
              <w:t>？</w:t>
            </w:r>
          </w:p>
          <w:p>
            <w:pPr>
              <w:rPr>
                <w:rFonts w:ascii="Times New Roman" w:hAnsi="Times New Roman"/>
                <w:sz w:val="24"/>
                <w:highlight w:val="none"/>
              </w:rPr>
            </w:pPr>
            <w:r>
              <w:rPr>
                <w:rFonts w:ascii="Times New Roman" w:hAnsi="Times New Roman"/>
                <w:sz w:val="24"/>
                <w:highlight w:val="none"/>
              </w:rPr>
              <w:t>A2：</w:t>
            </w:r>
            <w:r>
              <w:rPr>
                <w:rFonts w:hint="eastAsia" w:ascii="Times New Roman" w:hAnsi="Times New Roman"/>
                <w:sz w:val="24"/>
                <w:highlight w:val="none"/>
                <w:lang w:val="en-US" w:eastAsia="zh-CN"/>
              </w:rPr>
              <w:t>公司</w:t>
            </w:r>
            <w:r>
              <w:rPr>
                <w:rFonts w:hint="eastAsia" w:ascii="Times New Roman" w:hAnsi="Times New Roman"/>
                <w:sz w:val="24"/>
                <w:highlight w:val="none"/>
              </w:rPr>
              <w:t>推动资源投入到优势主业，提高成本投入产出效率</w:t>
            </w:r>
            <w:r>
              <w:rPr>
                <w:rFonts w:hint="eastAsia" w:ascii="Times New Roman" w:hAnsi="Times New Roman"/>
                <w:sz w:val="24"/>
                <w:highlight w:val="none"/>
                <w:lang w:eastAsia="zh-CN"/>
              </w:rPr>
              <w:t>。</w:t>
            </w:r>
            <w:r>
              <w:rPr>
                <w:rFonts w:hint="eastAsia" w:ascii="Times New Roman" w:hAnsi="Times New Roman"/>
                <w:sz w:val="24"/>
                <w:highlight w:val="none"/>
              </w:rPr>
              <w:t>能源技术服务产业收入下降3.1%，主要是受低盈利水平的非常规油气业务作业量同比下降影响。海上油气业务作业量总体保持平稳。</w:t>
            </w:r>
          </w:p>
          <w:p>
            <w:pPr>
              <w:widowControl/>
              <w:jc w:val="left"/>
              <w:rPr>
                <w:rFonts w:hint="eastAsia" w:ascii="Times New Roman" w:hAnsi="Times New Roman" w:cs="Times New Roman"/>
                <w:b/>
                <w:bCs/>
                <w:sz w:val="24"/>
                <w:highlight w:val="none"/>
                <w:lang w:val="en-US" w:eastAsia="zh-CN"/>
              </w:rPr>
            </w:pPr>
            <w:bookmarkStart w:id="2" w:name="_Toc20548"/>
            <w:r>
              <w:rPr>
                <w:rFonts w:hint="eastAsia" w:ascii="Times New Roman" w:hAnsi="Times New Roman" w:cs="Times New Roman"/>
                <w:b/>
                <w:bCs/>
                <w:sz w:val="24"/>
                <w:highlight w:val="none"/>
                <w:lang w:val="en-US" w:eastAsia="zh-CN"/>
              </w:rPr>
              <w:t>Q3：</w:t>
            </w:r>
            <w:bookmarkEnd w:id="2"/>
            <w:r>
              <w:rPr>
                <w:rFonts w:hint="eastAsia" w:ascii="Times New Roman" w:hAnsi="Times New Roman" w:cs="Times New Roman"/>
                <w:b/>
                <w:bCs/>
                <w:sz w:val="24"/>
                <w:highlight w:val="none"/>
                <w:lang w:val="en-US" w:eastAsia="zh-CN"/>
              </w:rPr>
              <w:t>近期地缘政治风险及国际油价波动对公司海外项目执行的影响有哪些？</w:t>
            </w:r>
          </w:p>
          <w:p>
            <w:pPr>
              <w:widowControl/>
              <w:jc w:val="left"/>
              <w:rPr>
                <w:rFonts w:hint="eastAsia" w:ascii="Times New Roman" w:hAnsi="Times New Roman" w:cs="Times New Roman"/>
                <w:b w:val="0"/>
                <w:bCs w:val="0"/>
                <w:sz w:val="24"/>
                <w:highlight w:val="none"/>
                <w:lang w:val="en-US" w:eastAsia="zh-CN"/>
              </w:rPr>
            </w:pPr>
            <w:r>
              <w:rPr>
                <w:rFonts w:hint="eastAsia" w:ascii="Times New Roman" w:hAnsi="Times New Roman" w:cs="Times New Roman"/>
                <w:b w:val="0"/>
                <w:bCs w:val="0"/>
                <w:sz w:val="24"/>
                <w:highlight w:val="none"/>
                <w:lang w:val="en-US" w:eastAsia="zh-CN"/>
              </w:rPr>
              <w:t>A3：近期中东地缘政治冲突对区域内供应链的影响具有普遍性。从风险与机遇并行的视角看，客户在价格容忍度和交付时效方面的预期有所调整，这也为公司优质产品和服务进入中东区域市场创造了窗口期。</w:t>
            </w:r>
          </w:p>
          <w:p>
            <w:pPr>
              <w:widowControl/>
              <w:jc w:val="left"/>
              <w:rPr>
                <w:rFonts w:ascii="Times New Roman" w:hAnsi="Times New Roman"/>
                <w:sz w:val="24"/>
                <w:highlight w:val="none"/>
              </w:rPr>
            </w:pPr>
            <w:bookmarkStart w:id="3" w:name="_Toc20140"/>
            <w:r>
              <w:rPr>
                <w:rFonts w:ascii="Times New Roman" w:hAnsi="Times New Roman"/>
                <w:sz w:val="24"/>
                <w:highlight w:val="none"/>
              </w:rPr>
              <w:t>Q</w:t>
            </w:r>
            <w:r>
              <w:rPr>
                <w:rFonts w:hint="eastAsia" w:ascii="Times New Roman" w:hAnsi="Times New Roman"/>
                <w:sz w:val="24"/>
                <w:highlight w:val="none"/>
                <w:lang w:val="en-US" w:eastAsia="zh-CN"/>
              </w:rPr>
              <w:t>4</w:t>
            </w:r>
            <w:r>
              <w:rPr>
                <w:rFonts w:ascii="Times New Roman" w:hAnsi="Times New Roman"/>
                <w:sz w:val="24"/>
                <w:highlight w:val="none"/>
              </w:rPr>
              <w:t>：</w:t>
            </w:r>
            <w:bookmarkEnd w:id="3"/>
            <w:r>
              <w:rPr>
                <w:rFonts w:ascii="Times New Roman" w:hAnsi="Times New Roman"/>
                <w:b/>
                <w:bCs/>
                <w:sz w:val="24"/>
                <w:highlight w:val="none"/>
              </w:rPr>
              <w:t>公司的分红政策</w:t>
            </w:r>
            <w:r>
              <w:rPr>
                <w:rFonts w:hint="eastAsia" w:ascii="Times New Roman" w:hAnsi="Times New Roman"/>
                <w:b/>
                <w:bCs/>
                <w:sz w:val="24"/>
                <w:highlight w:val="none"/>
                <w:lang w:val="en-US" w:eastAsia="zh-CN"/>
              </w:rPr>
              <w:t>及账面现金管理情况</w:t>
            </w:r>
            <w:r>
              <w:rPr>
                <w:rFonts w:ascii="Times New Roman" w:hAnsi="Times New Roman"/>
                <w:b/>
                <w:bCs/>
                <w:sz w:val="24"/>
                <w:highlight w:val="none"/>
              </w:rPr>
              <w:t>？</w:t>
            </w:r>
          </w:p>
          <w:p>
            <w:pPr>
              <w:rPr>
                <w:rFonts w:ascii="Times New Roman" w:hAnsi="Times New Roman"/>
                <w:sz w:val="24"/>
                <w:highlight w:val="none"/>
              </w:rPr>
            </w:pPr>
            <w:r>
              <w:rPr>
                <w:rFonts w:ascii="Times New Roman" w:hAnsi="Times New Roman"/>
                <w:sz w:val="24"/>
                <w:highlight w:val="none"/>
              </w:rPr>
              <w:t>A</w:t>
            </w:r>
            <w:r>
              <w:rPr>
                <w:rFonts w:hint="eastAsia" w:ascii="Times New Roman" w:hAnsi="Times New Roman"/>
                <w:sz w:val="24"/>
                <w:highlight w:val="none"/>
                <w:lang w:val="en-US" w:eastAsia="zh-CN"/>
              </w:rPr>
              <w:t>4</w:t>
            </w:r>
            <w:r>
              <w:rPr>
                <w:rFonts w:ascii="Times New Roman" w:hAnsi="Times New Roman"/>
                <w:sz w:val="24"/>
                <w:highlight w:val="none"/>
              </w:rPr>
              <w:t>：公司高度重视股东回报，始终坚持稳定和可持续的现金分红政策。公司将持续保持稳健的股息政策，积极传递市场信心，力争在分红比例、每股股利等方面实现稳定增长。</w:t>
            </w:r>
            <w:r>
              <w:rPr>
                <w:rFonts w:hint="eastAsia" w:ascii="Times New Roman" w:hAnsi="Times New Roman"/>
                <w:sz w:val="24"/>
                <w:highlight w:val="none"/>
              </w:rPr>
              <w:t>公司始终将资金安全性和流动性置于首位，在确保日常经营资金需求和风险可控的前提下，通过配置低风险理财产品提高闲置资金使用效率。</w:t>
            </w:r>
          </w:p>
          <w:p>
            <w:pPr>
              <w:widowControl/>
              <w:jc w:val="left"/>
              <w:rPr>
                <w:rFonts w:ascii="Times New Roman" w:hAnsi="Times New Roman"/>
                <w:b/>
                <w:bCs/>
                <w:sz w:val="24"/>
                <w:highlight w:val="none"/>
              </w:rPr>
            </w:pPr>
            <w:r>
              <w:rPr>
                <w:rFonts w:ascii="Times New Roman" w:hAnsi="Times New Roman"/>
                <w:sz w:val="24"/>
                <w:highlight w:val="none"/>
              </w:rPr>
              <w:t>Q</w:t>
            </w:r>
            <w:r>
              <w:rPr>
                <w:rFonts w:hint="eastAsia" w:ascii="Times New Roman" w:hAnsi="Times New Roman" w:cs="Times New Roman"/>
                <w:b/>
                <w:bCs/>
                <w:sz w:val="24"/>
                <w:highlight w:val="none"/>
                <w:lang w:val="en-US" w:eastAsia="zh-CN"/>
              </w:rPr>
              <w:t>5</w:t>
            </w:r>
            <w:r>
              <w:rPr>
                <w:rFonts w:ascii="Times New Roman" w:hAnsi="Times New Roman" w:cs="Times New Roman"/>
                <w:b/>
                <w:bCs/>
                <w:sz w:val="24"/>
                <w:highlight w:val="none"/>
              </w:rPr>
              <w:t>：</w:t>
            </w:r>
            <w:r>
              <w:rPr>
                <w:rFonts w:hint="eastAsia" w:ascii="Times New Roman" w:hAnsi="Times New Roman" w:cs="Times New Roman"/>
                <w:b/>
                <w:bCs/>
                <w:sz w:val="24"/>
                <w:highlight w:val="none"/>
                <w:lang w:val="en-US" w:eastAsia="zh-CN"/>
              </w:rPr>
              <w:t>2024年，海洋石油116受台风影响，保险理赔进展及对未来保费的影响</w:t>
            </w:r>
            <w:r>
              <w:rPr>
                <w:rFonts w:ascii="Times New Roman" w:hAnsi="Times New Roman" w:cs="Times New Roman"/>
                <w:b/>
                <w:bCs/>
                <w:sz w:val="24"/>
                <w:highlight w:val="none"/>
              </w:rPr>
              <w:t>？</w:t>
            </w:r>
          </w:p>
          <w:p>
            <w:pPr>
              <w:rPr>
                <w:rFonts w:hint="eastAsia" w:ascii="Times New Roman" w:hAnsi="Times New Roman"/>
                <w:sz w:val="24"/>
                <w:highlight w:val="none"/>
                <w:lang w:eastAsia="zh-CN"/>
              </w:rPr>
            </w:pPr>
            <w:r>
              <w:rPr>
                <w:rFonts w:ascii="Times New Roman" w:hAnsi="Times New Roman"/>
                <w:sz w:val="24"/>
                <w:highlight w:val="none"/>
              </w:rPr>
              <w:t>A</w:t>
            </w:r>
            <w:r>
              <w:rPr>
                <w:rFonts w:hint="eastAsia" w:ascii="Times New Roman" w:hAnsi="Times New Roman"/>
                <w:sz w:val="24"/>
                <w:highlight w:val="none"/>
                <w:lang w:val="en-US" w:eastAsia="zh-CN"/>
              </w:rPr>
              <w:t>5</w:t>
            </w:r>
            <w:r>
              <w:rPr>
                <w:rFonts w:ascii="Times New Roman" w:hAnsi="Times New Roman"/>
                <w:sz w:val="24"/>
                <w:highlight w:val="none"/>
              </w:rPr>
              <w:t>：</w:t>
            </w:r>
            <w:r>
              <w:rPr>
                <w:rFonts w:hint="eastAsia" w:ascii="Times New Roman" w:hAnsi="Times New Roman"/>
                <w:sz w:val="24"/>
                <w:highlight w:val="none"/>
              </w:rPr>
              <w:t>公司正在全力推动保险理赔工作，结合以往结案的大额保险理赔案例，理赔周期在1至3年不等，具体赔款时间尚不确定。公司将积极推进理赔事项，力争尽早回款</w:t>
            </w:r>
            <w:r>
              <w:rPr>
                <w:rFonts w:hint="eastAsia" w:ascii="Times New Roman" w:hAnsi="Times New Roman"/>
                <w:sz w:val="24"/>
                <w:highlight w:val="none"/>
                <w:lang w:eastAsia="zh-CN"/>
              </w:rPr>
              <w:t>，</w:t>
            </w:r>
            <w:r>
              <w:rPr>
                <w:rFonts w:hint="eastAsia" w:ascii="Times New Roman" w:hAnsi="Times New Roman"/>
                <w:sz w:val="24"/>
                <w:highlight w:val="none"/>
              </w:rPr>
              <w:t>取得相关保险赔款将对当期的损益产生正向影响</w:t>
            </w:r>
            <w:r>
              <w:rPr>
                <w:rFonts w:hint="eastAsia" w:ascii="Times New Roman" w:hAnsi="Times New Roman"/>
                <w:sz w:val="24"/>
                <w:highlight w:val="none"/>
                <w:lang w:eastAsia="zh-CN"/>
              </w:rPr>
              <w:t>。</w:t>
            </w:r>
          </w:p>
          <w:p>
            <w:pPr>
              <w:widowControl/>
              <w:jc w:val="left"/>
              <w:rPr>
                <w:rFonts w:ascii="Times New Roman" w:hAnsi="Times New Roman"/>
                <w:b/>
                <w:bCs/>
                <w:sz w:val="24"/>
                <w:highlight w:val="none"/>
              </w:rPr>
            </w:pPr>
            <w:r>
              <w:rPr>
                <w:rFonts w:ascii="Times New Roman" w:hAnsi="Times New Roman"/>
                <w:sz w:val="24"/>
                <w:highlight w:val="none"/>
              </w:rPr>
              <w:t>Q</w:t>
            </w:r>
            <w:r>
              <w:rPr>
                <w:rFonts w:hint="eastAsia" w:ascii="Times New Roman" w:hAnsi="Times New Roman" w:cs="Times New Roman"/>
                <w:b/>
                <w:bCs/>
                <w:sz w:val="24"/>
                <w:highlight w:val="none"/>
                <w:lang w:val="en-US" w:eastAsia="zh-CN"/>
              </w:rPr>
              <w:t>6</w:t>
            </w:r>
            <w:r>
              <w:rPr>
                <w:rFonts w:ascii="Times New Roman" w:hAnsi="Times New Roman" w:cs="Times New Roman"/>
                <w:b/>
                <w:bCs/>
                <w:sz w:val="24"/>
                <w:highlight w:val="none"/>
              </w:rPr>
              <w:t>：</w:t>
            </w:r>
            <w:r>
              <w:rPr>
                <w:rFonts w:hint="eastAsia" w:ascii="Times New Roman" w:hAnsi="Times New Roman" w:cs="Times New Roman"/>
                <w:b/>
                <w:bCs/>
                <w:sz w:val="24"/>
                <w:highlight w:val="none"/>
                <w:lang w:val="en-US" w:eastAsia="zh-CN"/>
              </w:rPr>
              <w:t>公司</w:t>
            </w:r>
            <w:r>
              <w:rPr>
                <w:rFonts w:ascii="Times New Roman" w:hAnsi="Times New Roman" w:cs="Times New Roman"/>
                <w:b/>
                <w:bCs/>
                <w:sz w:val="24"/>
                <w:highlight w:val="none"/>
                <w:lang w:val="en-US" w:eastAsia="zh-CN"/>
              </w:rPr>
              <w:t>业绩增长特征与驱动因素</w:t>
            </w:r>
            <w:r>
              <w:rPr>
                <w:rFonts w:hint="eastAsia" w:ascii="Times New Roman" w:hAnsi="Times New Roman" w:cs="Times New Roman"/>
                <w:b/>
                <w:bCs/>
                <w:sz w:val="24"/>
                <w:highlight w:val="none"/>
                <w:lang w:val="en-US" w:eastAsia="zh-CN"/>
              </w:rPr>
              <w:t>是什么</w:t>
            </w:r>
            <w:r>
              <w:rPr>
                <w:rFonts w:ascii="Times New Roman" w:hAnsi="Times New Roman" w:cs="Times New Roman"/>
                <w:b/>
                <w:bCs/>
                <w:sz w:val="24"/>
                <w:highlight w:val="none"/>
              </w:rPr>
              <w:t>？</w:t>
            </w:r>
          </w:p>
          <w:p>
            <w:pPr>
              <w:rPr>
                <w:rFonts w:hint="eastAsia" w:ascii="Times New Roman" w:hAnsi="Times New Roman"/>
                <w:sz w:val="24"/>
                <w:highlight w:val="green"/>
                <w:lang w:eastAsia="zh-CN"/>
              </w:rPr>
            </w:pPr>
            <w:r>
              <w:rPr>
                <w:rFonts w:ascii="Times New Roman" w:hAnsi="Times New Roman"/>
                <w:sz w:val="24"/>
                <w:highlight w:val="none"/>
              </w:rPr>
              <w:t>A</w:t>
            </w:r>
            <w:r>
              <w:rPr>
                <w:rFonts w:hint="eastAsia" w:ascii="Times New Roman" w:hAnsi="Times New Roman"/>
                <w:sz w:val="24"/>
                <w:highlight w:val="none"/>
                <w:lang w:val="en-US" w:eastAsia="zh-CN"/>
              </w:rPr>
              <w:t>6</w:t>
            </w:r>
            <w:r>
              <w:rPr>
                <w:rFonts w:ascii="Times New Roman" w:hAnsi="Times New Roman"/>
                <w:sz w:val="24"/>
                <w:highlight w:val="none"/>
              </w:rPr>
              <w:t>：</w:t>
            </w:r>
            <w:r>
              <w:rPr>
                <w:rFonts w:hint="eastAsia" w:ascii="Times New Roman" w:hAnsi="Times New Roman"/>
                <w:sz w:val="24"/>
                <w:highlight w:val="none"/>
                <w:lang w:val="en-US" w:eastAsia="zh-CN"/>
              </w:rPr>
              <w:t>2025年，公司实现营收503.63亿元，归母净利润38.8亿元；“十四五”期间归母净利润复合增速达31.90%，且利润增幅持续高于收入增幅。公司业绩主要受益于国家能源安全战略及“增储上产”政策驱动，来源于新增海上油气开发及存量油气田稳产、增产技术支持，油价波动对公司业务影响有限</w:t>
            </w:r>
            <w:r>
              <w:rPr>
                <w:rFonts w:hint="eastAsia" w:ascii="Times New Roman" w:hAnsi="Times New Roman"/>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4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bCs/>
                <w:sz w:val="24"/>
              </w:rPr>
            </w:pPr>
            <w:r>
              <w:rPr>
                <w:rFonts w:ascii="Times New Roman" w:hAnsi="Times New Roman"/>
                <w:bCs/>
                <w:sz w:val="24"/>
              </w:rPr>
              <w:t>附件清单（如有）</w:t>
            </w:r>
          </w:p>
        </w:tc>
        <w:tc>
          <w:tcPr>
            <w:tcW w:w="3857"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bCs/>
                <w:sz w:val="24"/>
              </w:rPr>
            </w:pPr>
          </w:p>
          <w:p>
            <w:pPr>
              <w:spacing w:line="360" w:lineRule="auto"/>
              <w:rPr>
                <w:rFonts w:ascii="Times New Roman" w:hAnsi="Times New Roman"/>
                <w:bCs/>
                <w:sz w:val="24"/>
              </w:rPr>
            </w:pPr>
            <w:bookmarkStart w:id="4" w:name="_GoBack"/>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bCs/>
                <w:sz w:val="24"/>
              </w:rPr>
            </w:pPr>
            <w:r>
              <w:rPr>
                <w:rFonts w:ascii="Times New Roman" w:hAnsi="Times New Roman"/>
                <w:bCs/>
                <w:sz w:val="24"/>
              </w:rPr>
              <w:t>备注</w:t>
            </w:r>
          </w:p>
        </w:tc>
        <w:tc>
          <w:tcPr>
            <w:tcW w:w="3857"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bCs/>
                <w:sz w:val="24"/>
              </w:rPr>
            </w:pPr>
          </w:p>
          <w:p>
            <w:pPr>
              <w:spacing w:line="360" w:lineRule="auto"/>
              <w:rPr>
                <w:rFonts w:ascii="Times New Roman" w:hAnsi="Times New Roman"/>
                <w:bCs/>
                <w:sz w:val="24"/>
              </w:rPr>
            </w:pPr>
          </w:p>
        </w:tc>
      </w:tr>
    </w:tbl>
    <w:p>
      <w:pPr>
        <w:spacing w:line="360" w:lineRule="auto"/>
        <w:rPr>
          <w:rFonts w:ascii="Times New Roman" w:hAnsi="Times New Roman"/>
        </w:rPr>
      </w:pPr>
    </w:p>
    <w:sectPr>
      <w:pgSz w:w="11906" w:h="16838"/>
      <w:pgMar w:top="1440" w:right="1701" w:bottom="132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6AF"/>
    <w:rsid w:val="00002C11"/>
    <w:rsid w:val="000064E8"/>
    <w:rsid w:val="00014730"/>
    <w:rsid w:val="0001671F"/>
    <w:rsid w:val="000249CF"/>
    <w:rsid w:val="000322B8"/>
    <w:rsid w:val="000514E2"/>
    <w:rsid w:val="00064957"/>
    <w:rsid w:val="0007152A"/>
    <w:rsid w:val="00092E77"/>
    <w:rsid w:val="000959C1"/>
    <w:rsid w:val="00095F49"/>
    <w:rsid w:val="000B2D26"/>
    <w:rsid w:val="000B5A0A"/>
    <w:rsid w:val="000C39CE"/>
    <w:rsid w:val="000C4415"/>
    <w:rsid w:val="000E3B6B"/>
    <w:rsid w:val="000F0D13"/>
    <w:rsid w:val="000F3391"/>
    <w:rsid w:val="000F5F9B"/>
    <w:rsid w:val="00102C7B"/>
    <w:rsid w:val="001041A7"/>
    <w:rsid w:val="00120BE7"/>
    <w:rsid w:val="00131336"/>
    <w:rsid w:val="00133145"/>
    <w:rsid w:val="00133934"/>
    <w:rsid w:val="00145654"/>
    <w:rsid w:val="00145874"/>
    <w:rsid w:val="0015176B"/>
    <w:rsid w:val="00157EEB"/>
    <w:rsid w:val="001640C6"/>
    <w:rsid w:val="00166E1D"/>
    <w:rsid w:val="00172322"/>
    <w:rsid w:val="00196E68"/>
    <w:rsid w:val="001A607F"/>
    <w:rsid w:val="001B5980"/>
    <w:rsid w:val="001C03A8"/>
    <w:rsid w:val="001C3EE5"/>
    <w:rsid w:val="001C5E58"/>
    <w:rsid w:val="001C7FAB"/>
    <w:rsid w:val="001D3E98"/>
    <w:rsid w:val="001E701A"/>
    <w:rsid w:val="001F2BC6"/>
    <w:rsid w:val="001F53CD"/>
    <w:rsid w:val="00201181"/>
    <w:rsid w:val="00202DBA"/>
    <w:rsid w:val="00205C9B"/>
    <w:rsid w:val="002138F3"/>
    <w:rsid w:val="00217AD1"/>
    <w:rsid w:val="002234F1"/>
    <w:rsid w:val="00225F72"/>
    <w:rsid w:val="00231B7C"/>
    <w:rsid w:val="00232F5E"/>
    <w:rsid w:val="00251396"/>
    <w:rsid w:val="00262377"/>
    <w:rsid w:val="00274437"/>
    <w:rsid w:val="002917B0"/>
    <w:rsid w:val="00291A90"/>
    <w:rsid w:val="00295886"/>
    <w:rsid w:val="0029714B"/>
    <w:rsid w:val="002A2354"/>
    <w:rsid w:val="002A7C64"/>
    <w:rsid w:val="002B3178"/>
    <w:rsid w:val="002B4C51"/>
    <w:rsid w:val="002C37B7"/>
    <w:rsid w:val="002D2D15"/>
    <w:rsid w:val="002D7106"/>
    <w:rsid w:val="002D71D3"/>
    <w:rsid w:val="002F08B5"/>
    <w:rsid w:val="002F105B"/>
    <w:rsid w:val="002F1B29"/>
    <w:rsid w:val="002F5019"/>
    <w:rsid w:val="002F57FB"/>
    <w:rsid w:val="003045BD"/>
    <w:rsid w:val="00337B48"/>
    <w:rsid w:val="00375169"/>
    <w:rsid w:val="00381350"/>
    <w:rsid w:val="0038279B"/>
    <w:rsid w:val="0038654F"/>
    <w:rsid w:val="00392023"/>
    <w:rsid w:val="00392EE5"/>
    <w:rsid w:val="00393049"/>
    <w:rsid w:val="003932E8"/>
    <w:rsid w:val="00396048"/>
    <w:rsid w:val="003A38F1"/>
    <w:rsid w:val="003B0A80"/>
    <w:rsid w:val="003B3AAD"/>
    <w:rsid w:val="003C2D07"/>
    <w:rsid w:val="003C3CB2"/>
    <w:rsid w:val="003D4279"/>
    <w:rsid w:val="003D4E0A"/>
    <w:rsid w:val="003E0FCB"/>
    <w:rsid w:val="003E24F1"/>
    <w:rsid w:val="003E50AE"/>
    <w:rsid w:val="003F0C6C"/>
    <w:rsid w:val="0040026C"/>
    <w:rsid w:val="004115C5"/>
    <w:rsid w:val="00420C25"/>
    <w:rsid w:val="00425AD3"/>
    <w:rsid w:val="004261A5"/>
    <w:rsid w:val="004349AA"/>
    <w:rsid w:val="00436FC3"/>
    <w:rsid w:val="00456B57"/>
    <w:rsid w:val="00461F34"/>
    <w:rsid w:val="00483104"/>
    <w:rsid w:val="0049413B"/>
    <w:rsid w:val="004A2313"/>
    <w:rsid w:val="004A48AF"/>
    <w:rsid w:val="004A5953"/>
    <w:rsid w:val="004A5CD1"/>
    <w:rsid w:val="004B64F0"/>
    <w:rsid w:val="004B6CCB"/>
    <w:rsid w:val="004C68C2"/>
    <w:rsid w:val="004E1560"/>
    <w:rsid w:val="004E6E75"/>
    <w:rsid w:val="004E7007"/>
    <w:rsid w:val="004F6986"/>
    <w:rsid w:val="005028F2"/>
    <w:rsid w:val="00502AC1"/>
    <w:rsid w:val="00505C7F"/>
    <w:rsid w:val="00513939"/>
    <w:rsid w:val="00516029"/>
    <w:rsid w:val="0051704B"/>
    <w:rsid w:val="00520481"/>
    <w:rsid w:val="005306D2"/>
    <w:rsid w:val="005329E3"/>
    <w:rsid w:val="00532CAD"/>
    <w:rsid w:val="0053346B"/>
    <w:rsid w:val="00540D89"/>
    <w:rsid w:val="005415B8"/>
    <w:rsid w:val="005569B7"/>
    <w:rsid w:val="00576C16"/>
    <w:rsid w:val="005A675E"/>
    <w:rsid w:val="005B2535"/>
    <w:rsid w:val="005B2C08"/>
    <w:rsid w:val="005C0791"/>
    <w:rsid w:val="005E223C"/>
    <w:rsid w:val="005F7998"/>
    <w:rsid w:val="006061B0"/>
    <w:rsid w:val="00613CB3"/>
    <w:rsid w:val="006339AA"/>
    <w:rsid w:val="00640637"/>
    <w:rsid w:val="006408CD"/>
    <w:rsid w:val="00642E5E"/>
    <w:rsid w:val="00647EF4"/>
    <w:rsid w:val="00667668"/>
    <w:rsid w:val="00670515"/>
    <w:rsid w:val="006A29C9"/>
    <w:rsid w:val="006A672C"/>
    <w:rsid w:val="006B23BF"/>
    <w:rsid w:val="006B31D9"/>
    <w:rsid w:val="006C55E7"/>
    <w:rsid w:val="006D0D9C"/>
    <w:rsid w:val="006D497F"/>
    <w:rsid w:val="006D6A12"/>
    <w:rsid w:val="006E211A"/>
    <w:rsid w:val="006E3954"/>
    <w:rsid w:val="00700F38"/>
    <w:rsid w:val="007207CB"/>
    <w:rsid w:val="007378CE"/>
    <w:rsid w:val="0074245B"/>
    <w:rsid w:val="007500D3"/>
    <w:rsid w:val="00767BBE"/>
    <w:rsid w:val="007740D1"/>
    <w:rsid w:val="00781232"/>
    <w:rsid w:val="0078494D"/>
    <w:rsid w:val="00791A85"/>
    <w:rsid w:val="007A4BB1"/>
    <w:rsid w:val="007B3D4E"/>
    <w:rsid w:val="007B4526"/>
    <w:rsid w:val="007B4B1C"/>
    <w:rsid w:val="007D2AA9"/>
    <w:rsid w:val="007D2DAD"/>
    <w:rsid w:val="007D6C5F"/>
    <w:rsid w:val="007F3F8D"/>
    <w:rsid w:val="007F52F9"/>
    <w:rsid w:val="00814B49"/>
    <w:rsid w:val="00820A07"/>
    <w:rsid w:val="0084183B"/>
    <w:rsid w:val="008418D3"/>
    <w:rsid w:val="00841B87"/>
    <w:rsid w:val="00842582"/>
    <w:rsid w:val="00852F42"/>
    <w:rsid w:val="00857736"/>
    <w:rsid w:val="00870841"/>
    <w:rsid w:val="00870E6D"/>
    <w:rsid w:val="00894C66"/>
    <w:rsid w:val="008A52A1"/>
    <w:rsid w:val="008D6D3B"/>
    <w:rsid w:val="008E16D4"/>
    <w:rsid w:val="008F33BB"/>
    <w:rsid w:val="0090720B"/>
    <w:rsid w:val="00915626"/>
    <w:rsid w:val="0092052F"/>
    <w:rsid w:val="00920A70"/>
    <w:rsid w:val="00931DF2"/>
    <w:rsid w:val="00933721"/>
    <w:rsid w:val="0094094D"/>
    <w:rsid w:val="00951C25"/>
    <w:rsid w:val="00952E2F"/>
    <w:rsid w:val="00953621"/>
    <w:rsid w:val="00955BD4"/>
    <w:rsid w:val="009734F6"/>
    <w:rsid w:val="0097646C"/>
    <w:rsid w:val="00982303"/>
    <w:rsid w:val="009A0AA8"/>
    <w:rsid w:val="009A0FDB"/>
    <w:rsid w:val="009A667A"/>
    <w:rsid w:val="009A6897"/>
    <w:rsid w:val="009A7E7D"/>
    <w:rsid w:val="009B0E27"/>
    <w:rsid w:val="009D0879"/>
    <w:rsid w:val="009D50D4"/>
    <w:rsid w:val="009E0F4E"/>
    <w:rsid w:val="009F1F15"/>
    <w:rsid w:val="009F2007"/>
    <w:rsid w:val="009F4A15"/>
    <w:rsid w:val="00A016D7"/>
    <w:rsid w:val="00A01CE4"/>
    <w:rsid w:val="00A06781"/>
    <w:rsid w:val="00A2008F"/>
    <w:rsid w:val="00A2669E"/>
    <w:rsid w:val="00A27FDB"/>
    <w:rsid w:val="00A32E27"/>
    <w:rsid w:val="00A46331"/>
    <w:rsid w:val="00A54A1D"/>
    <w:rsid w:val="00A56E13"/>
    <w:rsid w:val="00A64E11"/>
    <w:rsid w:val="00A66241"/>
    <w:rsid w:val="00A7677A"/>
    <w:rsid w:val="00A80C96"/>
    <w:rsid w:val="00A9782D"/>
    <w:rsid w:val="00AA30E5"/>
    <w:rsid w:val="00AA751C"/>
    <w:rsid w:val="00AB1D47"/>
    <w:rsid w:val="00AC2792"/>
    <w:rsid w:val="00AE00F9"/>
    <w:rsid w:val="00AE6AAD"/>
    <w:rsid w:val="00AF0540"/>
    <w:rsid w:val="00B04E0C"/>
    <w:rsid w:val="00B146C4"/>
    <w:rsid w:val="00B20CD0"/>
    <w:rsid w:val="00B266A9"/>
    <w:rsid w:val="00B32FB4"/>
    <w:rsid w:val="00B34808"/>
    <w:rsid w:val="00B57DE2"/>
    <w:rsid w:val="00B61024"/>
    <w:rsid w:val="00B62DBF"/>
    <w:rsid w:val="00B63DDA"/>
    <w:rsid w:val="00B64A83"/>
    <w:rsid w:val="00B94426"/>
    <w:rsid w:val="00BA29F6"/>
    <w:rsid w:val="00BB6048"/>
    <w:rsid w:val="00BC06D0"/>
    <w:rsid w:val="00BD605B"/>
    <w:rsid w:val="00BE2FE9"/>
    <w:rsid w:val="00C2418C"/>
    <w:rsid w:val="00C31F14"/>
    <w:rsid w:val="00C42181"/>
    <w:rsid w:val="00C622EA"/>
    <w:rsid w:val="00C7176C"/>
    <w:rsid w:val="00C818BD"/>
    <w:rsid w:val="00C81F5B"/>
    <w:rsid w:val="00C92834"/>
    <w:rsid w:val="00CA2C89"/>
    <w:rsid w:val="00CA3859"/>
    <w:rsid w:val="00CB0A19"/>
    <w:rsid w:val="00CC207C"/>
    <w:rsid w:val="00CD0EC1"/>
    <w:rsid w:val="00CE53D2"/>
    <w:rsid w:val="00CF7EB2"/>
    <w:rsid w:val="00D02FF1"/>
    <w:rsid w:val="00D07FB4"/>
    <w:rsid w:val="00D12A2E"/>
    <w:rsid w:val="00D140C0"/>
    <w:rsid w:val="00D459BA"/>
    <w:rsid w:val="00D46A53"/>
    <w:rsid w:val="00D6600B"/>
    <w:rsid w:val="00D67300"/>
    <w:rsid w:val="00D67AA4"/>
    <w:rsid w:val="00D72A6F"/>
    <w:rsid w:val="00D75EFF"/>
    <w:rsid w:val="00D762C1"/>
    <w:rsid w:val="00D87F10"/>
    <w:rsid w:val="00D915CA"/>
    <w:rsid w:val="00D91F02"/>
    <w:rsid w:val="00D9302B"/>
    <w:rsid w:val="00DA2171"/>
    <w:rsid w:val="00DA3392"/>
    <w:rsid w:val="00DA34B0"/>
    <w:rsid w:val="00DA6434"/>
    <w:rsid w:val="00DB0F03"/>
    <w:rsid w:val="00DB3D89"/>
    <w:rsid w:val="00DC1EC5"/>
    <w:rsid w:val="00DC26ED"/>
    <w:rsid w:val="00DD156D"/>
    <w:rsid w:val="00DE5486"/>
    <w:rsid w:val="00DF4270"/>
    <w:rsid w:val="00E1402E"/>
    <w:rsid w:val="00E2445B"/>
    <w:rsid w:val="00E26F36"/>
    <w:rsid w:val="00E27AE2"/>
    <w:rsid w:val="00E54867"/>
    <w:rsid w:val="00E6091E"/>
    <w:rsid w:val="00E65FD5"/>
    <w:rsid w:val="00E878A5"/>
    <w:rsid w:val="00E947C4"/>
    <w:rsid w:val="00EB501A"/>
    <w:rsid w:val="00EC087B"/>
    <w:rsid w:val="00EC140C"/>
    <w:rsid w:val="00EC4B5E"/>
    <w:rsid w:val="00ED2FEA"/>
    <w:rsid w:val="00ED5B82"/>
    <w:rsid w:val="00EF595C"/>
    <w:rsid w:val="00EF63B5"/>
    <w:rsid w:val="00F065EA"/>
    <w:rsid w:val="00F12982"/>
    <w:rsid w:val="00F46311"/>
    <w:rsid w:val="00F54829"/>
    <w:rsid w:val="00F55C2F"/>
    <w:rsid w:val="00F5728D"/>
    <w:rsid w:val="00F76932"/>
    <w:rsid w:val="00F804AA"/>
    <w:rsid w:val="00F81664"/>
    <w:rsid w:val="00F8256E"/>
    <w:rsid w:val="00F828C0"/>
    <w:rsid w:val="00F84A96"/>
    <w:rsid w:val="00F91EC5"/>
    <w:rsid w:val="00F930C8"/>
    <w:rsid w:val="00F9390C"/>
    <w:rsid w:val="00F959DE"/>
    <w:rsid w:val="00FB2757"/>
    <w:rsid w:val="00FB2E13"/>
    <w:rsid w:val="00FB36AF"/>
    <w:rsid w:val="00FD7CDB"/>
    <w:rsid w:val="00FE4171"/>
    <w:rsid w:val="0130215C"/>
    <w:rsid w:val="06DC7859"/>
    <w:rsid w:val="07F118A7"/>
    <w:rsid w:val="09780FE6"/>
    <w:rsid w:val="0C7F4780"/>
    <w:rsid w:val="0C8A37DF"/>
    <w:rsid w:val="0D3E4FC5"/>
    <w:rsid w:val="108E0C2E"/>
    <w:rsid w:val="11E00E28"/>
    <w:rsid w:val="14B8165B"/>
    <w:rsid w:val="18931874"/>
    <w:rsid w:val="1CB01AE5"/>
    <w:rsid w:val="1D52FE03"/>
    <w:rsid w:val="20126721"/>
    <w:rsid w:val="20564F67"/>
    <w:rsid w:val="22903F40"/>
    <w:rsid w:val="2428786F"/>
    <w:rsid w:val="250E6BFE"/>
    <w:rsid w:val="253C3156"/>
    <w:rsid w:val="2A36549C"/>
    <w:rsid w:val="2FC015D3"/>
    <w:rsid w:val="300F2202"/>
    <w:rsid w:val="30E8054D"/>
    <w:rsid w:val="33C01926"/>
    <w:rsid w:val="34584414"/>
    <w:rsid w:val="370D1705"/>
    <w:rsid w:val="37697DF6"/>
    <w:rsid w:val="3BFE6559"/>
    <w:rsid w:val="3C9E1F83"/>
    <w:rsid w:val="3FE42117"/>
    <w:rsid w:val="40190FE2"/>
    <w:rsid w:val="40516596"/>
    <w:rsid w:val="424413B5"/>
    <w:rsid w:val="430420E0"/>
    <w:rsid w:val="4E547B90"/>
    <w:rsid w:val="543F12D1"/>
    <w:rsid w:val="579266F5"/>
    <w:rsid w:val="5B6B7E52"/>
    <w:rsid w:val="5C9B4908"/>
    <w:rsid w:val="5D9EEC2B"/>
    <w:rsid w:val="5E0D31DF"/>
    <w:rsid w:val="5E831ACF"/>
    <w:rsid w:val="5EAF7A86"/>
    <w:rsid w:val="5EBFE94F"/>
    <w:rsid w:val="5F331135"/>
    <w:rsid w:val="5FCE799C"/>
    <w:rsid w:val="60A9304C"/>
    <w:rsid w:val="60D72176"/>
    <w:rsid w:val="61727C75"/>
    <w:rsid w:val="673EC2C1"/>
    <w:rsid w:val="6C4876F4"/>
    <w:rsid w:val="6F6E7849"/>
    <w:rsid w:val="704A6E4F"/>
    <w:rsid w:val="72724C57"/>
    <w:rsid w:val="73194621"/>
    <w:rsid w:val="73D357FF"/>
    <w:rsid w:val="73E21972"/>
    <w:rsid w:val="73FFF01E"/>
    <w:rsid w:val="76901005"/>
    <w:rsid w:val="793A669D"/>
    <w:rsid w:val="799646AA"/>
    <w:rsid w:val="7AF74291"/>
    <w:rsid w:val="7C13043D"/>
    <w:rsid w:val="7DB33A51"/>
    <w:rsid w:val="7E9F053D"/>
    <w:rsid w:val="7F7ED983"/>
    <w:rsid w:val="7FFE8C57"/>
    <w:rsid w:val="A5F38D84"/>
    <w:rsid w:val="E7FDEEF9"/>
    <w:rsid w:val="F9FDA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unhideWhenUsed/>
    <w:qFormat/>
    <w:uiPriority w:val="99"/>
    <w:pPr>
      <w:jc w:val="left"/>
    </w:pPr>
  </w:style>
  <w:style w:type="paragraph" w:styleId="4">
    <w:name w:val="Body Text"/>
    <w:basedOn w:val="1"/>
    <w:next w:val="5"/>
    <w:qFormat/>
    <w:uiPriority w:val="0"/>
    <w:pPr>
      <w:tabs>
        <w:tab w:val="left" w:pos="720"/>
        <w:tab w:val="left" w:pos="1440"/>
        <w:tab w:val="left" w:pos="2160"/>
        <w:tab w:val="left" w:pos="2880"/>
        <w:tab w:val="left" w:pos="3600"/>
        <w:tab w:val="left" w:pos="4321"/>
        <w:tab w:val="left" w:pos="5041"/>
        <w:tab w:val="left" w:pos="5761"/>
        <w:tab w:val="left" w:pos="6481"/>
        <w:tab w:val="left" w:pos="7201"/>
        <w:tab w:val="left" w:pos="7921"/>
      </w:tabs>
      <w:autoSpaceDE w:val="0"/>
      <w:autoSpaceDN w:val="0"/>
      <w:spacing w:after="120"/>
    </w:pPr>
  </w:style>
  <w:style w:type="paragraph" w:styleId="5">
    <w:name w:val="Title"/>
    <w:basedOn w:val="1"/>
    <w:next w:val="1"/>
    <w:qFormat/>
    <w:uiPriority w:val="0"/>
    <w:pPr>
      <w:spacing w:before="240" w:after="60"/>
      <w:jc w:val="center"/>
      <w:outlineLvl w:val="0"/>
    </w:pPr>
    <w:rPr>
      <w:rFonts w:ascii="Arial" w:hAnsi="Arial"/>
      <w:b/>
    </w:rPr>
  </w:style>
  <w:style w:type="paragraph" w:styleId="6">
    <w:name w:val="Body Text Indent 2"/>
    <w:basedOn w:val="1"/>
    <w:qFormat/>
    <w:uiPriority w:val="0"/>
    <w:pPr>
      <w:ind w:left="420"/>
    </w:pPr>
    <w:rPr>
      <w:rFonts w:asciiTheme="minorHAnsi" w:hAnsiTheme="minorHAnsi" w:eastAsiaTheme="minorEastAsia" w:cstheme="minorBidi"/>
      <w:b/>
      <w:sz w:val="24"/>
    </w:rPr>
  </w:style>
  <w:style w:type="paragraph" w:styleId="7">
    <w:name w:val="Balloon Text"/>
    <w:basedOn w:val="1"/>
    <w:link w:val="15"/>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3"/>
    <w:next w:val="3"/>
    <w:link w:val="20"/>
    <w:semiHidden/>
    <w:unhideWhenUsed/>
    <w:qFormat/>
    <w:uiPriority w:val="99"/>
    <w:rPr>
      <w:b/>
      <w:bCs/>
    </w:rPr>
  </w:style>
  <w:style w:type="character" w:styleId="13">
    <w:name w:val="Strong"/>
    <w:basedOn w:val="12"/>
    <w:qFormat/>
    <w:uiPriority w:val="22"/>
    <w:rPr>
      <w:b/>
    </w:rPr>
  </w:style>
  <w:style w:type="character" w:styleId="14">
    <w:name w:val="annotation reference"/>
    <w:basedOn w:val="12"/>
    <w:semiHidden/>
    <w:unhideWhenUsed/>
    <w:qFormat/>
    <w:uiPriority w:val="99"/>
    <w:rPr>
      <w:sz w:val="21"/>
      <w:szCs w:val="21"/>
    </w:rPr>
  </w:style>
  <w:style w:type="character" w:customStyle="1" w:styleId="15">
    <w:name w:val="批注框文本 Char"/>
    <w:basedOn w:val="12"/>
    <w:link w:val="7"/>
    <w:semiHidden/>
    <w:qFormat/>
    <w:uiPriority w:val="99"/>
    <w:rPr>
      <w:rFonts w:ascii="Calibri" w:hAnsi="Calibri" w:eastAsia="宋体" w:cs="Times New Roman"/>
      <w:sz w:val="18"/>
      <w:szCs w:val="18"/>
    </w:rPr>
  </w:style>
  <w:style w:type="character" w:customStyle="1" w:styleId="16">
    <w:name w:val="页眉 Char"/>
    <w:basedOn w:val="12"/>
    <w:link w:val="9"/>
    <w:qFormat/>
    <w:uiPriority w:val="99"/>
    <w:rPr>
      <w:rFonts w:ascii="Calibri" w:hAnsi="Calibri" w:eastAsia="宋体" w:cs="Times New Roman"/>
      <w:sz w:val="18"/>
      <w:szCs w:val="18"/>
    </w:rPr>
  </w:style>
  <w:style w:type="character" w:customStyle="1" w:styleId="17">
    <w:name w:val="页脚 Char"/>
    <w:basedOn w:val="12"/>
    <w:link w:val="8"/>
    <w:qFormat/>
    <w:uiPriority w:val="99"/>
    <w:rPr>
      <w:rFonts w:ascii="Calibri" w:hAnsi="Calibri" w:eastAsia="宋体" w:cs="Times New Roman"/>
      <w:sz w:val="18"/>
      <w:szCs w:val="18"/>
    </w:rPr>
  </w:style>
  <w:style w:type="paragraph" w:styleId="18">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9">
    <w:name w:val="批注文字 Char"/>
    <w:basedOn w:val="12"/>
    <w:link w:val="3"/>
    <w:qFormat/>
    <w:uiPriority w:val="99"/>
    <w:rPr>
      <w:rFonts w:ascii="Calibri" w:hAnsi="Calibri" w:eastAsia="宋体" w:cs="Times New Roman"/>
      <w:szCs w:val="24"/>
    </w:rPr>
  </w:style>
  <w:style w:type="character" w:customStyle="1" w:styleId="20">
    <w:name w:val="批注主题 Char"/>
    <w:basedOn w:val="19"/>
    <w:link w:val="10"/>
    <w:semiHidden/>
    <w:qFormat/>
    <w:uiPriority w:val="99"/>
    <w:rPr>
      <w:rFonts w:ascii="Calibri" w:hAnsi="Calibri" w:eastAsia="宋体" w:cs="Times New Roman"/>
      <w:b/>
      <w:bCs/>
      <w:szCs w:val="24"/>
    </w:rPr>
  </w:style>
  <w:style w:type="character" w:customStyle="1" w:styleId="21">
    <w:name w:val="bgchighlight-anchor"/>
    <w:basedOn w:val="12"/>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85608FB8-2AF3-49D5-A76B-5A42DC38A103}">
  <ds:schemaRefs/>
</ds:datastoreItem>
</file>

<file path=docProps/app.xml><?xml version="1.0" encoding="utf-8"?>
<Properties xmlns="http://schemas.openxmlformats.org/officeDocument/2006/extended-properties" xmlns:vt="http://schemas.openxmlformats.org/officeDocument/2006/docPropsVTypes">
  <Template>Normal</Template>
  <Pages>2</Pages>
  <Words>3229</Words>
  <Characters>3339</Characters>
  <Lines>277</Lines>
  <Paragraphs>266</Paragraphs>
  <TotalTime>155</TotalTime>
  <ScaleCrop>false</ScaleCrop>
  <LinksUpToDate>false</LinksUpToDate>
  <CharactersWithSpaces>3387</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2026-04-03T15:27:00Z</dcterms:created>
  <dc:creator>Xu Zhengrong</dc:creator>
  <cp:lastModifiedBy>user</cp:lastModifiedBy>
  <cp:lastPrinted>2021-04-23T09:41:00Z</cp:lastPrinted>
  <dcterms:modified xsi:type="dcterms:W3CDTF">2026-06-02T05:39:57Z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D56B8D1F19B238381DC0E9694CF684BF</vt:lpwstr>
  </property>
  <property fmtid="{D5CDD505-2E9C-101B-9397-08002B2CF9AE}" pid="4" name="KSOTemplateDocerSaveRecord">
    <vt:lpwstr>eyJoZGlkIjoiMzEwNTM5NzYwMDRjMzkwZTVkZjY2ODkwMGIxNGU0OTUiLCJ1c2VySWQiOiI0NDY0NTgyODUifQ==</vt:lpwstr>
  </property>
</Properties>
</file>