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AEFE2">
      <w:pPr>
        <w:pStyle w:val="2"/>
        <w:ind w:right="824"/>
        <w:jc w:val="center"/>
      </w:pPr>
      <w:r>
        <w:rPr>
          <w:rFonts w:hint="eastAsia"/>
          <w:lang w:val="en-US"/>
        </w:rPr>
        <w:t xml:space="preserve">      杭州格林达电子材料</w:t>
      </w:r>
      <w:r>
        <w:t>股份有限公司</w:t>
      </w:r>
    </w:p>
    <w:p w14:paraId="2CD1AB76">
      <w:pPr>
        <w:pStyle w:val="2"/>
        <w:ind w:right="824"/>
        <w:jc w:val="center"/>
      </w:pPr>
      <w:r>
        <w:rPr>
          <w:rFonts w:hint="eastAsia"/>
          <w:lang w:val="en-US"/>
        </w:rPr>
        <w:t xml:space="preserve">       </w:t>
      </w:r>
      <w:r>
        <w:t>投资者关系活动记录表</w:t>
      </w:r>
    </w:p>
    <w:p w14:paraId="02AB9919">
      <w:pPr>
        <w:spacing w:before="154" w:after="32"/>
        <w:ind w:right="679"/>
        <w:jc w:val="right"/>
        <w:rPr>
          <w:sz w:val="28"/>
        </w:rPr>
      </w:pPr>
      <w:r>
        <w:rPr>
          <w:rFonts w:hint="eastAsia"/>
          <w:sz w:val="28"/>
          <w:lang w:val="en-US"/>
        </w:rPr>
        <w:t xml:space="preserve">  </w:t>
      </w:r>
      <w:r>
        <w:rPr>
          <w:sz w:val="28"/>
        </w:rPr>
        <w:t>编号：</w:t>
      </w:r>
      <w:r>
        <w:rPr>
          <w:rFonts w:hint="eastAsia"/>
          <w:sz w:val="28"/>
        </w:rPr>
        <w:t>2026-006</w:t>
      </w:r>
    </w:p>
    <w:tbl>
      <w:tblPr>
        <w:tblStyle w:val="5"/>
        <w:tblW w:w="8525" w:type="dxa"/>
        <w:tblInd w:w="7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7"/>
        <w:gridCol w:w="6148"/>
      </w:tblGrid>
      <w:tr w14:paraId="2FF66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2377" w:type="dxa"/>
          </w:tcPr>
          <w:p w14:paraId="0C1D15A6">
            <w:pPr>
              <w:pStyle w:val="9"/>
              <w:ind w:left="0"/>
              <w:rPr>
                <w:sz w:val="24"/>
              </w:rPr>
            </w:pPr>
          </w:p>
          <w:p w14:paraId="52D4324F">
            <w:pPr>
              <w:pStyle w:val="9"/>
              <w:spacing w:before="12"/>
              <w:ind w:left="0"/>
              <w:rPr>
                <w:sz w:val="31"/>
              </w:rPr>
            </w:pPr>
          </w:p>
          <w:p w14:paraId="319AE997">
            <w:pPr>
              <w:pStyle w:val="9"/>
              <w:rPr>
                <w:sz w:val="24"/>
              </w:rPr>
            </w:pPr>
            <w:r>
              <w:rPr>
                <w:sz w:val="24"/>
              </w:rPr>
              <w:t>投资者关系活动类别</w:t>
            </w:r>
          </w:p>
        </w:tc>
        <w:tc>
          <w:tcPr>
            <w:tcW w:w="6148" w:type="dxa"/>
          </w:tcPr>
          <w:p w14:paraId="1F001BCD">
            <w:pPr>
              <w:pStyle w:val="9"/>
              <w:tabs>
                <w:tab w:val="left" w:pos="2747"/>
              </w:tabs>
              <w:spacing w:before="64"/>
              <w:rPr>
                <w:sz w:val="24"/>
              </w:rPr>
            </w:pPr>
            <w:r>
              <w:rPr>
                <w:rFonts w:hint="eastAsia"/>
                <w:sz w:val="24"/>
              </w:rPr>
              <w:t>√</w:t>
            </w:r>
            <w:r>
              <w:rPr>
                <w:sz w:val="24"/>
              </w:rPr>
              <w:t>特定对象调研</w:t>
            </w:r>
            <w:r>
              <w:rPr>
                <w:sz w:val="24"/>
              </w:rPr>
              <w:tab/>
            </w:r>
            <w:r>
              <w:rPr>
                <w:sz w:val="24"/>
              </w:rPr>
              <w:t>□分析师会议</w:t>
            </w:r>
          </w:p>
          <w:p w14:paraId="6237480F">
            <w:pPr>
              <w:pStyle w:val="9"/>
              <w:tabs>
                <w:tab w:val="left" w:pos="2747"/>
              </w:tabs>
              <w:spacing w:before="130"/>
              <w:rPr>
                <w:sz w:val="24"/>
              </w:rPr>
            </w:pPr>
            <w:r>
              <w:rPr>
                <w:sz w:val="24"/>
              </w:rPr>
              <w:t>□媒体采访</w:t>
            </w:r>
            <w:r>
              <w:rPr>
                <w:sz w:val="24"/>
              </w:rPr>
              <w:tab/>
            </w:r>
            <w:r>
              <w:rPr>
                <w:sz w:val="24"/>
              </w:rPr>
              <w:t>□业绩说明会</w:t>
            </w:r>
          </w:p>
          <w:p w14:paraId="7DD45750">
            <w:pPr>
              <w:pStyle w:val="9"/>
              <w:tabs>
                <w:tab w:val="left" w:pos="2747"/>
              </w:tabs>
              <w:spacing w:before="126"/>
              <w:rPr>
                <w:sz w:val="24"/>
              </w:rPr>
            </w:pPr>
            <w:r>
              <w:rPr>
                <w:sz w:val="24"/>
              </w:rPr>
              <w:t>□新闻发布会</w:t>
            </w:r>
            <w:r>
              <w:rPr>
                <w:sz w:val="24"/>
              </w:rPr>
              <w:tab/>
            </w:r>
            <w:r>
              <w:rPr>
                <w:sz w:val="24"/>
              </w:rPr>
              <w:t>□路演活动</w:t>
            </w:r>
          </w:p>
          <w:p w14:paraId="56269F88">
            <w:pPr>
              <w:pStyle w:val="9"/>
              <w:spacing w:before="128"/>
              <w:rPr>
                <w:sz w:val="24"/>
              </w:rPr>
            </w:pPr>
            <w:r>
              <w:rPr>
                <w:sz w:val="24"/>
              </w:rPr>
              <w:t>□现场参观</w:t>
            </w:r>
          </w:p>
          <w:p w14:paraId="22C30DD5">
            <w:pPr>
              <w:pStyle w:val="9"/>
              <w:spacing w:before="127"/>
              <w:rPr>
                <w:sz w:val="24"/>
              </w:rPr>
            </w:pPr>
            <w:r>
              <w:rPr>
                <w:sz w:val="24"/>
              </w:rPr>
              <w:t>□其他（请文字说明其他活动内容）</w:t>
            </w:r>
          </w:p>
        </w:tc>
      </w:tr>
      <w:tr w14:paraId="27E03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377" w:type="dxa"/>
          </w:tcPr>
          <w:p w14:paraId="1BD9B899">
            <w:pPr>
              <w:pStyle w:val="9"/>
              <w:spacing w:before="64"/>
              <w:rPr>
                <w:sz w:val="24"/>
              </w:rPr>
            </w:pPr>
            <w:r>
              <w:rPr>
                <w:sz w:val="24"/>
              </w:rPr>
              <w:t>活动参与人员</w:t>
            </w:r>
          </w:p>
        </w:tc>
        <w:tc>
          <w:tcPr>
            <w:tcW w:w="6148" w:type="dxa"/>
          </w:tcPr>
          <w:p w14:paraId="0A8B9502">
            <w:pPr>
              <w:pStyle w:val="9"/>
              <w:ind w:left="0"/>
              <w:rPr>
                <w:rFonts w:ascii="Times New Roman"/>
                <w:sz w:val="26"/>
              </w:rPr>
            </w:pPr>
            <w:r>
              <w:rPr>
                <w:rFonts w:ascii="Times New Roman"/>
                <w:szCs w:val="20"/>
              </w:rPr>
              <w:t>国金证券、新华基金、固禾资产、姚泾河、趣时资产、遂玖资产、金蟾蜍投资、永安国富、柏乔投资、博衍基金</w:t>
            </w:r>
          </w:p>
        </w:tc>
      </w:tr>
      <w:tr w14:paraId="13A0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377" w:type="dxa"/>
          </w:tcPr>
          <w:p w14:paraId="5F7FF5DE">
            <w:pPr>
              <w:pStyle w:val="9"/>
              <w:spacing w:before="64"/>
              <w:rPr>
                <w:sz w:val="24"/>
              </w:rPr>
            </w:pPr>
            <w:r>
              <w:rPr>
                <w:sz w:val="24"/>
              </w:rPr>
              <w:t>时间</w:t>
            </w:r>
          </w:p>
        </w:tc>
        <w:tc>
          <w:tcPr>
            <w:tcW w:w="6148" w:type="dxa"/>
          </w:tcPr>
          <w:p w14:paraId="4B082C86">
            <w:pPr>
              <w:pStyle w:val="9"/>
              <w:ind w:left="0"/>
              <w:rPr>
                <w:rFonts w:ascii="Times New Roman"/>
                <w:sz w:val="26"/>
              </w:rPr>
            </w:pPr>
            <w:r>
              <w:rPr>
                <w:rFonts w:hint="eastAsia" w:ascii="Times New Roman"/>
                <w:szCs w:val="20"/>
              </w:rPr>
              <w:t>2</w:t>
            </w:r>
            <w:r>
              <w:rPr>
                <w:rFonts w:ascii="Times New Roman"/>
                <w:szCs w:val="20"/>
              </w:rPr>
              <w:t>02</w:t>
            </w:r>
            <w:r>
              <w:rPr>
                <w:rFonts w:hint="eastAsia" w:ascii="Times New Roman"/>
                <w:szCs w:val="20"/>
              </w:rPr>
              <w:t>6.6.2下午3：00</w:t>
            </w:r>
          </w:p>
        </w:tc>
      </w:tr>
      <w:tr w14:paraId="0E13B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77" w:type="dxa"/>
          </w:tcPr>
          <w:p w14:paraId="219387FF">
            <w:pPr>
              <w:pStyle w:val="9"/>
              <w:spacing w:before="64"/>
              <w:rPr>
                <w:sz w:val="24"/>
              </w:rPr>
            </w:pPr>
            <w:r>
              <w:rPr>
                <w:sz w:val="24"/>
              </w:rPr>
              <w:t>地点</w:t>
            </w:r>
          </w:p>
        </w:tc>
        <w:tc>
          <w:tcPr>
            <w:tcW w:w="6148" w:type="dxa"/>
          </w:tcPr>
          <w:p w14:paraId="33D50453">
            <w:pPr>
              <w:pStyle w:val="9"/>
              <w:ind w:left="0"/>
              <w:rPr>
                <w:rFonts w:ascii="Times New Roman"/>
                <w:sz w:val="26"/>
              </w:rPr>
            </w:pPr>
            <w:r>
              <w:rPr>
                <w:rFonts w:hint="eastAsia"/>
              </w:rPr>
              <w:t>格林达会议室</w:t>
            </w:r>
          </w:p>
        </w:tc>
      </w:tr>
      <w:tr w14:paraId="78BE5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77" w:type="dxa"/>
          </w:tcPr>
          <w:p w14:paraId="03B0FE89">
            <w:pPr>
              <w:pStyle w:val="9"/>
              <w:spacing w:before="64"/>
              <w:rPr>
                <w:sz w:val="24"/>
              </w:rPr>
            </w:pPr>
            <w:r>
              <w:rPr>
                <w:rFonts w:hint="eastAsia"/>
                <w:sz w:val="24"/>
              </w:rPr>
              <w:t>上市公司接待人员</w:t>
            </w:r>
          </w:p>
        </w:tc>
        <w:tc>
          <w:tcPr>
            <w:tcW w:w="6148" w:type="dxa"/>
          </w:tcPr>
          <w:p w14:paraId="3285A25A">
            <w:pPr>
              <w:pStyle w:val="9"/>
              <w:rPr>
                <w:rFonts w:ascii="Times New Roman"/>
                <w:szCs w:val="20"/>
              </w:rPr>
            </w:pPr>
            <w:r>
              <w:rPr>
                <w:rFonts w:hint="eastAsia" w:ascii="Times New Roman"/>
                <w:szCs w:val="20"/>
              </w:rPr>
              <w:t>总经理</w:t>
            </w:r>
            <w:r>
              <w:rPr>
                <w:rFonts w:hint="eastAsia" w:ascii="Times New Roman"/>
                <w:szCs w:val="20"/>
                <w:lang w:val="en-US"/>
              </w:rPr>
              <w:t xml:space="preserve">              </w:t>
            </w:r>
            <w:r>
              <w:rPr>
                <w:rFonts w:hint="eastAsia" w:ascii="Times New Roman"/>
                <w:szCs w:val="20"/>
              </w:rPr>
              <w:t xml:space="preserve">方伟华      </w:t>
            </w:r>
          </w:p>
          <w:p w14:paraId="2C9B8A72">
            <w:pPr>
              <w:pStyle w:val="9"/>
              <w:rPr>
                <w:rFonts w:ascii="Times New Roman"/>
                <w:szCs w:val="20"/>
              </w:rPr>
            </w:pPr>
            <w:r>
              <w:rPr>
                <w:rFonts w:hint="eastAsia" w:ascii="Times New Roman"/>
                <w:szCs w:val="20"/>
              </w:rPr>
              <w:t>财务总监</w:t>
            </w:r>
            <w:r>
              <w:rPr>
                <w:rFonts w:hint="eastAsia" w:ascii="Times New Roman"/>
                <w:szCs w:val="20"/>
                <w:lang w:val="en-US"/>
              </w:rPr>
              <w:t xml:space="preserve">          </w:t>
            </w:r>
            <w:r>
              <w:rPr>
                <w:rFonts w:hint="eastAsia" w:ascii="Times New Roman"/>
                <w:szCs w:val="20"/>
              </w:rPr>
              <w:t xml:space="preserve">何婷茹    </w:t>
            </w:r>
          </w:p>
          <w:p w14:paraId="7E09D7C9">
            <w:pPr>
              <w:pStyle w:val="9"/>
              <w:rPr>
                <w:rFonts w:ascii="Times New Roman"/>
                <w:szCs w:val="20"/>
              </w:rPr>
            </w:pPr>
            <w:r>
              <w:rPr>
                <w:rFonts w:hint="eastAsia" w:ascii="Times New Roman"/>
                <w:szCs w:val="20"/>
              </w:rPr>
              <w:t>董事会秘书</w:t>
            </w:r>
            <w:r>
              <w:rPr>
                <w:rFonts w:hint="eastAsia" w:ascii="Times New Roman"/>
                <w:szCs w:val="20"/>
                <w:lang w:val="en-US"/>
              </w:rPr>
              <w:t xml:space="preserve">      </w:t>
            </w:r>
            <w:r>
              <w:rPr>
                <w:rFonts w:hint="eastAsia" w:ascii="Times New Roman"/>
                <w:szCs w:val="20"/>
              </w:rPr>
              <w:t>章琪</w:t>
            </w:r>
            <w:r>
              <w:rPr>
                <w:rFonts w:ascii="Times New Roman"/>
                <w:szCs w:val="20"/>
              </w:rPr>
              <w:t xml:space="preserve"> </w:t>
            </w:r>
            <w:r>
              <w:rPr>
                <w:rFonts w:hint="eastAsia" w:ascii="Times New Roman"/>
                <w:szCs w:val="20"/>
              </w:rPr>
              <w:t xml:space="preserve">         </w:t>
            </w:r>
          </w:p>
          <w:p w14:paraId="10FC829E">
            <w:pPr>
              <w:pStyle w:val="9"/>
              <w:rPr>
                <w:rFonts w:ascii="Times New Roman"/>
                <w:sz w:val="26"/>
              </w:rPr>
            </w:pPr>
            <w:r>
              <w:rPr>
                <w:rFonts w:hint="eastAsia" w:ascii="Times New Roman"/>
                <w:szCs w:val="20"/>
              </w:rPr>
              <w:t>证券事务专员</w:t>
            </w:r>
            <w:r>
              <w:rPr>
                <w:rFonts w:hint="eastAsia" w:ascii="Times New Roman"/>
                <w:szCs w:val="20"/>
                <w:lang w:val="en-US"/>
              </w:rPr>
              <w:t xml:space="preserve">  </w:t>
            </w:r>
            <w:r>
              <w:rPr>
                <w:rFonts w:hint="eastAsia" w:ascii="Times New Roman"/>
                <w:szCs w:val="20"/>
              </w:rPr>
              <w:t>王责宇</w:t>
            </w:r>
            <w:r>
              <w:rPr>
                <w:rFonts w:ascii="Times New Roman"/>
                <w:szCs w:val="20"/>
              </w:rPr>
              <w:t xml:space="preserve"> </w:t>
            </w:r>
            <w:r>
              <w:rPr>
                <w:rFonts w:hint="eastAsia" w:ascii="Times New Roman"/>
                <w:szCs w:val="20"/>
              </w:rPr>
              <w:t xml:space="preserve">     </w:t>
            </w:r>
          </w:p>
        </w:tc>
      </w:tr>
      <w:tr w14:paraId="4188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377" w:type="dxa"/>
          </w:tcPr>
          <w:p w14:paraId="1D513ADD">
            <w:pPr>
              <w:pStyle w:val="9"/>
              <w:spacing w:before="67"/>
              <w:rPr>
                <w:sz w:val="24"/>
              </w:rPr>
            </w:pPr>
            <w:r>
              <w:rPr>
                <w:sz w:val="24"/>
              </w:rPr>
              <w:t>交流内容及具体问答</w:t>
            </w:r>
          </w:p>
          <w:p w14:paraId="504BE76F">
            <w:pPr>
              <w:pStyle w:val="9"/>
              <w:spacing w:before="127"/>
              <w:rPr>
                <w:sz w:val="24"/>
              </w:rPr>
            </w:pPr>
            <w:r>
              <w:rPr>
                <w:sz w:val="24"/>
              </w:rPr>
              <w:t>记录</w:t>
            </w:r>
          </w:p>
        </w:tc>
        <w:tc>
          <w:tcPr>
            <w:tcW w:w="6148" w:type="dxa"/>
          </w:tcPr>
          <w:p w14:paraId="41CB0182">
            <w:pPr>
              <w:spacing w:line="360" w:lineRule="auto"/>
              <w:rPr>
                <w:rFonts w:hint="default" w:eastAsia="仿宋"/>
                <w:lang w:val="en-US" w:eastAsia="zh-CN"/>
              </w:rPr>
            </w:pPr>
            <w:r>
              <w:rPr>
                <w:rFonts w:hint="eastAsia"/>
              </w:rPr>
              <w:t>1</w:t>
            </w:r>
            <w:r>
              <w:t>、公司产品在半导体客户的</w:t>
            </w:r>
            <w:r>
              <w:rPr>
                <w:rFonts w:hint="eastAsia"/>
                <w:lang w:val="en-US" w:eastAsia="zh-CN"/>
              </w:rPr>
              <w:t>测试</w:t>
            </w:r>
            <w:r>
              <w:rPr>
                <w:rFonts w:hint="eastAsia"/>
              </w:rPr>
              <w:t>情况</w:t>
            </w:r>
          </w:p>
          <w:p w14:paraId="39623C6C">
            <w:pPr>
              <w:spacing w:line="360" w:lineRule="auto"/>
              <w:rPr>
                <w:rFonts w:hint="eastAsia"/>
              </w:rPr>
            </w:pPr>
            <w:r>
              <w:t>A：</w:t>
            </w:r>
            <w:r>
              <w:rPr>
                <w:rFonts w:hint="eastAsia"/>
                <w:lang w:val="en-US" w:eastAsia="zh-CN"/>
              </w:rPr>
              <w:t>公司作为国内湿电子化学品主要生产厂商之一，凭借先发优势，积累了非常丰富的行业经验，具备从原料提纯、杂质控制、工艺优化到包装运输的技术优势和产业经验。随着集成电路制造工艺变得越来越复杂，对湿法工艺的技术要求不断提高，新结构、新器件和新材料的不断引入，主流芯片制造企业间的差异性也越来越大，对于功能性化学品来说，满足客户的定制化需求是未来发展的重要趋势。公司始终紧跟行业发展，不断提升、改进生产工艺，优秀可靠的技术团队具备领先的产品设计开发能力，能够根据客户的工艺需求，开展针对性产品开发与优化，以适配不同客户的产线要求，提供定制化解决方案。目前，</w:t>
            </w:r>
            <w:r>
              <w:rPr>
                <w:rFonts w:hint="eastAsia"/>
              </w:rPr>
              <w:t>公司</w:t>
            </w:r>
            <w:r>
              <w:rPr>
                <w:rFonts w:hint="eastAsia"/>
                <w:lang w:val="en-US" w:eastAsia="zh-CN"/>
              </w:rPr>
              <w:t>积极</w:t>
            </w:r>
            <w:r>
              <w:rPr>
                <w:rFonts w:hint="eastAsia"/>
              </w:rPr>
              <w:t>把握市场机遇</w:t>
            </w:r>
            <w:r>
              <w:rPr>
                <w:rFonts w:hint="eastAsia"/>
                <w:lang w:val="en-US" w:eastAsia="zh-CN"/>
              </w:rPr>
              <w:t>和测试导入机会</w:t>
            </w:r>
            <w:r>
              <w:rPr>
                <w:rFonts w:hint="eastAsia"/>
              </w:rPr>
              <w:t>，推动产品在半导体集成电路企业及其他领域的产线验证工作，未来也将持续深化与产业链上下游的协同合作，致力于实现中高端集成电路产线的产业化规模应用，增强产业链自主可控性。</w:t>
            </w:r>
          </w:p>
          <w:p w14:paraId="66CD9620">
            <w:pPr>
              <w:spacing w:line="360" w:lineRule="auto"/>
              <w:rPr>
                <w:rFonts w:hint="eastAsia"/>
              </w:rPr>
            </w:pPr>
          </w:p>
          <w:p w14:paraId="735B01F0">
            <w:pPr>
              <w:spacing w:line="360" w:lineRule="auto"/>
              <w:rPr>
                <w:rFonts w:hint="default" w:eastAsia="仿宋"/>
                <w:lang w:val="en-US" w:eastAsia="zh-CN"/>
              </w:rPr>
            </w:pPr>
            <w:r>
              <w:rPr>
                <w:rFonts w:hint="eastAsia"/>
                <w:lang w:val="en-US" w:eastAsia="zh-CN"/>
              </w:rPr>
              <w:t>2、公司如何看待下游市场的发展</w:t>
            </w:r>
            <w:bookmarkStart w:id="0" w:name="_GoBack"/>
            <w:bookmarkEnd w:id="0"/>
          </w:p>
          <w:p w14:paraId="39B750A3">
            <w:pPr>
              <w:spacing w:line="360" w:lineRule="auto"/>
              <w:rPr>
                <w:rFonts w:hint="eastAsia"/>
                <w:lang w:val="en-US" w:eastAsia="zh-CN"/>
              </w:rPr>
            </w:pPr>
            <w:r>
              <w:rPr>
                <w:rFonts w:hint="eastAsia"/>
                <w:lang w:val="en-US" w:eastAsia="zh-CN"/>
              </w:rPr>
              <w:t>A：</w:t>
            </w:r>
            <w:r>
              <w:t>中国数字经济的发展引领新型显示产业和集成电路产业规模持续扩大，并呈现高质量发展的态势，对相关产业链的专用材料和设备企业而言将是巨大的市场机遇。在下游市场的带动下，公司所处的电子材料领域呈现较好的发展前景，以湿电子化学品为核心的系列产品也将迎来进一步市场机遇。</w:t>
            </w:r>
            <w:r>
              <w:rPr>
                <w:rFonts w:hint="eastAsia"/>
                <w:lang w:val="en-US" w:eastAsia="zh-CN"/>
              </w:rPr>
              <w:t>随着下游领域快速发展、国家加大支持力度以及各大内资企业进一步加大投入，我国高端湿电子化学品配套能力有望快速提升，替代进口的趋势也会更加明显。近年来，随着显示面板、半导体、太阳能电池等领域的发展，湿电子化学品用量将进一步扩大，显示出极为广阔的发展前景。公司作为国内湿电子化学品主要生产厂商之一，凭借先发优势，目前已积累了非常丰富的行业经验，建立了较为完善的采购和生产体系，具备领先的产品设计开发能力，拥有稳定的客户群体并将不断扩大。</w:t>
            </w:r>
          </w:p>
          <w:p w14:paraId="5F7B30EA">
            <w:pPr>
              <w:spacing w:line="360" w:lineRule="auto"/>
              <w:ind w:firstLine="440" w:firstLineChars="200"/>
            </w:pPr>
            <w:r>
              <w:t>自2009年公司显影液项目被国家发改委列入“国家彩电产业战略转型产业化专项”以来，我们始终与国家显示面板产业同频共振，见证了并深度参与国内面板企业的成长壮大。近年来，公司又先后承接国家科技部、工信部多项重点研发任务，聚焦集成电路用关键材料的研发与验证，持续核心技术攻关。一路走来，公司始终紧跟国家战略方向，将自身发展融入国家产业规划蓝图。面向未来，公司将坚定依托持续的研发创新和前瞻性的产能布局，巩固并扩大在细分领域的领先优势，为提升产业链的自主可控能力、培育和发展新质生产力，持续贡献格林达的专业力量。</w:t>
            </w:r>
          </w:p>
          <w:p w14:paraId="4896762D">
            <w:pPr>
              <w:spacing w:line="360" w:lineRule="auto"/>
            </w:pPr>
          </w:p>
          <w:p w14:paraId="1C4F17DD">
            <w:pPr>
              <w:spacing w:line="360" w:lineRule="auto"/>
              <w:rPr>
                <w:rFonts w:hint="eastAsia"/>
                <w:lang w:val="en-US" w:eastAsia="zh-CN"/>
              </w:rPr>
            </w:pPr>
            <w:r>
              <w:rPr>
                <w:rFonts w:hint="eastAsia"/>
                <w:lang w:val="en-US" w:eastAsia="zh-CN"/>
              </w:rPr>
              <w:t>3</w:t>
            </w:r>
            <w:r>
              <w:rPr>
                <w:rFonts w:hint="eastAsia"/>
                <w:lang w:val="en-US"/>
              </w:rPr>
              <w:t>、</w:t>
            </w:r>
            <w:r>
              <w:rPr>
                <w:rFonts w:hint="eastAsia"/>
                <w:lang w:val="en-US" w:eastAsia="zh-CN"/>
              </w:rPr>
              <w:t>公司产品的市占率和公司行业地位</w:t>
            </w:r>
          </w:p>
          <w:p w14:paraId="5A666901">
            <w:pPr>
              <w:spacing w:line="360" w:lineRule="auto"/>
              <w:rPr>
                <w:rFonts w:hint="eastAsia"/>
                <w:lang w:val="en-US"/>
              </w:rPr>
            </w:pPr>
            <w:r>
              <w:rPr>
                <w:rFonts w:hint="eastAsia"/>
                <w:lang w:val="en-US"/>
              </w:rPr>
              <w:t>A：</w:t>
            </w:r>
            <w:r>
              <w:rPr>
                <w:rFonts w:hint="eastAsia"/>
                <w:lang w:val="en-US" w:eastAsia="zh-CN"/>
              </w:rPr>
              <w:t>公司于2021年11月获评国家级</w:t>
            </w:r>
            <w:r>
              <w:rPr>
                <w:rFonts w:hint="eastAsia"/>
                <w:lang w:val="en-US"/>
              </w:rPr>
              <w:t>制造业单项冠军</w:t>
            </w:r>
            <w:r>
              <w:rPr>
                <w:rFonts w:hint="eastAsia"/>
                <w:lang w:val="en-US" w:eastAsia="zh-CN"/>
              </w:rPr>
              <w:t>示范</w:t>
            </w:r>
            <w:r>
              <w:rPr>
                <w:rFonts w:hint="eastAsia"/>
                <w:lang w:val="en-US"/>
              </w:rPr>
              <w:t>企业，</w:t>
            </w:r>
            <w:r>
              <w:rPr>
                <w:rFonts w:hint="eastAsia"/>
                <w:lang w:val="en-US" w:eastAsia="zh-CN"/>
              </w:rPr>
              <w:t>2025年12月又成功通过国家级制造业单项冠军企业复核，通过产品为“TMAH显影液”。制造业单项冠军企业，</w:t>
            </w:r>
            <w:r>
              <w:rPr>
                <w:rFonts w:hint="eastAsia"/>
                <w:lang w:val="en-US"/>
              </w:rPr>
              <w:t>是指长期专注于制造业某一细分产品市场，生产技术或工艺国际领先，单项产品市场占有率位居全球或国内前列的企业。单项冠军企业是制造业创新发展的重要支柱，也是衡量制造业竞争实力的关键标志。公司通过国家级制造业单项冠军</w:t>
            </w:r>
            <w:r>
              <w:rPr>
                <w:rFonts w:hint="eastAsia"/>
                <w:lang w:val="en-US" w:eastAsia="zh-CN"/>
              </w:rPr>
              <w:t>示范</w:t>
            </w:r>
            <w:r>
              <w:rPr>
                <w:rFonts w:hint="eastAsia"/>
                <w:lang w:val="en-US"/>
              </w:rPr>
              <w:t>企业</w:t>
            </w:r>
            <w:r>
              <w:rPr>
                <w:rFonts w:hint="eastAsia"/>
                <w:lang w:val="en-US" w:eastAsia="zh-CN"/>
              </w:rPr>
              <w:t>的</w:t>
            </w:r>
            <w:r>
              <w:rPr>
                <w:rFonts w:hint="eastAsia"/>
                <w:lang w:val="en-US"/>
              </w:rPr>
              <w:t>复核，是公司行业地位、技术水平及市场占有率等综合实力的体现。公司</w:t>
            </w:r>
            <w:r>
              <w:rPr>
                <w:rFonts w:hint="eastAsia"/>
                <w:lang w:val="en-US" w:eastAsia="zh-CN"/>
              </w:rPr>
              <w:t>也</w:t>
            </w:r>
            <w:r>
              <w:rPr>
                <w:rFonts w:hint="eastAsia"/>
                <w:lang w:val="en-US"/>
              </w:rPr>
              <w:t>将继续立足主业，持续研发创新，不断提高公司的核心竞争力和市场影响力，以保持在行业领域技术和市场的领先地位。</w:t>
            </w:r>
          </w:p>
          <w:p w14:paraId="34459A6D">
            <w:pPr>
              <w:spacing w:line="360" w:lineRule="auto"/>
              <w:rPr>
                <w:rFonts w:hint="eastAsia" w:eastAsia="仿宋"/>
                <w:lang w:val="en-US" w:eastAsia="zh-CN"/>
              </w:rPr>
            </w:pPr>
          </w:p>
          <w:p w14:paraId="5FF3C2F3">
            <w:pPr>
              <w:spacing w:line="360" w:lineRule="auto"/>
              <w:rPr>
                <w:rFonts w:hint="default"/>
                <w:lang w:val="en-US" w:eastAsia="zh-CN"/>
              </w:rPr>
            </w:pPr>
            <w:r>
              <w:rPr>
                <w:rFonts w:hint="eastAsia"/>
                <w:lang w:val="en-US" w:eastAsia="zh-CN"/>
              </w:rPr>
              <w:t>4、公司是否有投资并购的计划</w:t>
            </w:r>
          </w:p>
          <w:p w14:paraId="161477CD">
            <w:pPr>
              <w:spacing w:line="360" w:lineRule="auto"/>
              <w:rPr>
                <w:rFonts w:hint="eastAsia"/>
                <w:lang w:val="en-US" w:eastAsia="zh-CN"/>
              </w:rPr>
            </w:pPr>
            <w:r>
              <w:rPr>
                <w:rFonts w:hint="eastAsia"/>
                <w:lang w:val="en-US" w:eastAsia="zh-CN"/>
              </w:rPr>
              <w:t>A：公司管理层积极关注产业链的发展趋势及潜在机会，将根据公司战略发展的需要，通过投资并购等多种资本运作方式选择优质标的,丰富产品结构以及下游应用领域，进一步增强技术储备和创新能力。未来若有相关计划，公司将严格按照监管要求，及时履行信息披露义务。</w:t>
            </w:r>
          </w:p>
          <w:p w14:paraId="00BC9B67">
            <w:pPr>
              <w:spacing w:line="360" w:lineRule="auto"/>
              <w:rPr>
                <w:rFonts w:hint="eastAsia"/>
                <w:lang w:val="en-US" w:eastAsia="zh-CN"/>
              </w:rPr>
            </w:pPr>
          </w:p>
          <w:p w14:paraId="5F809D29">
            <w:pPr>
              <w:spacing w:line="360" w:lineRule="auto"/>
              <w:rPr>
                <w:rFonts w:hint="eastAsia"/>
                <w:lang w:val="en-US" w:eastAsia="zh-CN"/>
              </w:rPr>
            </w:pPr>
            <w:r>
              <w:rPr>
                <w:rFonts w:hint="eastAsia"/>
                <w:lang w:val="en-US" w:eastAsia="zh-CN"/>
              </w:rPr>
              <w:t>5、公司管理团队情况</w:t>
            </w:r>
          </w:p>
          <w:p w14:paraId="16BD3634">
            <w:pPr>
              <w:spacing w:line="360" w:lineRule="auto"/>
              <w:rPr>
                <w:rFonts w:hint="default"/>
                <w:lang w:val="en-US" w:eastAsia="zh-CN"/>
              </w:rPr>
            </w:pPr>
            <w:r>
              <w:rPr>
                <w:rFonts w:hint="eastAsia"/>
                <w:lang w:val="en-US" w:eastAsia="zh-CN"/>
              </w:rPr>
              <w:t>A：公司管理层均具备十年以上湿电子化学品行业经验，在产品开发、市场布局与客户服务方面拥有深厚积淀。中层管理团队间接持有公司股份，结构稳定、风格稳健，执行力与凝聚力突出。公司也非常注重人才培养与梯队建设，自主培养了专业技术研发队伍，为公司的持续发展提供了坚实的人才保障。</w:t>
            </w:r>
          </w:p>
          <w:p w14:paraId="5D26BCDE">
            <w:pPr>
              <w:spacing w:line="360" w:lineRule="auto"/>
            </w:pPr>
          </w:p>
          <w:p w14:paraId="24C68EEF">
            <w:pPr>
              <w:spacing w:line="360" w:lineRule="auto"/>
            </w:pPr>
          </w:p>
          <w:p w14:paraId="0AFA5B2E">
            <w:pPr>
              <w:spacing w:line="360" w:lineRule="auto"/>
            </w:pPr>
          </w:p>
        </w:tc>
      </w:tr>
      <w:tr w14:paraId="64D84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3" w:hRule="atLeast"/>
        </w:trPr>
        <w:tc>
          <w:tcPr>
            <w:tcW w:w="2377" w:type="dxa"/>
          </w:tcPr>
          <w:p w14:paraId="55F322A2">
            <w:pPr>
              <w:pStyle w:val="9"/>
              <w:spacing w:before="64" w:line="340" w:lineRule="auto"/>
              <w:ind w:right="97"/>
              <w:jc w:val="both"/>
              <w:rPr>
                <w:sz w:val="24"/>
              </w:rPr>
            </w:pPr>
            <w:r>
              <w:rPr>
                <w:sz w:val="24"/>
              </w:rPr>
              <w:t>活动过程中所使用的演示文稿、提供的文档等附件（如有，可</w:t>
            </w:r>
          </w:p>
          <w:p w14:paraId="6B84863A">
            <w:pPr>
              <w:pStyle w:val="9"/>
              <w:spacing w:line="303" w:lineRule="exact"/>
              <w:rPr>
                <w:sz w:val="24"/>
              </w:rPr>
            </w:pPr>
            <w:r>
              <w:rPr>
                <w:sz w:val="24"/>
              </w:rPr>
              <w:t>作为附件）</w:t>
            </w:r>
          </w:p>
        </w:tc>
        <w:tc>
          <w:tcPr>
            <w:tcW w:w="6148" w:type="dxa"/>
          </w:tcPr>
          <w:p w14:paraId="561E560E">
            <w:pPr>
              <w:pStyle w:val="9"/>
              <w:ind w:left="0"/>
              <w:rPr>
                <w:rFonts w:ascii="Times New Roman"/>
                <w:sz w:val="26"/>
              </w:rPr>
            </w:pPr>
            <w:r>
              <w:rPr>
                <w:rFonts w:hint="eastAsia" w:ascii="Times New Roman"/>
                <w:sz w:val="26"/>
              </w:rPr>
              <w:t>无</w:t>
            </w:r>
          </w:p>
        </w:tc>
      </w:tr>
    </w:tbl>
    <w:p w14:paraId="4DCD8C9A">
      <w:pPr>
        <w:rPr>
          <w:rFonts w:ascii="宋体" w:hAnsi="宋体"/>
          <w:sz w:val="28"/>
        </w:rPr>
      </w:pPr>
    </w:p>
    <w:sectPr>
      <w:type w:val="continuous"/>
      <w:pgSz w:w="11910" w:h="16840"/>
      <w:pgMar w:top="1520" w:right="1580" w:bottom="280" w:left="9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0B"/>
    <w:rsid w:val="000107D8"/>
    <w:rsid w:val="00017528"/>
    <w:rsid w:val="0006379E"/>
    <w:rsid w:val="0007053C"/>
    <w:rsid w:val="00071C6E"/>
    <w:rsid w:val="00097177"/>
    <w:rsid w:val="000D2AB6"/>
    <w:rsid w:val="000F5F02"/>
    <w:rsid w:val="001108FE"/>
    <w:rsid w:val="001305E4"/>
    <w:rsid w:val="00162871"/>
    <w:rsid w:val="00171360"/>
    <w:rsid w:val="0017157A"/>
    <w:rsid w:val="001E10B2"/>
    <w:rsid w:val="0020694B"/>
    <w:rsid w:val="00215255"/>
    <w:rsid w:val="0024697F"/>
    <w:rsid w:val="00263F0C"/>
    <w:rsid w:val="002B4064"/>
    <w:rsid w:val="002C6274"/>
    <w:rsid w:val="002C7B42"/>
    <w:rsid w:val="002D181B"/>
    <w:rsid w:val="002E55A5"/>
    <w:rsid w:val="00327BF0"/>
    <w:rsid w:val="00367D14"/>
    <w:rsid w:val="003C207C"/>
    <w:rsid w:val="003C6CFD"/>
    <w:rsid w:val="004B1FD7"/>
    <w:rsid w:val="004B3293"/>
    <w:rsid w:val="004D7AF6"/>
    <w:rsid w:val="004F68F0"/>
    <w:rsid w:val="005156BA"/>
    <w:rsid w:val="00520021"/>
    <w:rsid w:val="00551301"/>
    <w:rsid w:val="00552269"/>
    <w:rsid w:val="00552E3E"/>
    <w:rsid w:val="00577250"/>
    <w:rsid w:val="00580104"/>
    <w:rsid w:val="005D738A"/>
    <w:rsid w:val="00610110"/>
    <w:rsid w:val="00637B62"/>
    <w:rsid w:val="006A3353"/>
    <w:rsid w:val="00711F8E"/>
    <w:rsid w:val="0071356F"/>
    <w:rsid w:val="007A6320"/>
    <w:rsid w:val="007B6582"/>
    <w:rsid w:val="007E1942"/>
    <w:rsid w:val="007E3B0D"/>
    <w:rsid w:val="0081611E"/>
    <w:rsid w:val="008918A7"/>
    <w:rsid w:val="008A4F6A"/>
    <w:rsid w:val="008E614D"/>
    <w:rsid w:val="008E69FB"/>
    <w:rsid w:val="00934209"/>
    <w:rsid w:val="00946532"/>
    <w:rsid w:val="00965090"/>
    <w:rsid w:val="009A5806"/>
    <w:rsid w:val="009B56F7"/>
    <w:rsid w:val="009F0355"/>
    <w:rsid w:val="00A07BD1"/>
    <w:rsid w:val="00A16B93"/>
    <w:rsid w:val="00A53C54"/>
    <w:rsid w:val="00A645EC"/>
    <w:rsid w:val="00A83E0B"/>
    <w:rsid w:val="00A83F33"/>
    <w:rsid w:val="00A92E65"/>
    <w:rsid w:val="00AB70D9"/>
    <w:rsid w:val="00AD52E4"/>
    <w:rsid w:val="00AD77D3"/>
    <w:rsid w:val="00B10134"/>
    <w:rsid w:val="00B41B05"/>
    <w:rsid w:val="00B50979"/>
    <w:rsid w:val="00BC4BE7"/>
    <w:rsid w:val="00C5219B"/>
    <w:rsid w:val="00C6276F"/>
    <w:rsid w:val="00CB3578"/>
    <w:rsid w:val="00CC496A"/>
    <w:rsid w:val="00CE4412"/>
    <w:rsid w:val="00CF1336"/>
    <w:rsid w:val="00D440A6"/>
    <w:rsid w:val="00D66389"/>
    <w:rsid w:val="00DB46FA"/>
    <w:rsid w:val="00DB538E"/>
    <w:rsid w:val="00E21290"/>
    <w:rsid w:val="00E231E8"/>
    <w:rsid w:val="00E36611"/>
    <w:rsid w:val="00E50F80"/>
    <w:rsid w:val="00EB30A3"/>
    <w:rsid w:val="00EC5731"/>
    <w:rsid w:val="00EF4B98"/>
    <w:rsid w:val="00F077A1"/>
    <w:rsid w:val="00F3379D"/>
    <w:rsid w:val="00F36EB7"/>
    <w:rsid w:val="00F67894"/>
    <w:rsid w:val="00F971FE"/>
    <w:rsid w:val="00FD431E"/>
    <w:rsid w:val="0314091A"/>
    <w:rsid w:val="1CD7160B"/>
    <w:rsid w:val="1ED23A13"/>
    <w:rsid w:val="2E32172D"/>
    <w:rsid w:val="2E733A1D"/>
    <w:rsid w:val="46E836BE"/>
    <w:rsid w:val="4F415E91"/>
    <w:rsid w:val="6A121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r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ind w:left="107"/>
    </w:pPr>
  </w:style>
  <w:style w:type="character" w:customStyle="1" w:styleId="10">
    <w:name w:val="页眉 字符"/>
    <w:basedOn w:val="6"/>
    <w:link w:val="4"/>
    <w:qFormat/>
    <w:uiPriority w:val="0"/>
    <w:rPr>
      <w:rFonts w:ascii="仿宋" w:hAnsi="仿宋" w:eastAsia="仿宋" w:cs="仿宋"/>
      <w:sz w:val="18"/>
      <w:szCs w:val="18"/>
      <w:lang w:val="zh-CN" w:bidi="zh-CN"/>
    </w:rPr>
  </w:style>
  <w:style w:type="character" w:customStyle="1" w:styleId="11">
    <w:name w:val="页脚 字符"/>
    <w:basedOn w:val="6"/>
    <w:link w:val="3"/>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1811</Words>
  <Characters>1840</Characters>
  <Lines>13</Lines>
  <Paragraphs>3</Paragraphs>
  <TotalTime>9</TotalTime>
  <ScaleCrop>false</ScaleCrop>
  <LinksUpToDate>false</LinksUpToDate>
  <CharactersWithSpaces>1916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2024-10-30T05:21:00Z</dcterms:created>
  <dc:creator>杨展</dc:creator>
  <cp:lastModifiedBy>杭州格林达</cp:lastModifiedBy>
  <dcterms:modified xsi:type="dcterms:W3CDTF">2026-06-02T09:11:56Z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2010</vt:lpwstr>
  </property>
  <property fmtid="{D5CDD505-2E9C-101B-9397-08002B2CF9AE}" pid="4" name="LastSaved">
    <vt:filetime>2022-11-24T00:00:00Z</vt:filetime>
  </property>
  <property fmtid="{D5CDD505-2E9C-101B-9397-08002B2CF9AE}" pid="5" name="KSOProductBuildVer">
    <vt:lpwstr>2052-12.1.0.26375</vt:lpwstr>
  </property>
  <property fmtid="{D5CDD505-2E9C-101B-9397-08002B2CF9AE}" pid="6" name="KSOTemplateDocerSaveRecord">
    <vt:lpwstr>eyJoZGlkIjoiYjM1MzI5ZjdhYjMwMjg0OGUxNWUzZTQ2ZjVlODNmMGMiLCJ1c2VySWQiOiI1MjM0NDMzMTIifQ==</vt:lpwstr>
  </property>
  <property fmtid="{D5CDD505-2E9C-101B-9397-08002B2CF9AE}" pid="7" name="ICV">
    <vt:lpwstr>43A1321715574240ADE30F5E68D96AC2_13</vt:lpwstr>
  </property>
</Properties>
</file>