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E120">
      <w:pPr>
        <w:snapToGrid w:val="0"/>
        <w:spacing w:line="360" w:lineRule="auto"/>
        <w:rPr>
          <w:rFonts w:hint="eastAsia" w:ascii="宋体" w:hAnsi="宋体" w:eastAsia="宋体"/>
          <w:bCs/>
          <w:iCs/>
          <w:color w:val="000000"/>
          <w:sz w:val="24"/>
          <w:szCs w:val="24"/>
          <w:lang w:eastAsia="zh-CN"/>
        </w:rPr>
      </w:pPr>
      <w:r>
        <w:rPr>
          <w:rFonts w:hint="eastAsia" w:ascii="宋体" w:hAnsi="宋体"/>
          <w:bCs/>
          <w:iCs/>
          <w:color w:val="000000"/>
          <w:sz w:val="24"/>
          <w:szCs w:val="24"/>
        </w:rPr>
        <w:t>证券代码：6</w:t>
      </w:r>
      <w:r>
        <w:rPr>
          <w:rFonts w:ascii="宋体" w:hAnsi="宋体"/>
          <w:bCs/>
          <w:iCs/>
          <w:color w:val="000000"/>
          <w:sz w:val="24"/>
          <w:szCs w:val="24"/>
        </w:rPr>
        <w:t>00</w:t>
      </w:r>
      <w:r>
        <w:rPr>
          <w:rFonts w:hint="eastAsia" w:ascii="宋体" w:hAnsi="宋体"/>
          <w:bCs/>
          <w:iCs/>
          <w:color w:val="000000"/>
          <w:sz w:val="24"/>
          <w:szCs w:val="24"/>
          <w:lang w:val="en-US" w:eastAsia="zh-CN"/>
        </w:rPr>
        <w:t>826</w:t>
      </w:r>
      <w:r>
        <w:rPr>
          <w:rFonts w:hint="eastAsia" w:ascii="宋体" w:hAnsi="宋体"/>
          <w:bCs/>
          <w:iCs/>
          <w:color w:val="000000"/>
          <w:sz w:val="24"/>
          <w:szCs w:val="24"/>
        </w:rPr>
        <w:t xml:space="preserve">                         </w:t>
      </w:r>
      <w:r>
        <w:rPr>
          <w:rFonts w:ascii="宋体" w:hAnsi="宋体"/>
          <w:bCs/>
          <w:iCs/>
          <w:color w:val="000000"/>
          <w:sz w:val="24"/>
          <w:szCs w:val="24"/>
        </w:rPr>
        <w:t xml:space="preserve">          </w:t>
      </w:r>
      <w:r>
        <w:rPr>
          <w:rFonts w:hint="eastAsia" w:ascii="宋体" w:hAnsi="宋体"/>
          <w:bCs/>
          <w:iCs/>
          <w:color w:val="000000"/>
          <w:sz w:val="24"/>
          <w:szCs w:val="24"/>
        </w:rPr>
        <w:t>证券简称：</w:t>
      </w:r>
      <w:r>
        <w:rPr>
          <w:rFonts w:hint="eastAsia" w:ascii="宋体" w:hAnsi="宋体"/>
          <w:bCs/>
          <w:iCs/>
          <w:color w:val="000000"/>
          <w:sz w:val="24"/>
          <w:szCs w:val="24"/>
          <w:lang w:eastAsia="zh-CN"/>
        </w:rPr>
        <w:t>兰生股份</w:t>
      </w:r>
    </w:p>
    <w:p w14:paraId="48C6C2AF">
      <w:pPr>
        <w:snapToGrid w:val="0"/>
        <w:spacing w:line="360" w:lineRule="auto"/>
        <w:rPr>
          <w:rFonts w:ascii="仿宋" w:hAnsi="仿宋" w:eastAsia="仿宋"/>
          <w:bCs/>
          <w:iCs/>
          <w:color w:val="000000"/>
          <w:sz w:val="28"/>
          <w:szCs w:val="28"/>
        </w:rPr>
      </w:pPr>
    </w:p>
    <w:p w14:paraId="656222B9">
      <w:pPr>
        <w:adjustRightInd w:val="0"/>
        <w:snapToGrid w:val="0"/>
        <w:spacing w:line="360" w:lineRule="auto"/>
        <w:jc w:val="center"/>
        <w:rPr>
          <w:rFonts w:ascii="华文中宋" w:hAnsi="华文中宋" w:eastAsia="华文中宋"/>
          <w:b/>
          <w:bCs/>
          <w:iCs/>
          <w:color w:val="000000"/>
          <w:sz w:val="32"/>
          <w:szCs w:val="32"/>
        </w:rPr>
      </w:pPr>
      <w:r>
        <w:rPr>
          <w:rFonts w:hint="eastAsia" w:ascii="华文中宋" w:hAnsi="华文中宋" w:eastAsia="华文中宋"/>
          <w:b/>
          <w:bCs/>
          <w:iCs/>
          <w:color w:val="000000"/>
          <w:sz w:val="32"/>
          <w:szCs w:val="32"/>
        </w:rPr>
        <w:t>东浩兰生会展集团股份有限公司</w:t>
      </w:r>
    </w:p>
    <w:p w14:paraId="268351C2">
      <w:pPr>
        <w:adjustRightInd w:val="0"/>
        <w:snapToGrid w:val="0"/>
        <w:spacing w:line="360" w:lineRule="auto"/>
        <w:jc w:val="center"/>
        <w:rPr>
          <w:rFonts w:ascii="华文中宋" w:hAnsi="华文中宋" w:eastAsia="华文中宋"/>
          <w:b/>
          <w:bCs/>
          <w:iCs/>
          <w:color w:val="000000"/>
          <w:sz w:val="32"/>
          <w:szCs w:val="32"/>
        </w:rPr>
      </w:pPr>
      <w:r>
        <w:rPr>
          <w:rFonts w:hint="eastAsia" w:ascii="华文中宋" w:hAnsi="华文中宋" w:eastAsia="华文中宋"/>
          <w:b/>
          <w:bCs/>
          <w:iCs/>
          <w:color w:val="000000"/>
          <w:sz w:val="32"/>
          <w:szCs w:val="32"/>
        </w:rPr>
        <w:t>投资者关系活动记录表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58"/>
      </w:tblGrid>
      <w:tr w14:paraId="55A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Pr>
          <w:p w14:paraId="26066788">
            <w:pPr>
              <w:adjustRightInd w:val="0"/>
              <w:snapToGrid w:val="0"/>
              <w:spacing w:line="360" w:lineRule="auto"/>
              <w:rPr>
                <w:rFonts w:hint="eastAsia" w:asciiTheme="minorEastAsia" w:hAnsiTheme="minorEastAsia" w:eastAsiaTheme="minorEastAsia"/>
                <w:bCs/>
                <w:iCs/>
                <w:color w:val="000000"/>
                <w:sz w:val="28"/>
                <w:szCs w:val="28"/>
              </w:rPr>
            </w:pPr>
            <w:r>
              <w:rPr>
                <w:rFonts w:hint="eastAsia" w:asciiTheme="minorEastAsia" w:hAnsiTheme="minorEastAsia" w:eastAsiaTheme="minorEastAsia"/>
                <w:bCs/>
                <w:iCs/>
                <w:color w:val="000000"/>
                <w:sz w:val="28"/>
                <w:szCs w:val="28"/>
              </w:rPr>
              <w:t xml:space="preserve">                                                     </w:t>
            </w:r>
          </w:p>
          <w:p w14:paraId="4D2179B0">
            <w:pPr>
              <w:keepNext w:val="0"/>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投资者关系活动类别</w:t>
            </w:r>
          </w:p>
          <w:p w14:paraId="184642B6">
            <w:pPr>
              <w:adjustRightInd w:val="0"/>
              <w:snapToGrid w:val="0"/>
              <w:spacing w:line="360" w:lineRule="auto"/>
              <w:rPr>
                <w:rFonts w:asciiTheme="minorEastAsia" w:hAnsiTheme="minorEastAsia" w:eastAsiaTheme="minorEastAsia"/>
                <w:bCs/>
                <w:iCs/>
                <w:color w:val="000000"/>
                <w:sz w:val="24"/>
                <w:szCs w:val="24"/>
              </w:rPr>
            </w:pPr>
          </w:p>
        </w:tc>
        <w:tc>
          <w:tcPr>
            <w:tcW w:w="6458" w:type="dxa"/>
            <w:tcBorders>
              <w:top w:val="single" w:color="auto" w:sz="4" w:space="0"/>
              <w:left w:val="single" w:color="auto" w:sz="4" w:space="0"/>
              <w:bottom w:val="single" w:color="auto" w:sz="4" w:space="0"/>
              <w:right w:val="single" w:color="auto" w:sz="4" w:space="0"/>
            </w:tcBorders>
            <w:shd w:val="clear" w:color="auto" w:fill="auto"/>
          </w:tcPr>
          <w:p w14:paraId="5A79F790">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lang w:eastAsia="zh-CN"/>
              </w:rPr>
              <w:t>□</w:t>
            </w:r>
            <w:r>
              <w:rPr>
                <w:rFonts w:hint="eastAsia" w:asciiTheme="minorEastAsia" w:hAnsiTheme="minorEastAsia" w:eastAsiaTheme="minorEastAsia"/>
                <w:color w:val="000000"/>
                <w:sz w:val="24"/>
                <w:szCs w:val="24"/>
              </w:rPr>
              <w:t xml:space="preserve">特定对象调研        </w:t>
            </w:r>
            <w:r>
              <w:rPr>
                <w:rFonts w:hint="eastAsia" w:asciiTheme="minorEastAsia" w:hAnsiTheme="minorEastAsia" w:eastAsiaTheme="minorEastAsia"/>
                <w:bCs/>
                <w:iCs/>
                <w:color w:val="000000"/>
                <w:sz w:val="24"/>
                <w:szCs w:val="24"/>
                <w:lang w:eastAsia="zh-CN"/>
              </w:rPr>
              <w:t>□</w:t>
            </w:r>
            <w:r>
              <w:rPr>
                <w:rFonts w:hint="eastAsia" w:asciiTheme="minorEastAsia" w:hAnsiTheme="minorEastAsia" w:eastAsiaTheme="minorEastAsia"/>
                <w:color w:val="000000"/>
                <w:sz w:val="24"/>
                <w:szCs w:val="24"/>
              </w:rPr>
              <w:t>分析师会议</w:t>
            </w:r>
          </w:p>
          <w:p w14:paraId="141B390A">
            <w:pPr>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w:t>
            </w:r>
            <w:r>
              <w:rPr>
                <w:rFonts w:hint="eastAsia" w:asciiTheme="minorEastAsia" w:hAnsiTheme="minorEastAsia" w:eastAsiaTheme="minorEastAsia"/>
                <w:color w:val="000000"/>
                <w:sz w:val="24"/>
                <w:szCs w:val="24"/>
              </w:rPr>
              <w:t xml:space="preserve">媒体采访            </w:t>
            </w:r>
            <w:r>
              <w:rPr>
                <w:rFonts w:hint="eastAsia" w:asciiTheme="minorEastAsia" w:hAnsiTheme="minorEastAsia" w:eastAsiaTheme="minorEastAsia"/>
                <w:bCs/>
                <w:iCs/>
                <w:color w:val="000000"/>
                <w:sz w:val="24"/>
                <w:szCs w:val="24"/>
                <w:lang w:eastAsia="zh-CN"/>
              </w:rPr>
              <w:t>☑</w:t>
            </w:r>
            <w:r>
              <w:rPr>
                <w:rFonts w:hint="eastAsia" w:asciiTheme="minorEastAsia" w:hAnsiTheme="minorEastAsia" w:eastAsiaTheme="minorEastAsia"/>
                <w:color w:val="000000"/>
                <w:sz w:val="24"/>
                <w:szCs w:val="24"/>
              </w:rPr>
              <w:t>业绩说明会</w:t>
            </w:r>
          </w:p>
          <w:p w14:paraId="7367F36B">
            <w:pPr>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w:t>
            </w:r>
            <w:r>
              <w:rPr>
                <w:rFonts w:hint="eastAsia" w:asciiTheme="minorEastAsia" w:hAnsiTheme="minorEastAsia" w:eastAsiaTheme="minorEastAsia"/>
                <w:color w:val="000000"/>
                <w:sz w:val="24"/>
                <w:szCs w:val="24"/>
              </w:rPr>
              <w:t xml:space="preserve">新闻发布会          </w:t>
            </w:r>
            <w:r>
              <w:rPr>
                <w:rFonts w:hint="eastAsia" w:asciiTheme="minorEastAsia" w:hAnsiTheme="minorEastAsia" w:eastAsiaTheme="minorEastAsia"/>
                <w:bCs/>
                <w:iCs/>
                <w:color w:val="000000"/>
                <w:sz w:val="24"/>
                <w:szCs w:val="24"/>
              </w:rPr>
              <w:t>□</w:t>
            </w:r>
            <w:r>
              <w:rPr>
                <w:rFonts w:hint="eastAsia" w:asciiTheme="minorEastAsia" w:hAnsiTheme="minorEastAsia" w:eastAsiaTheme="minorEastAsia"/>
                <w:color w:val="000000"/>
                <w:sz w:val="24"/>
                <w:szCs w:val="24"/>
              </w:rPr>
              <w:t>路演活动</w:t>
            </w:r>
          </w:p>
          <w:p w14:paraId="75F25850">
            <w:pPr>
              <w:tabs>
                <w:tab w:val="left" w:pos="3045"/>
                <w:tab w:val="center" w:pos="3199"/>
              </w:tabs>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w:t>
            </w:r>
            <w:r>
              <w:rPr>
                <w:rFonts w:hint="eastAsia" w:asciiTheme="minorEastAsia" w:hAnsiTheme="minorEastAsia" w:eastAsiaTheme="minorEastAsia"/>
                <w:color w:val="000000"/>
                <w:sz w:val="24"/>
                <w:szCs w:val="24"/>
              </w:rPr>
              <w:t>现场参观</w:t>
            </w:r>
            <w:r>
              <w:rPr>
                <w:rFonts w:hint="eastAsia" w:asciiTheme="minorEastAsia" w:hAnsiTheme="minorEastAsia" w:eastAsiaTheme="minorEastAsia"/>
                <w:bCs/>
                <w:iCs/>
                <w:color w:val="000000"/>
                <w:sz w:val="24"/>
                <w:szCs w:val="24"/>
              </w:rPr>
              <w:tab/>
            </w:r>
          </w:p>
          <w:p w14:paraId="6D32EC6C">
            <w:pPr>
              <w:tabs>
                <w:tab w:val="center" w:pos="3199"/>
              </w:tabs>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w:t>
            </w:r>
            <w:r>
              <w:rPr>
                <w:rFonts w:hint="eastAsia" w:asciiTheme="minorEastAsia" w:hAnsiTheme="minorEastAsia" w:eastAsiaTheme="minorEastAsia"/>
                <w:color w:val="000000"/>
                <w:sz w:val="24"/>
                <w:szCs w:val="24"/>
              </w:rPr>
              <w:t>其他 （</w:t>
            </w:r>
            <w:r>
              <w:rPr>
                <w:rFonts w:hint="eastAsia" w:asciiTheme="minorEastAsia" w:hAnsiTheme="minorEastAsia" w:eastAsiaTheme="minorEastAsia"/>
                <w:color w:val="000000"/>
                <w:sz w:val="24"/>
                <w:szCs w:val="24"/>
                <w:u w:val="single"/>
              </w:rPr>
              <w:t>请文字说明其他活动内容）</w:t>
            </w:r>
          </w:p>
        </w:tc>
      </w:tr>
      <w:tr w14:paraId="558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F34641D">
            <w:pPr>
              <w:adjustRightInd w:val="0"/>
              <w:snapToGrid w:val="0"/>
              <w:spacing w:line="360" w:lineRule="auto"/>
              <w:rPr>
                <w:rFonts w:asciiTheme="minorEastAsia" w:hAnsiTheme="minorEastAsia" w:eastAsiaTheme="minorEastAsia"/>
                <w:bCs/>
                <w:iCs/>
                <w:color w:val="000000"/>
                <w:sz w:val="24"/>
                <w:szCs w:val="24"/>
                <w:highlight w:val="none"/>
              </w:rPr>
            </w:pPr>
            <w:r>
              <w:rPr>
                <w:rFonts w:hint="eastAsia" w:asciiTheme="minorEastAsia" w:hAnsiTheme="minorEastAsia" w:eastAsiaTheme="minorEastAsia"/>
                <w:bCs/>
                <w:iCs/>
                <w:sz w:val="24"/>
                <w:szCs w:val="24"/>
                <w:highlight w:val="none"/>
              </w:rPr>
              <w:t>参与人员</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07F177C4">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highlight w:val="none"/>
              </w:rPr>
            </w:pPr>
            <w:r>
              <w:rPr>
                <w:rFonts w:hint="eastAsia" w:asciiTheme="minorEastAsia" w:hAnsiTheme="minorEastAsia" w:eastAsiaTheme="minorEastAsia"/>
                <w:bCs/>
                <w:iCs/>
                <w:color w:val="000000"/>
                <w:sz w:val="24"/>
                <w:szCs w:val="24"/>
                <w:highlight w:val="none"/>
                <w:lang w:val="en-US" w:eastAsia="zh-CN"/>
              </w:rPr>
              <w:t>现场：</w:t>
            </w:r>
            <w:r>
              <w:rPr>
                <w:rFonts w:hint="eastAsia" w:asciiTheme="minorEastAsia" w:hAnsiTheme="minorEastAsia" w:eastAsiaTheme="minorEastAsia"/>
                <w:bCs/>
                <w:iCs/>
                <w:color w:val="000000"/>
                <w:sz w:val="24"/>
                <w:szCs w:val="24"/>
                <w:highlight w:val="none"/>
              </w:rPr>
              <w:t>财联社，淳厚基金，东吴证券，广发证券，国联民生，国盛证券，国泰海通，华创证券，华福证券，华西证券，上海证券报，上银基金，申万宏源证券，天风证券商社，天弘基金，信达证券，兴业证券，中国银河证券，中国证券报，中泰证券，中信建投，中信证券，中银证券等（排名不分先后）</w:t>
            </w:r>
          </w:p>
        </w:tc>
      </w:tr>
      <w:tr w14:paraId="390F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4A94593">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会议时间</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6CDEC3EF">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heme="minorEastAsia" w:hAnsiTheme="minorEastAsia" w:eastAsiaTheme="minorEastAsia"/>
                <w:bCs/>
                <w:iCs/>
                <w:color w:val="000000"/>
                <w:sz w:val="24"/>
                <w:szCs w:val="24"/>
                <w:highlight w:val="yellow"/>
                <w:lang w:val="en-US" w:eastAsia="zh-CN"/>
              </w:rPr>
            </w:pPr>
            <w:r>
              <w:rPr>
                <w:rFonts w:hint="eastAsia" w:asciiTheme="minorEastAsia" w:hAnsiTheme="minorEastAsia" w:eastAsiaTheme="minorEastAsia"/>
                <w:bCs/>
                <w:iCs/>
                <w:color w:val="000000"/>
                <w:sz w:val="24"/>
                <w:szCs w:val="24"/>
                <w:highlight w:val="none"/>
                <w:lang w:val="en-US" w:eastAsia="zh-CN"/>
              </w:rPr>
              <w:t>2026年6月2日</w:t>
            </w:r>
          </w:p>
        </w:tc>
      </w:tr>
      <w:tr w14:paraId="6C4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5FEE520">
            <w:pPr>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会议地点</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4EBA8155">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Theme="minorEastAsia" w:hAnsiTheme="minorEastAsia" w:eastAsiaTheme="minorEastAsia"/>
                <w:bCs/>
                <w:iCs/>
                <w:color w:val="000000"/>
                <w:sz w:val="24"/>
                <w:szCs w:val="24"/>
                <w:lang w:eastAsia="zh-CN"/>
              </w:rPr>
            </w:pPr>
            <w:r>
              <w:rPr>
                <w:rFonts w:hint="eastAsia" w:asciiTheme="minorEastAsia" w:hAnsiTheme="minorEastAsia" w:eastAsiaTheme="minorEastAsia"/>
                <w:bCs/>
                <w:iCs/>
                <w:color w:val="000000"/>
                <w:sz w:val="24"/>
                <w:szCs w:val="24"/>
                <w:lang w:eastAsia="zh-CN"/>
              </w:rPr>
              <w:t>上海市浦东新区浦东南路528号上海证券交易所交易大厅</w:t>
            </w:r>
          </w:p>
          <w:p w14:paraId="232831BF">
            <w:pPr>
              <w:adjustRightInd w:val="0"/>
              <w:snapToGrid w:val="0"/>
              <w:spacing w:line="360" w:lineRule="auto"/>
              <w:jc w:val="left"/>
              <w:rPr>
                <w:rFonts w:hint="eastAsia" w:asciiTheme="minorEastAsia" w:hAnsiTheme="minorEastAsia" w:eastAsiaTheme="minorEastAsia"/>
                <w:bCs/>
                <w:iCs/>
                <w:color w:val="000000"/>
                <w:sz w:val="24"/>
                <w:szCs w:val="24"/>
                <w:lang w:eastAsia="zh-CN"/>
              </w:rPr>
            </w:pPr>
            <w:r>
              <w:rPr>
                <w:rFonts w:hint="eastAsia" w:asciiTheme="minorEastAsia" w:hAnsiTheme="minorEastAsia" w:eastAsiaTheme="minorEastAsia"/>
                <w:bCs/>
                <w:iCs/>
                <w:color w:val="000000"/>
                <w:sz w:val="24"/>
                <w:szCs w:val="24"/>
                <w:lang w:eastAsia="zh-CN"/>
              </w:rPr>
              <w:t>（网址：</w:t>
            </w:r>
            <w:r>
              <w:rPr>
                <w:rFonts w:hint="eastAsia" w:asciiTheme="minorEastAsia" w:hAnsiTheme="minorEastAsia" w:eastAsiaTheme="minorEastAsia"/>
                <w:bCs/>
                <w:iCs/>
                <w:color w:val="000000"/>
                <w:sz w:val="24"/>
                <w:szCs w:val="24"/>
                <w:u w:val="none"/>
                <w:lang w:eastAsia="zh-CN"/>
              </w:rPr>
              <w:t>https://roadshow.sseinfo.com/）</w:t>
            </w:r>
          </w:p>
          <w:p w14:paraId="3EA8C980">
            <w:pPr>
              <w:adjustRightInd w:val="0"/>
              <w:snapToGrid w:val="0"/>
              <w:spacing w:line="360" w:lineRule="auto"/>
              <w:jc w:val="left"/>
              <w:rPr>
                <w:rFonts w:hint="eastAsia" w:asciiTheme="minorEastAsia" w:hAnsiTheme="minorEastAsia" w:eastAsiaTheme="minorEastAsia"/>
                <w:bCs/>
                <w:iCs/>
                <w:color w:val="000000"/>
                <w:sz w:val="24"/>
                <w:szCs w:val="24"/>
                <w:lang w:eastAsia="zh-CN"/>
              </w:rPr>
            </w:pPr>
          </w:p>
        </w:tc>
      </w:tr>
      <w:tr w14:paraId="6BCA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9E62029">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会议形式</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7C6C8F85">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eastAsia="宋体" w:asciiTheme="minorEastAsia" w:hAnsiTheme="minorEastAsia"/>
                <w:bCs/>
                <w:iCs/>
                <w:color w:val="000000"/>
                <w:sz w:val="24"/>
                <w:szCs w:val="24"/>
                <w:lang w:eastAsia="zh-CN"/>
              </w:rPr>
            </w:pPr>
            <w:r>
              <w:rPr>
                <w:rFonts w:hint="eastAsia" w:ascii="宋体" w:hAnsi="宋体"/>
                <w:color w:val="000000"/>
                <w:sz w:val="24"/>
                <w:szCs w:val="24"/>
                <w:lang w:eastAsia="zh-CN"/>
              </w:rPr>
              <w:t>现场会议及线上</w:t>
            </w:r>
            <w:r>
              <w:rPr>
                <w:rFonts w:hint="eastAsia" w:ascii="宋体" w:hAnsi="宋体"/>
                <w:color w:val="000000"/>
                <w:sz w:val="24"/>
                <w:szCs w:val="24"/>
                <w:lang w:val="en-US" w:eastAsia="zh-CN"/>
              </w:rPr>
              <w:t>直播、转播</w:t>
            </w:r>
          </w:p>
        </w:tc>
      </w:tr>
      <w:tr w14:paraId="6E23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EEE3C38">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公司接待人员姓名</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148930D9">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Theme="minorEastAsia" w:hAnsiTheme="minorEastAsia" w:eastAsiaTheme="minorEastAsia"/>
                <w:bCs/>
                <w:iCs/>
                <w:color w:val="000000"/>
                <w:sz w:val="24"/>
                <w:szCs w:val="24"/>
                <w:lang w:val="en-US" w:eastAsia="zh-CN"/>
              </w:rPr>
            </w:pPr>
            <w:r>
              <w:rPr>
                <w:rFonts w:hint="eastAsia" w:asciiTheme="minorEastAsia" w:hAnsiTheme="minorEastAsia" w:eastAsiaTheme="minorEastAsia"/>
                <w:bCs/>
                <w:iCs/>
                <w:color w:val="000000"/>
                <w:sz w:val="24"/>
                <w:szCs w:val="24"/>
                <w:highlight w:val="none"/>
              </w:rPr>
              <w:t>董事长：陈小宏</w:t>
            </w:r>
            <w:r>
              <w:rPr>
                <w:rFonts w:hint="eastAsia" w:asciiTheme="minorEastAsia" w:hAnsiTheme="minorEastAsia" w:eastAsiaTheme="minorEastAsia"/>
                <w:bCs/>
                <w:iCs/>
                <w:color w:val="000000"/>
                <w:sz w:val="24"/>
                <w:szCs w:val="24"/>
                <w:highlight w:val="none"/>
                <w:lang w:eastAsia="zh-CN"/>
              </w:rPr>
              <w:t>；</w:t>
            </w:r>
            <w:r>
              <w:rPr>
                <w:rFonts w:hint="eastAsia" w:asciiTheme="minorEastAsia" w:hAnsiTheme="minorEastAsia" w:eastAsiaTheme="minorEastAsia"/>
                <w:bCs/>
                <w:iCs/>
                <w:color w:val="000000"/>
                <w:sz w:val="24"/>
                <w:szCs w:val="24"/>
                <w:highlight w:val="none"/>
                <w:lang w:val="en-US" w:eastAsia="zh-CN"/>
              </w:rPr>
              <w:t>董事、总裁：毕培文（线上）；</w:t>
            </w:r>
            <w:r>
              <w:rPr>
                <w:rFonts w:hint="eastAsia" w:asciiTheme="minorEastAsia" w:hAnsiTheme="minorEastAsia" w:eastAsiaTheme="minorEastAsia"/>
                <w:bCs/>
                <w:iCs/>
                <w:color w:val="000000"/>
                <w:sz w:val="24"/>
                <w:szCs w:val="24"/>
                <w:highlight w:val="none"/>
              </w:rPr>
              <w:t>独立董事：</w:t>
            </w:r>
            <w:r>
              <w:rPr>
                <w:rFonts w:hint="eastAsia" w:asciiTheme="minorEastAsia" w:hAnsiTheme="minorEastAsia" w:eastAsiaTheme="minorEastAsia"/>
                <w:bCs/>
                <w:iCs/>
                <w:color w:val="000000"/>
                <w:sz w:val="24"/>
                <w:szCs w:val="24"/>
                <w:highlight w:val="none"/>
                <w:lang w:val="en-US" w:eastAsia="zh-CN"/>
              </w:rPr>
              <w:t>谢佑平</w:t>
            </w:r>
            <w:r>
              <w:rPr>
                <w:rFonts w:hint="eastAsia" w:asciiTheme="minorEastAsia" w:hAnsiTheme="minorEastAsia" w:eastAsiaTheme="minorEastAsia"/>
                <w:bCs/>
                <w:iCs/>
                <w:color w:val="000000"/>
                <w:sz w:val="24"/>
                <w:szCs w:val="24"/>
                <w:highlight w:val="none"/>
                <w:lang w:eastAsia="zh-CN"/>
              </w:rPr>
              <w:t>；</w:t>
            </w:r>
            <w:r>
              <w:rPr>
                <w:rFonts w:hint="eastAsia" w:asciiTheme="minorEastAsia" w:hAnsiTheme="minorEastAsia" w:eastAsiaTheme="minorEastAsia"/>
                <w:bCs/>
                <w:iCs/>
                <w:color w:val="000000"/>
                <w:sz w:val="24"/>
                <w:szCs w:val="24"/>
                <w:highlight w:val="none"/>
              </w:rPr>
              <w:t>职工董事、副总裁、董事会秘书：张荣健</w:t>
            </w:r>
            <w:r>
              <w:rPr>
                <w:rFonts w:hint="eastAsia" w:asciiTheme="minorEastAsia" w:hAnsiTheme="minorEastAsia" w:eastAsiaTheme="minorEastAsia"/>
                <w:bCs/>
                <w:iCs/>
                <w:color w:val="000000"/>
                <w:sz w:val="24"/>
                <w:szCs w:val="24"/>
                <w:highlight w:val="none"/>
                <w:lang w:eastAsia="zh-CN"/>
              </w:rPr>
              <w:t>；</w:t>
            </w:r>
            <w:r>
              <w:rPr>
                <w:rFonts w:hint="eastAsia" w:asciiTheme="minorEastAsia" w:hAnsiTheme="minorEastAsia" w:eastAsiaTheme="minorEastAsia"/>
                <w:bCs/>
                <w:iCs/>
                <w:color w:val="000000"/>
                <w:sz w:val="24"/>
                <w:szCs w:val="24"/>
                <w:highlight w:val="none"/>
              </w:rPr>
              <w:t>财务总监：楼铭铭</w:t>
            </w:r>
            <w:r>
              <w:rPr>
                <w:rFonts w:hint="eastAsia" w:asciiTheme="minorEastAsia" w:hAnsiTheme="minorEastAsia" w:eastAsiaTheme="minorEastAsia"/>
                <w:bCs/>
                <w:iCs/>
                <w:color w:val="000000"/>
                <w:sz w:val="24"/>
                <w:szCs w:val="24"/>
                <w:highlight w:val="none"/>
                <w:lang w:val="en-US" w:eastAsia="zh-CN"/>
              </w:rPr>
              <w:t>等</w:t>
            </w:r>
          </w:p>
        </w:tc>
      </w:tr>
      <w:tr w14:paraId="41E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BF38E3A">
            <w:pPr>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投资者关系活动主要内容介绍</w:t>
            </w:r>
          </w:p>
          <w:p w14:paraId="79A4392F">
            <w:pPr>
              <w:adjustRightInd w:val="0"/>
              <w:snapToGrid w:val="0"/>
              <w:spacing w:line="360" w:lineRule="auto"/>
              <w:rPr>
                <w:rFonts w:asciiTheme="minorEastAsia" w:hAnsiTheme="minorEastAsia" w:eastAsiaTheme="minorEastAsia"/>
                <w:bCs/>
                <w:iCs/>
                <w:color w:val="000000"/>
                <w:sz w:val="24"/>
                <w:szCs w:val="24"/>
              </w:rPr>
            </w:pP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2971C5AF">
            <w:pPr>
              <w:pStyle w:val="19"/>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57" w:beforeLines="50" w:line="360" w:lineRule="auto"/>
              <w:jc w:val="both"/>
              <w:textAlignment w:val="auto"/>
              <w:rPr>
                <w:rFonts w:hint="default" w:asciiTheme="minorEastAsia" w:hAnsiTheme="minorEastAsia"/>
                <w:b/>
                <w:bCs/>
                <w:sz w:val="24"/>
                <w:szCs w:val="24"/>
                <w:highlight w:val="none"/>
                <w:lang w:val="en-US" w:eastAsia="zh-CN"/>
              </w:rPr>
            </w:pPr>
            <w:r>
              <w:rPr>
                <w:rFonts w:hint="eastAsia" w:asciiTheme="minorEastAsia" w:hAnsiTheme="minorEastAsia"/>
                <w:b/>
                <w:bCs/>
                <w:sz w:val="24"/>
                <w:szCs w:val="24"/>
                <w:highlight w:val="none"/>
                <w:lang w:val="en-US" w:eastAsia="zh-CN"/>
              </w:rPr>
              <w:t>一、公司2025年度及2026年一季度业绩介绍</w:t>
            </w:r>
          </w:p>
          <w:p w14:paraId="448EC3A3">
            <w:pPr>
              <w:pStyle w:val="19"/>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57" w:beforeLines="50" w:line="360" w:lineRule="auto"/>
              <w:jc w:val="both"/>
              <w:textAlignment w:val="auto"/>
              <w:rPr>
                <w:rFonts w:hint="eastAsia" w:cs="Times New Roman" w:asciiTheme="minorEastAsia" w:hAnsiTheme="minorEastAsia" w:eastAsiaTheme="minorEastAsia"/>
                <w:bCs/>
                <w:iCs/>
                <w:color w:val="000000"/>
                <w:kern w:val="2"/>
                <w:sz w:val="24"/>
                <w:szCs w:val="24"/>
                <w:highlight w:val="none"/>
                <w:lang w:val="en-US" w:eastAsia="zh-CN" w:bidi="ar-SA"/>
              </w:rPr>
            </w:pPr>
            <w:r>
              <w:rPr>
                <w:rFonts w:hint="eastAsia" w:cs="Times New Roman" w:asciiTheme="minorEastAsia" w:hAnsiTheme="minorEastAsia" w:eastAsiaTheme="minorEastAsia"/>
                <w:bCs/>
                <w:iCs/>
                <w:color w:val="000000"/>
                <w:kern w:val="2"/>
                <w:sz w:val="24"/>
                <w:szCs w:val="24"/>
                <w:highlight w:val="none"/>
                <w:lang w:val="en-US" w:eastAsia="zh-CN" w:bidi="ar-SA"/>
              </w:rPr>
              <w:t>公司介绍了2025年度经营情况及未来发展规划。公司拥有会展组织、体育赛事、展馆运营和会展全产业链服务四大业务板块，2025年实现营业收入16.26亿元，归母净利润3.26亿元，“十四五”期间营收与净利润分别增长75.78%和171.67%。其中会展组织业务收入8.42亿元，占比52%，工博会连续三年居全球工业类展会首位，世界人工智能大会吸引91个国家和地区参与、推动产业项目签约450亿元；体育赛事方面，“上马”通过世界马拉松大满贯第一阶段评估；世博展览馆全年举办88场展览、服务展商1.9万家。公司连续五年累计分红6.83亿元，2025年度拟分红约2.17亿元，分红比例66.70%。面向“十五五”，公司提出“2+3+1”战略，聚焦AI科技和体育赛事两大核心赛道，做强展馆运营、IP运营和会展服务三大支柱，建好香港公司海外平台，加快国际化布局。2026年一季度公司实现营业收入2.44亿元，同比增长5.47%，同比减亏46.14%。</w:t>
            </w:r>
          </w:p>
          <w:p w14:paraId="29CC25D7">
            <w:pPr>
              <w:pStyle w:val="19"/>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57" w:beforeLines="50" w:line="360" w:lineRule="auto"/>
              <w:jc w:val="both"/>
              <w:textAlignment w:val="auto"/>
              <w:rPr>
                <w:rFonts w:hint="default" w:asciiTheme="minorEastAsia" w:hAnsiTheme="minorEastAsia"/>
                <w:b/>
                <w:bCs/>
                <w:sz w:val="24"/>
                <w:szCs w:val="24"/>
                <w:highlight w:val="none"/>
                <w:lang w:val="en-US" w:eastAsia="zh-CN"/>
              </w:rPr>
            </w:pPr>
            <w:r>
              <w:rPr>
                <w:rFonts w:hint="eastAsia" w:asciiTheme="minorEastAsia" w:hAnsiTheme="minorEastAsia"/>
                <w:b/>
                <w:bCs/>
                <w:sz w:val="24"/>
                <w:szCs w:val="24"/>
                <w:highlight w:val="none"/>
                <w:lang w:val="en-US" w:eastAsia="zh-CN"/>
              </w:rPr>
              <w:t>二、</w:t>
            </w:r>
            <w:r>
              <w:rPr>
                <w:rFonts w:hint="default" w:asciiTheme="minorEastAsia" w:hAnsiTheme="minorEastAsia"/>
                <w:b/>
                <w:bCs/>
                <w:sz w:val="24"/>
                <w:szCs w:val="24"/>
                <w:highlight w:val="none"/>
                <w:lang w:val="en-US" w:eastAsia="zh-CN"/>
              </w:rPr>
              <w:t>问答纪要</w:t>
            </w:r>
          </w:p>
          <w:p w14:paraId="4E2E9695">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1、</w:t>
            </w:r>
            <w:r>
              <w:rPr>
                <w:rFonts w:hint="eastAsia" w:asciiTheme="minorEastAsia" w:hAnsiTheme="minorEastAsia"/>
                <w:b/>
                <w:bCs/>
                <w:sz w:val="24"/>
                <w:szCs w:val="24"/>
                <w:highlight w:val="none"/>
              </w:rPr>
              <w:t>问：2026 年是十五五的开局之年，新的五年中，公司未来的战略规划是怎么样的？</w:t>
            </w:r>
          </w:p>
          <w:p w14:paraId="0B741D69">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w:t>
            </w:r>
          </w:p>
          <w:p w14:paraId="6B222D42">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2026年是“十五五”规划的开局之年。公司坚持聚焦“增强核心功能、提升核心竞争力”两个核心原则，紧紧围绕“专业化聚焦、数智化转型、国际化链接、品牌化升级”四个发展路径，全面实施 “2+3+1”战略路径，全力打造具有全球竞争力的会展领军企业，在“十五五”新征程上展现会展担当。</w:t>
            </w:r>
          </w:p>
          <w:p w14:paraId="7D7C53C3">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公司将牢牢把握推动高质量发展这一根本主题，对接“3+6”新型产业体系建设，全面实施“2+3+1”战略路径（“2”即“AI科技、体育赛事”两大核心领域；“3”即展馆运营、IP运营、会展服务三大支柱业务；“1”即香港公司海外业务平台）。</w:t>
            </w:r>
          </w:p>
          <w:p w14:paraId="12B74F8A">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“AI科技、体育赛事”两大核心领域：</w:t>
            </w:r>
          </w:p>
          <w:p w14:paraId="713CBA22">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在AI科技领域，以WAIC为载体，孵化五大生态子品牌：WAIC UP、WAIC Future Tech、WAIC CONNECT、WAIC Young和AI GRAVITY，推动WAIC向市场化、生态化转型，构建“4+365”全生命周期运营体系，力争将威客引力培育成为领先的AI产业生态服务商。在体育赛事方面，积极提升体育板块规模，持续办好“三上”赛事，把握体育公司揭牌契机，强化资本运作，加快构建全链条体育产业体系，拓展体育场馆运营、体育展会、数字体育、体育旅游等业务。</w:t>
            </w:r>
          </w:p>
          <w:p w14:paraId="3A2F57B4">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针对展馆运营、IP运营、会展服务三大支柱业务：</w:t>
            </w:r>
          </w:p>
          <w:p w14:paraId="49478B6B">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一是形成专业展馆的集群效应。通过展馆管理输出、运营托管、股权合作等多种模式链接上海乃至长三角区域多个专业场馆，形成集群效应。推动上海世博展览馆输出智慧化系统、低碳化改造、标准化服务体系等方面的成熟经验，实现轻资产扩张，打造统一品牌、统一标准、资源共享的展馆运营联合体。</w:t>
            </w:r>
          </w:p>
          <w:p w14:paraId="39E81929">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二是推进IP专业化、品牌化、资本化运作。按照“一品一策”，对所有IP进行系统化培育和价值深度挖掘，通过品牌授权、模式输出、联合运营等方式，最大化品牌价值，并积极探索IP的资本化路径，实现资源集中、战略统一和品牌协同。拓展智能制造细分领域，工博会紧扣“CIIF+”品牌发展战略，坚定推进“母展引领+走出去自办展”双轮驱动，迈出“三年跃升”关键一步；低空经济展、广印展紧贴行业热点，策划多元、创新、前瞻的配套活动，多维度深挖产业趋势，持续丰富展会内容、提升专业深度与行业引领力；打造“它博会”“文旅消费季”等自主IP，深耕宠物经济、大文旅、大健康赛道，力争组展业务营收增长创新高。</w:t>
            </w:r>
          </w:p>
          <w:p w14:paraId="01EC4CD0">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三是强化会展全产业链服务能力。持续发挥会展钓鱼台服务标准，健全数据流动与合规服务体系，为企业提供搭建、运输、餐饮、策划、咨询、AI技术等一站式服务支持，全面增强平台辐射力及产业带动力。</w:t>
            </w:r>
          </w:p>
          <w:p w14:paraId="1B623CA1">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香港公司海外业务平台，构建海外总部海外结算中心、海外投资中心、海外运营中心三大核心功能。</w:t>
            </w:r>
          </w:p>
          <w:p w14:paraId="728D2170">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未来，公司以服务国家战略、服务城市发展、服务行业转型升级为目标，坚持稳中求进、以进促稳，聚焦“增强核心功能，提升核心竞争力”，加快推动企业高质量发展，为上海建设国际会展之都、助力上海建设全球著名体育城市、助力上海建设全球最佳旅游城市服务中国式现代化作出贡献！</w:t>
            </w:r>
          </w:p>
          <w:p w14:paraId="642BF8DF">
            <w:pPr>
              <w:adjustRightInd w:val="0"/>
              <w:snapToGrid w:val="0"/>
              <w:spacing w:line="360" w:lineRule="auto"/>
              <w:jc w:val="both"/>
              <w:rPr>
                <w:rFonts w:hint="eastAsia" w:eastAsia="宋体" w:asciiTheme="minorEastAsia" w:hAnsiTheme="minorEastAsia"/>
                <w:b w:val="0"/>
                <w:bCs w:val="0"/>
                <w:sz w:val="24"/>
                <w:szCs w:val="24"/>
                <w:highlight w:val="none"/>
                <w:lang w:val="en-US" w:eastAsia="zh-CN"/>
              </w:rPr>
            </w:pPr>
            <w:r>
              <w:rPr>
                <w:rFonts w:hint="eastAsia" w:asciiTheme="minorEastAsia" w:hAnsiTheme="minorEastAsia"/>
                <w:b w:val="0"/>
                <w:bCs w:val="0"/>
                <w:sz w:val="24"/>
                <w:szCs w:val="24"/>
                <w:highlight w:val="none"/>
                <w:lang w:val="en-US" w:eastAsia="zh-CN"/>
              </w:rPr>
              <w:t>感谢您的关注！</w:t>
            </w:r>
          </w:p>
          <w:p w14:paraId="19378508">
            <w:pPr>
              <w:adjustRightInd w:val="0"/>
              <w:snapToGrid w:val="0"/>
              <w:spacing w:line="360" w:lineRule="auto"/>
              <w:jc w:val="both"/>
              <w:rPr>
                <w:rFonts w:hint="default" w:eastAsia="宋体" w:asciiTheme="minorEastAsia" w:hAnsiTheme="minorEastAsia"/>
                <w:b/>
                <w:bCs/>
                <w:sz w:val="24"/>
                <w:szCs w:val="24"/>
                <w:highlight w:val="none"/>
                <w:lang w:val="en-US" w:eastAsia="zh-CN"/>
              </w:rPr>
            </w:pPr>
            <w:r>
              <w:rPr>
                <w:rFonts w:hint="eastAsia" w:asciiTheme="minorEastAsia" w:hAnsiTheme="minorEastAsia"/>
                <w:b/>
                <w:bCs/>
                <w:sz w:val="24"/>
                <w:szCs w:val="24"/>
                <w:highlight w:val="none"/>
                <w:lang w:val="en-US" w:eastAsia="zh-CN"/>
              </w:rPr>
              <w:t>2、</w:t>
            </w:r>
            <w:r>
              <w:rPr>
                <w:rFonts w:hint="eastAsia" w:asciiTheme="minorEastAsia" w:hAnsiTheme="minorEastAsia"/>
                <w:b/>
                <w:bCs/>
                <w:sz w:val="24"/>
                <w:szCs w:val="24"/>
                <w:highlight w:val="none"/>
              </w:rPr>
              <w:t>问：在促进文商旅体展层面，公司做了哪些</w:t>
            </w:r>
            <w:r>
              <w:rPr>
                <w:rFonts w:hint="eastAsia" w:asciiTheme="minorEastAsia" w:hAnsiTheme="minorEastAsia"/>
                <w:b/>
                <w:bCs/>
                <w:sz w:val="24"/>
                <w:szCs w:val="24"/>
                <w:highlight w:val="none"/>
                <w:lang w:val="en-US" w:eastAsia="zh-CN"/>
              </w:rPr>
              <w:t>工作</w:t>
            </w:r>
            <w:r>
              <w:rPr>
                <w:rFonts w:hint="eastAsia" w:asciiTheme="minorEastAsia" w:hAnsiTheme="minorEastAsia"/>
                <w:b/>
                <w:bCs/>
                <w:sz w:val="24"/>
                <w:szCs w:val="24"/>
                <w:highlight w:val="none"/>
              </w:rPr>
              <w:t>？</w:t>
            </w:r>
            <w:r>
              <w:rPr>
                <w:rFonts w:hint="eastAsia" w:asciiTheme="minorEastAsia" w:hAnsiTheme="minorEastAsia"/>
                <w:b/>
                <w:bCs/>
                <w:sz w:val="24"/>
                <w:szCs w:val="24"/>
                <w:highlight w:val="none"/>
                <w:lang w:val="en-US" w:eastAsia="zh-CN"/>
              </w:rPr>
              <w:t>取得了哪些实效？</w:t>
            </w:r>
          </w:p>
          <w:p w14:paraId="78AD7781">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w:t>
            </w:r>
          </w:p>
          <w:p w14:paraId="63BDA4D7">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根据相关研究，会展行业对经济作用的拉动效应是1:9。为促进文商旅体展融合、拉动消费，公司</w:t>
            </w:r>
            <w:r>
              <w:rPr>
                <w:rFonts w:hint="eastAsia" w:asciiTheme="minorEastAsia" w:hAnsiTheme="minorEastAsia"/>
                <w:b w:val="0"/>
                <w:bCs w:val="0"/>
                <w:sz w:val="24"/>
                <w:szCs w:val="24"/>
                <w:highlight w:val="none"/>
              </w:rPr>
              <w:t>深入落实上海“促进文商旅体展联动发展”“做强票根经济”等政策导向，发挥好会展业连接产业与城市、贯通内需与外向、整合资源与要素的独特功能。公司做了以下举措：</w:t>
            </w:r>
          </w:p>
          <w:p w14:paraId="6E75260A">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公司高质量参与筹备2026年举办的第48届世界技能大赛以及“三上”赛事国际参赛者占比的提升，充分释放国际参赛者/跑者带来的酒店、餐饮、航空、旅游、购物等复合消费乘数效应。</w:t>
            </w:r>
          </w:p>
          <w:p w14:paraId="2CC87C22">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围绕上海马拉松等“三上”赛事，拓展体育场馆运营、体育展会、数字体育、体育旅游等，实现公司内部资源互通共享，如体博会与上海马拉松联动，实现展览与赛事双向引流、相互赋能。</w:t>
            </w:r>
          </w:p>
          <w:p w14:paraId="58FFFE71">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创新“文商旅体展”深度融合模式，参与2026年上海旅游节的运营工作，借鉴“一节两季”“全域联动”等成功经验，系统规划旅游节内容体系与跨界联动机制，推动其从“城市活动”向“国际节庆IP”升级。</w:t>
            </w:r>
          </w:p>
          <w:p w14:paraId="45C3E97E">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 xml:space="preserve">建立会展场馆与消费联动机制，结合体博览、休博会、个人保养博览会等自有IP展会，完善展会门票与周边商圈、文旅景点的消费券、体验券联动机制，进一步促进“文商旅体展”融合。 </w:t>
            </w:r>
          </w:p>
          <w:p w14:paraId="79077358">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规划利用世博园区独特地标优势，打造以宠物文化与沉浸式体验为主题的“Xstation”创新文旅场景，融合主题展览、互动娱乐、品牌零售、休闲社交于一体，开拓“会展+文旅”新商业模式。</w:t>
            </w:r>
          </w:p>
          <w:p w14:paraId="541746BB">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未来，公司将继续探索会展和体育赛事与文旅、商业、科技、消费等产业的深度融合。“票根经济”“赛事+消费”等新模式将有效放大活动的乘数效应，带动城市综合消费，创造更大的社会经济价值。</w:t>
            </w:r>
          </w:p>
          <w:p w14:paraId="1D575F90">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感谢您的关注！</w:t>
            </w:r>
          </w:p>
          <w:p w14:paraId="40245728">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lang w:val="en-US" w:eastAsia="zh-CN"/>
              </w:rPr>
              <w:t>3、</w:t>
            </w:r>
            <w:r>
              <w:rPr>
                <w:rFonts w:hint="eastAsia" w:asciiTheme="minorEastAsia" w:hAnsiTheme="minorEastAsia"/>
                <w:b/>
                <w:bCs/>
                <w:sz w:val="24"/>
                <w:szCs w:val="24"/>
                <w:highlight w:val="none"/>
              </w:rPr>
              <w:t>问：关于体育赛事方面，为满足日益增长的美好生活需要，国家进一步推进体育产业高质量发展，公司对于体育赛道的未来布局有哪些方面？除了上马，公司在其他国际化赛事运营方面有哪些具体准备？</w:t>
            </w:r>
          </w:p>
          <w:p w14:paraId="70253EAE">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答：尊敬的投资者，您好！</w:t>
            </w:r>
          </w:p>
          <w:p w14:paraId="2811D24C">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2025年末，公司下属子公司上海东浩兰生赛事管理有限公司正式更名为上海东浩兰生体育有限公司，并于2026年3月，公司增资5,000万元，将体育公司注册资本从人民币300万元增加到人民币5,300万元，正式开启管理体制和组织能级的升级之路，公司未来对于体育公司的规划如下：</w:t>
            </w:r>
          </w:p>
          <w:p w14:paraId="446226D4">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一是聚焦战略升级，全面打响东浩兰生体育品牌。</w:t>
            </w:r>
          </w:p>
          <w:p w14:paraId="3E51FF52">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立足于战略升级的全新起点，公司将围绕“专业化、国际化、市场化”发展导向，在持续巩固并提升上马、上艇、上帆等核心赛事IP国际影响力与品牌价值的基础上，积极拓展业务边界与产业纵深，系统布局体育场馆运营、体育旅游融合、体育科技应用等新兴业务赛道，着力构建覆盖赛事组织、场馆管理、体育服务、衍生开发等多环节的多元化、全链条体育产业生态体系。通过全面提升专业化运营能级、深化市场化运作机制、强化跨领域资源整合能力，公司将致力于把“东浩兰生体育”打造成为代表上海城市形象、具有全国引领力和全球竞争力的卓越体育品牌，为上海体育产业的高质量发展与全球著名体育城市建设持续注入创新动能与品牌活力。</w:t>
            </w:r>
          </w:p>
          <w:p w14:paraId="41D8DFE8">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二是活化赛事资产，创新赛事发展格局。</w:t>
            </w:r>
          </w:p>
          <w:p w14:paraId="61358F73">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2026年，公司将充分转化举办2025世界赛艇锦标赛的资产，依托与世界赛艇联合会的持续合作，首次在上海引入并举办世界赛联城市冲刺赛这一全新国际精英赛事。</w:t>
            </w:r>
          </w:p>
          <w:p w14:paraId="1DA36FDF">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该赛事是世锦赛成功后与国际组织深化合作的直接成果，计划于2026年9月在上海标志性水域举行</w:t>
            </w:r>
            <w:r>
              <w:rPr>
                <w:rFonts w:hint="eastAsia" w:asciiTheme="minorEastAsia" w:hAnsiTheme="minorEastAsia"/>
                <w:b w:val="0"/>
                <w:bCs w:val="0"/>
                <w:sz w:val="24"/>
                <w:szCs w:val="24"/>
                <w:highlight w:val="none"/>
                <w:lang w:eastAsia="zh-CN"/>
              </w:rPr>
              <w:t>。</w:t>
            </w:r>
            <w:r>
              <w:rPr>
                <w:rFonts w:hint="eastAsia" w:asciiTheme="minorEastAsia" w:hAnsiTheme="minorEastAsia"/>
                <w:b w:val="0"/>
                <w:bCs w:val="0"/>
                <w:sz w:val="24"/>
                <w:szCs w:val="24"/>
                <w:highlight w:val="none"/>
              </w:rPr>
              <w:t>公司将以此为契机，进一步发挥世锦赛积累的场馆设施、专业团队和国际合作关系，推动上海水上赛事体系向专业化、国际化、品牌化方向升级，实现从</w:t>
            </w:r>
            <w:r>
              <w:rPr>
                <w:rFonts w:hint="eastAsia" w:asciiTheme="minorEastAsia" w:hAnsiTheme="minorEastAsia"/>
                <w:b w:val="0"/>
                <w:bCs w:val="0"/>
                <w:sz w:val="24"/>
                <w:szCs w:val="24"/>
                <w:highlight w:val="none"/>
                <w:lang w:eastAsia="zh-CN"/>
              </w:rPr>
              <w:t>“</w:t>
            </w:r>
            <w:r>
              <w:rPr>
                <w:rFonts w:hint="eastAsia" w:asciiTheme="minorEastAsia" w:hAnsiTheme="minorEastAsia"/>
                <w:b w:val="0"/>
                <w:bCs w:val="0"/>
                <w:sz w:val="24"/>
                <w:szCs w:val="24"/>
                <w:highlight w:val="none"/>
              </w:rPr>
              <w:t>单一赛事承办</w:t>
            </w:r>
            <w:r>
              <w:rPr>
                <w:rFonts w:hint="eastAsia" w:asciiTheme="minorEastAsia" w:hAnsiTheme="minorEastAsia"/>
                <w:b w:val="0"/>
                <w:bCs w:val="0"/>
                <w:sz w:val="24"/>
                <w:szCs w:val="24"/>
                <w:highlight w:val="none"/>
                <w:lang w:eastAsia="zh-CN"/>
              </w:rPr>
              <w:t>”</w:t>
            </w:r>
            <w:r>
              <w:rPr>
                <w:rFonts w:hint="eastAsia" w:asciiTheme="minorEastAsia" w:hAnsiTheme="minorEastAsia"/>
                <w:b w:val="0"/>
                <w:bCs w:val="0"/>
                <w:sz w:val="24"/>
                <w:szCs w:val="24"/>
                <w:highlight w:val="none"/>
              </w:rPr>
              <w:t>到</w:t>
            </w:r>
            <w:r>
              <w:rPr>
                <w:rFonts w:hint="eastAsia" w:asciiTheme="minorEastAsia" w:hAnsiTheme="minorEastAsia"/>
                <w:b w:val="0"/>
                <w:bCs w:val="0"/>
                <w:sz w:val="24"/>
                <w:szCs w:val="24"/>
                <w:highlight w:val="none"/>
                <w:lang w:eastAsia="zh-CN"/>
              </w:rPr>
              <w:t>“</w:t>
            </w:r>
            <w:r>
              <w:rPr>
                <w:rFonts w:hint="eastAsia" w:asciiTheme="minorEastAsia" w:hAnsiTheme="minorEastAsia"/>
                <w:b w:val="0"/>
                <w:bCs w:val="0"/>
                <w:sz w:val="24"/>
                <w:szCs w:val="24"/>
                <w:highlight w:val="none"/>
              </w:rPr>
              <w:t>持续赛事培育</w:t>
            </w:r>
            <w:r>
              <w:rPr>
                <w:rFonts w:hint="eastAsia" w:asciiTheme="minorEastAsia" w:hAnsiTheme="minorEastAsia"/>
                <w:b w:val="0"/>
                <w:bCs w:val="0"/>
                <w:sz w:val="24"/>
                <w:szCs w:val="24"/>
                <w:highlight w:val="none"/>
                <w:lang w:eastAsia="zh-CN"/>
              </w:rPr>
              <w:t>”</w:t>
            </w:r>
            <w:bookmarkStart w:id="0" w:name="_GoBack"/>
            <w:bookmarkEnd w:id="0"/>
            <w:r>
              <w:rPr>
                <w:rFonts w:hint="eastAsia" w:asciiTheme="minorEastAsia" w:hAnsiTheme="minorEastAsia"/>
                <w:b w:val="0"/>
                <w:bCs w:val="0"/>
                <w:sz w:val="24"/>
                <w:szCs w:val="24"/>
                <w:highlight w:val="none"/>
              </w:rPr>
              <w:t>的战略转型。</w:t>
            </w:r>
          </w:p>
          <w:p w14:paraId="25CE61A5">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三是树立传统赛事标杆，驱动运营能级提升。</w:t>
            </w:r>
          </w:p>
          <w:p w14:paraId="215FE8C2">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对标国际标准，实现品质升级。上海马拉松已进入标雅培世界马拉松大满贯候选资格评估得的第二阶段，下一次关键评估将于2026上海马拉松期间开展。上海马拉松将严格对标大满贯赛事标准，以更高要求推动赛事组织与服务体系的全面国际化升级。公司将围绕竞赛管理、跑者体验、品牌传播等核心环节，持续优化全流程运营机制，致力于为全球跑者呈现一场符合大满贯品质的路跑盛会。</w:t>
            </w:r>
          </w:p>
          <w:p w14:paraId="0B88430E">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公司将在持续巩固与提升“上马、上艇、上帆”三大核心赛事品牌价值与行业影响力的基础上，进一步系统构建多层次、广覆盖的赛事矩阵，全面推动上海半程马拉松、上海10公里精英赛、女子半马等一系列常规赛事的专业化运营与品质化升级。公司将以国际一流赛事体系为标杆，全面对标行业最高标准与最佳实践，从赛事策划、组织执行、服务配套、品牌传播等各环节进行系统性优化与创新，构建科学高效的赛事服务体系。</w:t>
            </w:r>
          </w:p>
          <w:p w14:paraId="4D58AB1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感谢您的关注！</w:t>
            </w:r>
          </w:p>
          <w:p w14:paraId="4006E590">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4、</w:t>
            </w:r>
            <w:r>
              <w:rPr>
                <w:rFonts w:hint="eastAsia" w:asciiTheme="minorEastAsia" w:hAnsiTheme="minorEastAsia"/>
                <w:b/>
                <w:bCs/>
                <w:sz w:val="24"/>
                <w:szCs w:val="24"/>
                <w:highlight w:val="none"/>
              </w:rPr>
              <w:t>问：公司设立了世界人工智能大会项目的实体公司，这一两年实体化后运作成果如何？未来对于这块有新的发展方向吗？</w:t>
            </w:r>
          </w:p>
          <w:p w14:paraId="00FF6D1E">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w:t>
            </w:r>
          </w:p>
          <w:p w14:paraId="11E67C05">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公司围绕世界人工智能大会（WAIC）项目设立的专业化运营公司“威客引力”，定位为“全球人工智能生态链接者”，打造全周期服务体系。</w:t>
            </w:r>
          </w:p>
          <w:p w14:paraId="48E803A7">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 xml:space="preserve">2025年展会规模与影响力双升，展览面积首次突破7万平方米，较去年增长34.6%；吸引参展商800余家，较去年增长61.25%；线下观众达35.5万人次，上涨18.3%，分布全球91个国家和地区；全网流量超25亿，较上届增长23.5%。 </w:t>
            </w:r>
          </w:p>
          <w:p w14:paraId="664CA4CF">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目前，威客引力生态服务体系初步成型，已推出多个子品牌矩阵，包括：Future Tech（孵化平台）、CONNECT（对接平台）、WAIC UP!（智识平台）、Young（青创平台）、AI GRAVITY（海外平台）。作为公司核心IP，出海步伐加快，2025年AI GRAVITY与新加坡人工智能盛会AIMX携手成功举办海外专场活动。</w:t>
            </w:r>
          </w:p>
          <w:p w14:paraId="1D428278">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未来，威客引力将积极构建功能完备的大会数据平台，通过建立数据标签体系与自主数据底座，精准生成用户画像及数据报告，大会服务中台与数字中台的系统开发有序推进，计划在2026年大会期间投入应用。同时，打造统一、开放的APP平台，向全年运营平台的战略延展，覆盖资讯发布、专家智库、活动服务、供需对接等核心场景，实现从工具型应用向内容型、社区型、生态型平台的升级。</w:t>
            </w:r>
          </w:p>
          <w:p w14:paraId="72EF2174">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感谢您的关注！</w:t>
            </w:r>
          </w:p>
          <w:p w14:paraId="625DA705">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5、</w:t>
            </w:r>
            <w:r>
              <w:rPr>
                <w:rFonts w:hint="eastAsia" w:asciiTheme="minorEastAsia" w:hAnsiTheme="minorEastAsia"/>
                <w:b/>
                <w:bCs/>
                <w:sz w:val="24"/>
                <w:szCs w:val="24"/>
                <w:highlight w:val="none"/>
              </w:rPr>
              <w:t>问：近年来监管层面高度重视提高上市公司质量与投资者回报，请问公司在这方面做了哪些举措？</w:t>
            </w:r>
          </w:p>
          <w:p w14:paraId="4F828B4C">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w:t>
            </w:r>
          </w:p>
          <w:p w14:paraId="3C6BFE1B">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本质上来说，分红是基于上市公司的盈利情况和盈利质量，</w:t>
            </w:r>
            <w:r>
              <w:rPr>
                <w:rFonts w:hint="eastAsia" w:asciiTheme="minorEastAsia" w:hAnsiTheme="minorEastAsia"/>
                <w:b w:val="0"/>
                <w:bCs w:val="0"/>
                <w:sz w:val="24"/>
                <w:szCs w:val="24"/>
                <w:highlight w:val="none"/>
              </w:rPr>
              <w:t>公司积极践行“以投资者为本”的上市公司发展理念，自2025年起披露“提质增效重回报”行动方案以及评估报告。聚焦公司主业，提升经营质量。为服务国家战略、构建上海“3+6”新型产业体系、建设上海国际会展之都贡献力量。打造科技服务平台，发展新质生产力。深化“数字会展”战略，夯实数字底座，赋能智慧会展。以中台建设为核心打造“会展智慧中枢”，深度融合行业知识图谱与数据要素，加速推进业务流程标准化、服务模式规模化和运营管理高质量化。推进ESG，打造可持续新名片。深化ESG体系建设，将可持续发展理念深度融入企业运营。2025年公司编制发布首份《环境、社会及管治（ESG）报告》。系统、全面地披露了公司在环境保护、社会责任及公司治理方面的探索与实践。不断深化ESG理念与价值传递，公司ESG工作获得市场认可，万得（Wind）、华证等ESG评级均有显著提升。增加投资者回报，共享公司发展红利。</w:t>
            </w:r>
          </w:p>
          <w:p w14:paraId="5CEC58D4">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公司连续多年现金分红比例超50%，为建立稳定的股东回报机制，积极响应新“国九条”政策导向，公司制定并披露了《公司未来三年股东回报规划（2025—2027年）》，明确规划期内每年以现金方式分配的利润原则上不低于当年实现的可分配利润的50%，并探索实施中期分红、特别分红等更为灵活的回报方式。通过稳定的现金分红政策和完善的回报机制，切实增强投资者的获得感与满意度。2025年度公司现金分红约1.74亿元，占公司本年度归属于上市公司股东的净利润比例为53.36%，合并中期分红后达66.70%，合计派发现金红利2.17亿元。</w:t>
            </w:r>
          </w:p>
          <w:p w14:paraId="252716E5">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此外，公司于2024年2月至5月使用自有资金回购公司股份11,349,981股，共计使用资金1亿元。基于公司实际经营情况及发展战略，为提升股东价值，增强投资者对公司的投资信心，维护投资者利益，经公司2026年4月及5月分别召开的董事会、股东会审议通过，将对该部分回购股份全部予以注销。公司正按照相关规定向上海证券交易所和中国证券登记结算有限责任公司申请办理回购股份注销手续并完成通知债权人等相关工作。</w:t>
            </w:r>
          </w:p>
          <w:p w14:paraId="4C42DFA6">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感谢您的关注！</w:t>
            </w:r>
          </w:p>
          <w:p w14:paraId="6F147927">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6、</w:t>
            </w:r>
            <w:r>
              <w:rPr>
                <w:rFonts w:hint="eastAsia" w:asciiTheme="minorEastAsia" w:hAnsiTheme="minorEastAsia"/>
                <w:b/>
                <w:bCs/>
                <w:sz w:val="24"/>
                <w:szCs w:val="24"/>
                <w:highlight w:val="none"/>
              </w:rPr>
              <w:t>问：您好，2025 年公司会展收入同比 + 10.4%、赛事活动收入同比 + 29.3%，毛利率大幅提升。结合惠民促消费导向，公司如何把 WAIC、它博会、上马等顶级 IP 转化为面向市民的常态化文旅惠民产品，拉动文旅消费？谢谢！</w:t>
            </w:r>
          </w:p>
          <w:p w14:paraId="5497E42F">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w:t>
            </w:r>
          </w:p>
          <w:p w14:paraId="15E1B2A5">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公司依托覆盖会展赛事全产业链的优质资源体系，始终致力于推动“文商旅体展”融合发展。2025年WAIC大会期间，公司与世博源、世博天地等核心商圈深度联动，参会者持WAIC票根可享指定区域及商户菜品优惠，并联动西岸区域推出音乐剧、艺术展览等展演专属折扣。同步限量发放5万本上海打卡“护照”，联动17个文旅点位集章打卡，实现科技探索与城市漫游的深度融合。</w:t>
            </w:r>
          </w:p>
          <w:p w14:paraId="48BCA789">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2025年上海马拉松期间，创新推出“跑马嗨购节”，联动456个品牌、7,700家线下门店，围绕出行、住宿、美食、茶饮四大场景构建全域优惠网络，将赛事流量转化为消费增量；耐克女子夜跑等活动则将体育与夜经济相结合，进一步拓展了消费场景。</w:t>
            </w:r>
          </w:p>
          <w:p w14:paraId="74E86B79">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依托上海国际马拉松的品牌影响力，借力“上海国际赛事文化及体育用品博览会”与“上海国际休闲度假博览会”双展联动的契机，公司与上海电影联手在上海世博展览馆举办“乐活浦江·上海TASTE”活动。通过整合文化、体育、旅游、商业等资源，公司发挥会展产业“流量入口”与“资源枢纽”功能的重要实践，为上海建设国际消费中心城市和世界著名旅游城市持续注入新动能。</w:t>
            </w:r>
          </w:p>
          <w:p w14:paraId="4D1D6650">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未来，公司将依托上海的票根联动政策红利与消费券支持，以WAIC、“三上”赛事、它博会等优质IP为流量引擎，通过数字化工具、票根联动、商圈联合、夜间经济和首发经济等组合拳，构建“展会/赛事引流—消费场景串联—全域权益互通”的惠民闭环，将“流量”转化为“留量”，将“人气”转化为消费，持续助力上海国际消费中心城市建设。</w:t>
            </w:r>
          </w:p>
          <w:p w14:paraId="45110653">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感谢您的关注！</w:t>
            </w:r>
          </w:p>
          <w:p w14:paraId="320E4C8C">
            <w:pPr>
              <w:adjustRightInd w:val="0"/>
              <w:snapToGrid w:val="0"/>
              <w:spacing w:line="360" w:lineRule="auto"/>
              <w:jc w:val="both"/>
              <w:rPr>
                <w:rFonts w:hint="eastAsia" w:asciiTheme="minorEastAsia" w:hAnsiTheme="minorEastAsia"/>
                <w:b w:val="0"/>
                <w:bCs w:val="0"/>
                <w:sz w:val="24"/>
                <w:szCs w:val="24"/>
                <w:highlight w:val="none"/>
              </w:rPr>
            </w:pPr>
          </w:p>
          <w:p w14:paraId="0E35A330">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7、</w:t>
            </w:r>
            <w:r>
              <w:rPr>
                <w:rFonts w:hint="eastAsia" w:asciiTheme="minorEastAsia" w:hAnsiTheme="minorEastAsia"/>
                <w:b/>
                <w:bCs/>
                <w:sz w:val="24"/>
                <w:szCs w:val="24"/>
                <w:highlight w:val="none"/>
              </w:rPr>
              <w:t>问：收购无锡汇跑后，除了‘三上’赛事（上马、上艇、上帆），公司在路跑市场的市占率目标是怎样的？</w:t>
            </w:r>
          </w:p>
          <w:p w14:paraId="75B91A51">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体育赛事是公司“2+3+1”战略两大核心赛道之一，公司将围绕“三上”赛事拓展体育产业生态链，发展赛事组织、体育展览、体育旅游、数字体育和场馆运营五大业务。路跑赛事作为赛事组织的重要组成部分，参股无锡汇跑26%股权是公司产业布局的重要一步，汇跑旗下运营的无锡马拉松是国内头部路跑赛事之一，通过参股方式建立深度合作关系，有助于公司在“三上”赛事的基础上进一步延伸路跑产业链，在长三角核心区域形成赛事矩阵，实现品牌联动、资源共享和运营协同。公司不仅仅只是追求单一维度的数量或份额指标，更是致力于提升赛事品质和参赛体验，扩大路跑赛事在全国范围内的品牌影响力，同时以赛事为纽带推动文商旅体展融合。感谢您的关注！</w:t>
            </w:r>
          </w:p>
          <w:p w14:paraId="57821F23">
            <w:pPr>
              <w:adjustRightInd w:val="0"/>
              <w:snapToGrid w:val="0"/>
              <w:spacing w:line="360" w:lineRule="auto"/>
              <w:jc w:val="both"/>
              <w:rPr>
                <w:rFonts w:hint="eastAsia" w:asciiTheme="minorEastAsia" w:hAnsiTheme="minorEastAsia"/>
                <w:b w:val="0"/>
                <w:bCs w:val="0"/>
                <w:sz w:val="24"/>
                <w:szCs w:val="24"/>
                <w:highlight w:val="none"/>
              </w:rPr>
            </w:pPr>
          </w:p>
          <w:p w14:paraId="64F976E2">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8、</w:t>
            </w:r>
            <w:r>
              <w:rPr>
                <w:rFonts w:hint="eastAsia" w:asciiTheme="minorEastAsia" w:hAnsiTheme="minorEastAsia"/>
                <w:b/>
                <w:bCs/>
                <w:sz w:val="24"/>
                <w:szCs w:val="24"/>
                <w:highlight w:val="none"/>
              </w:rPr>
              <w:t>问：WAIC的‘4+365’运营模式具体如何转化为实际的财务收入？</w:t>
            </w:r>
          </w:p>
          <w:p w14:paraId="54C0964D">
            <w:pPr>
              <w:adjustRightInd w:val="0"/>
              <w:snapToGrid w:val="0"/>
              <w:spacing w:line="360" w:lineRule="auto"/>
              <w:jc w:val="both"/>
              <w:rPr>
                <w:rFonts w:hint="eastAsia" w:eastAsia="宋体" w:asciiTheme="minorEastAsia" w:hAnsiTheme="minorEastAsia"/>
                <w:b w:val="0"/>
                <w:bCs w:val="0"/>
                <w:sz w:val="24"/>
                <w:szCs w:val="24"/>
                <w:highlight w:val="none"/>
                <w:lang w:val="en-US" w:eastAsia="zh-CN"/>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尊敬的投资者，您好！WAIC现已推出多个全年生态子品牌，包括：WAIC Future Tech（孵化平台）、WAIC CONNECT（对接平台）、WAIC UP!（智识平台）、WAIC Young（青创平台）、AI GRAVITY（海外平台）。作为公司核心IP，出海步伐加快，2025年AI GRAVITY与新加坡人工智能盛会AIMX携手成功举办海外专场活动。公司计划打造统一、开放、可扩展的WAIC APP，力争覆盖资讯发布、专家智库、活动服务、供需对接等核心场景的全年化智能服务平台，未来目标实现从工具型应用向内容型、社区型、生态型平台的升级。WAIC通过将短期会展流量转化为全年生态服务，实现从单一展会收入向多元化、持续性收入的升级。感谢您的关注！</w:t>
            </w:r>
          </w:p>
          <w:p w14:paraId="7F7A8B1A">
            <w:pPr>
              <w:adjustRightInd w:val="0"/>
              <w:snapToGrid w:val="0"/>
              <w:spacing w:line="360" w:lineRule="auto"/>
              <w:jc w:val="both"/>
              <w:rPr>
                <w:rFonts w:hint="eastAsia" w:asciiTheme="minorEastAsia" w:hAnsiTheme="minorEastAsia"/>
                <w:b w:val="0"/>
                <w:bCs w:val="0"/>
                <w:sz w:val="24"/>
                <w:szCs w:val="24"/>
                <w:highlight w:val="none"/>
              </w:rPr>
            </w:pPr>
          </w:p>
          <w:p w14:paraId="29E4C733">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lang w:val="en-US" w:eastAsia="zh-CN"/>
              </w:rPr>
              <w:t>9、</w:t>
            </w:r>
            <w:r>
              <w:rPr>
                <w:rFonts w:hint="eastAsia" w:asciiTheme="minorEastAsia" w:hAnsiTheme="minorEastAsia"/>
                <w:b/>
                <w:bCs/>
                <w:sz w:val="24"/>
                <w:szCs w:val="24"/>
                <w:highlight w:val="none"/>
              </w:rPr>
              <w:t>问：作为中小股东，我非常感谢公司提出的每10股派发现金红利2.40元（含税）的年度分红预案，加上中期分红，全年现金分红总额占归母净利润的比例高达66.70%。但也注意到公司2025年的营业收入同比微降了1.07%，且归母净利润增速已连续三年下滑（从2023年的140.46%降至2025年的6.16%）。更令人担忧的是，2026年一季度虽然营收微增，但扣非净利润却同比大幅下滑了191.36%。请问独董层面是如何权衡“高比例分红承诺”与“公司核心业务盈利能力承压”之间的平衡的？在公司扣非净利润出现阶段性恶化的背景下，这种高分红政策的可持续性在未来两年是否有充分保障？</w:t>
            </w:r>
          </w:p>
          <w:p w14:paraId="574F1582">
            <w:pPr>
              <w:adjustRightInd w:val="0"/>
              <w:snapToGrid w:val="0"/>
              <w:spacing w:line="360" w:lineRule="auto"/>
              <w:jc w:val="both"/>
              <w:rPr>
                <w:rFonts w:hint="eastAsia" w:eastAsia="宋体" w:asciiTheme="minorEastAsia" w:hAnsiTheme="minorEastAsia"/>
                <w:b w:val="0"/>
                <w:bCs w:val="0"/>
                <w:sz w:val="24"/>
                <w:szCs w:val="24"/>
                <w:highlight w:val="none"/>
                <w:lang w:val="en-US" w:eastAsia="zh-CN"/>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公司2025年度利润分配方案依据《公司未来三年股东回报规划（2025-2027年）》制定，该规划明确2025年至2027年每年以现金方式分配的利润原则上不低于当年可分配利润的50%。2025年度合并中期分红后共计约2.17亿元，占当年归母净利润的66.70%，符合规划要求。关于分红政策的可持续性，公司董事会在审议利润分配方案时，已综合考虑了公司当前盈利水平、未来资金需求及业务发展规划等因素。需要特别说明的是，公司业务具有较强的季节性特征，第一季度为行业传统淡季，展会和赛事活动数量较少，一季度业绩不代表全年经营趋势。公司二季度起各项展会和赛事将陆续进入旺季，经营情况预计将逐步改善，未来公司将结合年度实际经营业绩和资金状况，在满足分红规划的前提下合理确定各年度分红水平。感谢您的关注！</w:t>
            </w:r>
          </w:p>
          <w:p w14:paraId="267A0480">
            <w:pPr>
              <w:adjustRightInd w:val="0"/>
              <w:snapToGrid w:val="0"/>
              <w:spacing w:line="360" w:lineRule="auto"/>
              <w:jc w:val="both"/>
              <w:rPr>
                <w:rFonts w:hint="eastAsia" w:asciiTheme="minorEastAsia" w:hAnsiTheme="minorEastAsia"/>
                <w:b w:val="0"/>
                <w:bCs w:val="0"/>
                <w:sz w:val="24"/>
                <w:szCs w:val="24"/>
                <w:highlight w:val="none"/>
              </w:rPr>
            </w:pPr>
          </w:p>
          <w:p w14:paraId="4E5ED030">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10、</w:t>
            </w:r>
            <w:r>
              <w:rPr>
                <w:rFonts w:hint="eastAsia" w:asciiTheme="minorEastAsia" w:hAnsiTheme="minorEastAsia"/>
                <w:b/>
                <w:bCs/>
                <w:sz w:val="24"/>
                <w:szCs w:val="24"/>
                <w:highlight w:val="none"/>
              </w:rPr>
              <w:t>问：当前文旅和会展行业正迎来复苏与转型的关键期，公司也明确提出要打造“展、会、赛、馆”全产业链资源。但从年报来看，公司传统的主业增长已显疲态，2025年营收出现负增长，且2026年一季度核心业务的扣非净利润亏损幅度同比扩大了近两倍。面对核心主业盈利能力的持续承压，请问管理层将采取哪些具体举措来稳住会展组织与展馆运营这两大核心业务的利润基本盘？此外，公司寄予厚望的体育赛事业务（如上海马拉松、世界赛艇锦标赛等）目前距离真正成为支撑公司跨越发展的“第二增长曲线”还有多远？</w:t>
            </w:r>
          </w:p>
          <w:p w14:paraId="49A1947F">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w:t>
            </w:r>
          </w:p>
          <w:p w14:paraId="0FDF8E28">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关于会展组织与展馆运营两大核心业务，公司将从以下几个方面发力：一是持续巩固核心IP的行业竞争力，工博会深化“上海母展+成都、深圳、厦门、武汉”五城联动格局，TOPS它博会形成“上海+成都”双枢纽辐射，世界人工智能大会推动从年度盛会向全年运营平台转型，同时通过资本运作扩展IP矩阵，以规模效应和品牌溢价提升盈利能力；二是展馆运营方面，世博展览馆正推进“智慧展馆”三期建设，聚焦数据智能分析、数字孪生和AI安防升级，以数字化手段提高运营效率，同时拓展自营餐饮、年会业务和“X station”创新文旅场景等增值服务（2025年自营餐饮等增值服务收入同比增长40.73%），培育新的利润增长点；三是国际化布局也在同步推进，工博会将在泰国举办海外首展、上海国际广印展将落地哈萨克斯坦，同时打造香港公司战略支点，培育海外增量。</w:t>
            </w:r>
          </w:p>
          <w:p w14:paraId="4D54A008">
            <w:pPr>
              <w:adjustRightInd w:val="0"/>
              <w:snapToGrid w:val="0"/>
              <w:spacing w:line="360" w:lineRule="auto"/>
              <w:jc w:val="both"/>
              <w:rPr>
                <w:rFonts w:hint="eastAsia" w:asciiTheme="minorEastAsia" w:hAnsiTheme="minorEastAsia"/>
                <w:b w:val="0"/>
                <w:bCs w:val="0"/>
                <w:sz w:val="24"/>
                <w:szCs w:val="24"/>
                <w:highlight w:val="none"/>
              </w:rPr>
            </w:pPr>
            <w:r>
              <w:rPr>
                <w:rFonts w:hint="eastAsia" w:asciiTheme="minorEastAsia" w:hAnsiTheme="minorEastAsia"/>
                <w:b w:val="0"/>
                <w:bCs w:val="0"/>
                <w:sz w:val="24"/>
                <w:szCs w:val="24"/>
                <w:highlight w:val="none"/>
              </w:rPr>
              <w:t>关于体育赛事业务，公司围绕“上马”系列路跑赛事、上海赛艇公开赛和上海帆船公开赛构建“三上”赛事IP体系，“上马”已通过世界马拉松大满贯第一阶段评估，2025年国际田联全球排名首次跻身前十。同时通过参股无锡汇跑26%股权深化路跑产业链合作。以赛事为纽带推动文商旅体展融合发展，在赛事组织、体育展览、体育旅游、数字体育和场馆运营等方向逐步构建完整的产业生态。公司对这一业务板块的培育持长期坚定态度，具体的经营成果请关注公司定期报告。</w:t>
            </w:r>
          </w:p>
          <w:p w14:paraId="3DE371E0">
            <w:pPr>
              <w:adjustRightInd w:val="0"/>
              <w:snapToGrid w:val="0"/>
              <w:spacing w:line="360" w:lineRule="auto"/>
              <w:jc w:val="both"/>
              <w:rPr>
                <w:rFonts w:hint="eastAsia" w:eastAsia="宋体" w:asciiTheme="minorEastAsia" w:hAnsiTheme="minorEastAsia"/>
                <w:b w:val="0"/>
                <w:bCs w:val="0"/>
                <w:sz w:val="24"/>
                <w:szCs w:val="24"/>
                <w:highlight w:val="none"/>
                <w:lang w:val="en-US" w:eastAsia="zh-CN"/>
              </w:rPr>
            </w:pPr>
            <w:r>
              <w:rPr>
                <w:rFonts w:hint="eastAsia" w:asciiTheme="minorEastAsia" w:hAnsiTheme="minorEastAsia"/>
                <w:b w:val="0"/>
                <w:bCs w:val="0"/>
                <w:sz w:val="24"/>
                <w:szCs w:val="24"/>
                <w:highlight w:val="none"/>
              </w:rPr>
              <w:t>感谢您的关注！</w:t>
            </w:r>
          </w:p>
          <w:p w14:paraId="709E84D7">
            <w:pPr>
              <w:adjustRightInd w:val="0"/>
              <w:snapToGrid w:val="0"/>
              <w:spacing w:line="360" w:lineRule="auto"/>
              <w:jc w:val="both"/>
              <w:rPr>
                <w:rFonts w:hint="eastAsia" w:asciiTheme="minorEastAsia" w:hAnsiTheme="minorEastAsia"/>
                <w:b w:val="0"/>
                <w:bCs w:val="0"/>
                <w:sz w:val="24"/>
                <w:szCs w:val="24"/>
                <w:highlight w:val="none"/>
              </w:rPr>
            </w:pPr>
          </w:p>
          <w:p w14:paraId="3CA07691">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11、</w:t>
            </w:r>
            <w:r>
              <w:rPr>
                <w:rFonts w:hint="eastAsia" w:asciiTheme="minorEastAsia" w:hAnsiTheme="minorEastAsia"/>
                <w:b/>
                <w:bCs/>
                <w:sz w:val="24"/>
                <w:szCs w:val="24"/>
                <w:highlight w:val="none"/>
              </w:rPr>
              <w:t>问：财报显示，公司2025年归母净利润实现了6.16%的增长，但这一成绩主要是由成本优化和非经常性损益贡献的，而反映核心业务盈利能力的扣非净利润在2026年一季度出现了剧烈波动。同时，公司的存货在2026年一季度末同比增长了56.55%，财务费用更是同比大幅增长454.83%。面对这些不利的财务指标变化，请问管理层将采取哪些具体措施来加快存货周转、控制财务成本，以改善公司的整体运营效率？</w:t>
            </w:r>
          </w:p>
          <w:p w14:paraId="30C2D868">
            <w:pPr>
              <w:adjustRightInd w:val="0"/>
              <w:snapToGrid w:val="0"/>
              <w:spacing w:line="360" w:lineRule="auto"/>
              <w:jc w:val="both"/>
              <w:rPr>
                <w:rFonts w:hint="eastAsia" w:eastAsia="宋体" w:asciiTheme="minorEastAsia" w:hAnsiTheme="minorEastAsia"/>
                <w:b w:val="0"/>
                <w:bCs w:val="0"/>
                <w:sz w:val="24"/>
                <w:szCs w:val="24"/>
                <w:highlight w:val="none"/>
                <w:lang w:val="en-US" w:eastAsia="zh-CN"/>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会展行业第一季度属于淡季，我司大部分项目基本分布在第二、第三及第四季度，因此第一季度项目的预付款在存货科目中进行归集。财务费用的增长与公司资金的管理使用方向相关，闲置资金的集中管理使用主要是购买存款和银行理财产品，其中购买理财产品的资金收益计入投资收益中。感谢您的关注！</w:t>
            </w:r>
          </w:p>
          <w:p w14:paraId="38C120BD">
            <w:pPr>
              <w:adjustRightInd w:val="0"/>
              <w:snapToGrid w:val="0"/>
              <w:spacing w:line="360" w:lineRule="auto"/>
              <w:jc w:val="both"/>
              <w:rPr>
                <w:rFonts w:hint="eastAsia" w:asciiTheme="minorEastAsia" w:hAnsiTheme="minorEastAsia"/>
                <w:b w:val="0"/>
                <w:bCs w:val="0"/>
                <w:sz w:val="24"/>
                <w:szCs w:val="24"/>
                <w:highlight w:val="none"/>
              </w:rPr>
            </w:pPr>
          </w:p>
          <w:p w14:paraId="08FD12C2">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12、</w:t>
            </w:r>
            <w:r>
              <w:rPr>
                <w:rFonts w:hint="eastAsia" w:asciiTheme="minorEastAsia" w:hAnsiTheme="minorEastAsia"/>
                <w:b/>
                <w:bCs/>
                <w:sz w:val="24"/>
                <w:szCs w:val="24"/>
                <w:highlight w:val="none"/>
              </w:rPr>
              <w:t>问：从现金流的角度来看，公司2026年一季度的经营状况面临较大挑战。一季度经营活动产生的现金流量净额为-6932.15万元，虽然同比有所收窄，但依然处于资金流出状态。同时，年报中披露2025年的研发投入虽然同比增长了70.38%，但绝对金额仅为314.99万元，占公司营收的比例极低。作为科技赋能型的现代服务业企业，如此微薄的研发投入是否会影响公司在数字化转型和技术支撑类能力建设上的竞争力？另外，针对应收账款账龄增加导致信用减值损失大增的问题，财务部门在加强回款管理、优化资产质量以及缓解短期经营性现金流压力方面，有哪些具体的应对策略？</w:t>
            </w:r>
          </w:p>
          <w:p w14:paraId="23A8E2A5">
            <w:pPr>
              <w:adjustRightInd w:val="0"/>
              <w:snapToGrid w:val="0"/>
              <w:spacing w:line="360" w:lineRule="auto"/>
              <w:jc w:val="both"/>
              <w:rPr>
                <w:rFonts w:hint="eastAsia" w:eastAsia="宋体" w:asciiTheme="minorEastAsia" w:hAnsiTheme="minorEastAsia"/>
                <w:b w:val="0"/>
                <w:bCs w:val="0"/>
                <w:sz w:val="24"/>
                <w:szCs w:val="24"/>
                <w:highlight w:val="none"/>
                <w:lang w:val="en-US" w:eastAsia="zh-CN"/>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第一季度为行业传统淡季，展会和赛事活动数量较少，公司二季度起随着各项展会赛事活动的开展，经营情况将逐步改善。公司在持续分阶段的投入数字化建设，部分费用纳入研发支出。研发支出只是数字化建设的一部分。26年一季度经营活动现金净支出为项目成本的支付。财务部根据公司制度以及项目实际情况，与业务部门共同对应收账款的收款、催收进行全阶段管理。感谢您的关注！</w:t>
            </w:r>
          </w:p>
          <w:p w14:paraId="7AC5346D">
            <w:pPr>
              <w:adjustRightInd w:val="0"/>
              <w:snapToGrid w:val="0"/>
              <w:spacing w:line="360" w:lineRule="auto"/>
              <w:jc w:val="both"/>
              <w:rPr>
                <w:rFonts w:hint="eastAsia" w:asciiTheme="minorEastAsia" w:hAnsiTheme="minorEastAsia"/>
                <w:b w:val="0"/>
                <w:bCs w:val="0"/>
                <w:sz w:val="24"/>
                <w:szCs w:val="24"/>
                <w:highlight w:val="none"/>
              </w:rPr>
            </w:pPr>
          </w:p>
          <w:p w14:paraId="6B404D5F">
            <w:pPr>
              <w:adjustRightInd w:val="0"/>
              <w:snapToGrid w:val="0"/>
              <w:spacing w:line="360" w:lineRule="auto"/>
              <w:jc w:val="both"/>
              <w:rPr>
                <w:rFonts w:hint="eastAsia" w:asciiTheme="minorEastAsia" w:hAnsiTheme="minorEastAsia"/>
                <w:b/>
                <w:bCs/>
                <w:sz w:val="24"/>
                <w:szCs w:val="24"/>
                <w:highlight w:val="none"/>
              </w:rPr>
            </w:pPr>
            <w:r>
              <w:rPr>
                <w:rFonts w:hint="eastAsia" w:asciiTheme="minorEastAsia" w:hAnsiTheme="minorEastAsia"/>
                <w:b/>
                <w:bCs/>
                <w:sz w:val="24"/>
                <w:szCs w:val="24"/>
                <w:highlight w:val="none"/>
                <w:lang w:val="en-US" w:eastAsia="zh-CN"/>
              </w:rPr>
              <w:t>13、</w:t>
            </w:r>
            <w:r>
              <w:rPr>
                <w:rFonts w:hint="eastAsia" w:asciiTheme="minorEastAsia" w:hAnsiTheme="minorEastAsia"/>
                <w:b/>
                <w:bCs/>
                <w:sz w:val="24"/>
                <w:szCs w:val="24"/>
                <w:highlight w:val="none"/>
              </w:rPr>
              <w:t>问：近期资本市场对文旅消费和体育赛事概念关注度极高，但公司相关业务的实际营收占比和盈利能力依然存在不确定性。为了更好地引导市场预期，保护中小投资者的知情权，未来公司在信息披露和投资者关系管理方面，是否会进一步细化体育赛事业务的订单进展、客户验证及产能落地情况，以帮助投资者更客观地评估公司的真实价值？此外，针对近期业绩的大幅波动，公司在加强与市场的沟通、提振投资者长期信心方面，未来是否有计划通过更频繁的交流活动，向市场传递公司在运营转型与盈利改善方面的积极信号？</w:t>
            </w:r>
          </w:p>
          <w:p w14:paraId="3164BF4A">
            <w:pPr>
              <w:adjustRightInd w:val="0"/>
              <w:snapToGrid w:val="0"/>
              <w:spacing w:line="360" w:lineRule="auto"/>
              <w:jc w:val="both"/>
              <w:rPr>
                <w:rFonts w:hint="eastAsia" w:eastAsia="宋体" w:asciiTheme="minorEastAsia" w:hAnsiTheme="minorEastAsia"/>
                <w:b w:val="0"/>
                <w:bCs w:val="0"/>
                <w:sz w:val="24"/>
                <w:szCs w:val="24"/>
                <w:highlight w:val="none"/>
                <w:lang w:val="en-US" w:eastAsia="zh-CN"/>
              </w:rPr>
            </w:pPr>
            <w:r>
              <w:rPr>
                <w:rFonts w:hint="eastAsia" w:asciiTheme="minorEastAsia" w:hAnsiTheme="minorEastAsia"/>
                <w:b/>
                <w:bCs/>
                <w:sz w:val="24"/>
                <w:szCs w:val="24"/>
                <w:highlight w:val="none"/>
              </w:rPr>
              <w:t>答：</w:t>
            </w:r>
            <w:r>
              <w:rPr>
                <w:rFonts w:hint="eastAsia" w:asciiTheme="minorEastAsia" w:hAnsiTheme="minorEastAsia"/>
                <w:b w:val="0"/>
                <w:bCs w:val="0"/>
                <w:sz w:val="24"/>
                <w:szCs w:val="24"/>
                <w:highlight w:val="none"/>
              </w:rPr>
              <w:t>尊敬的投资者，您好！公司始终严格按照中国证监会、上海证券交易所关于上市公司信息披露的相关规定以及公司内部信息披露管理制度的要求，履行信息披露义务，确保披露内容的真实、准确、完整、及时。对于体育赛事等具体业务的经营进展和财务表现，公司会在定期报告中按照相关披露准则进行列示和说明；达到披露标准的重要事项，公司也将通过临时公告或自愿性披露的方式及时向市场传达。在投资者关系管理方面，公司一贯重视与投资者的沟通交流，未来将持续通过业绩说明会、投资者调研接待、互动平台回复等多种渠道，保持与市场的常态化沟通，积极传递公司经营动态和战略方向。感谢您的关注！</w:t>
            </w:r>
          </w:p>
          <w:p w14:paraId="6530B56A">
            <w:pPr>
              <w:adjustRightInd w:val="0"/>
              <w:snapToGrid w:val="0"/>
              <w:spacing w:line="360" w:lineRule="auto"/>
              <w:jc w:val="both"/>
              <w:rPr>
                <w:rFonts w:hint="eastAsia" w:asciiTheme="minorEastAsia" w:hAnsiTheme="minorEastAsia"/>
                <w:b w:val="0"/>
                <w:bCs w:val="0"/>
                <w:sz w:val="24"/>
                <w:szCs w:val="24"/>
                <w:highlight w:val="none"/>
              </w:rPr>
            </w:pPr>
          </w:p>
          <w:p w14:paraId="22D1F1D7">
            <w:pPr>
              <w:adjustRightInd w:val="0"/>
              <w:snapToGrid w:val="0"/>
              <w:spacing w:line="360" w:lineRule="auto"/>
              <w:jc w:val="both"/>
              <w:rPr>
                <w:rFonts w:hint="eastAsia" w:asciiTheme="minorEastAsia" w:hAnsiTheme="minorEastAsia"/>
                <w:b w:val="0"/>
                <w:bCs w:val="0"/>
                <w:sz w:val="24"/>
                <w:szCs w:val="24"/>
                <w:highlight w:val="none"/>
              </w:rPr>
            </w:pPr>
          </w:p>
        </w:tc>
      </w:tr>
      <w:tr w14:paraId="462B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360A5A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heme="minorEastAsia" w:hAnsiTheme="minorEastAsia" w:eastAsiaTheme="minorEastAsia"/>
                <w:bCs/>
                <w:iCs/>
                <w:color w:val="000000"/>
                <w:sz w:val="24"/>
                <w:szCs w:val="24"/>
              </w:rPr>
            </w:pPr>
            <w:r>
              <w:rPr>
                <w:rFonts w:hint="eastAsia" w:asciiTheme="minorEastAsia" w:hAnsiTheme="minorEastAsia" w:eastAsiaTheme="minorEastAsia"/>
                <w:bCs/>
                <w:iCs/>
                <w:color w:val="000000"/>
                <w:sz w:val="24"/>
                <w:szCs w:val="24"/>
              </w:rPr>
              <w:t>关于本次活动是否涉及应披露重大信息的说明</w:t>
            </w:r>
          </w:p>
        </w:tc>
        <w:tc>
          <w:tcPr>
            <w:tcW w:w="6458" w:type="dxa"/>
            <w:tcBorders>
              <w:top w:val="single" w:color="auto" w:sz="4" w:space="0"/>
              <w:left w:val="single" w:color="auto" w:sz="4" w:space="0"/>
              <w:bottom w:val="single" w:color="auto" w:sz="4" w:space="0"/>
              <w:right w:val="single" w:color="auto" w:sz="4" w:space="0"/>
            </w:tcBorders>
            <w:shd w:val="clear" w:color="auto" w:fill="auto"/>
            <w:vAlign w:val="center"/>
          </w:tcPr>
          <w:p w14:paraId="2DC05289">
            <w:pPr>
              <w:adjustRightInd w:val="0"/>
              <w:snapToGrid w:val="0"/>
              <w:spacing w:line="360" w:lineRule="auto"/>
              <w:rPr>
                <w:rFonts w:asciiTheme="minorEastAsia" w:hAnsiTheme="minorEastAsia" w:eastAsiaTheme="minorEastAsia"/>
                <w:bCs/>
                <w:iCs/>
                <w:color w:val="000000"/>
                <w:sz w:val="24"/>
                <w:szCs w:val="24"/>
              </w:rPr>
            </w:pPr>
            <w:r>
              <w:rPr>
                <w:rFonts w:hint="eastAsia" w:asciiTheme="minorEastAsia" w:hAnsiTheme="minorEastAsia" w:eastAsiaTheme="minorEastAsia"/>
                <w:sz w:val="24"/>
                <w:szCs w:val="24"/>
                <w:lang w:eastAsia="zh-CN"/>
              </w:rPr>
              <w:t>交流</w:t>
            </w:r>
            <w:r>
              <w:rPr>
                <w:rFonts w:hint="eastAsia" w:asciiTheme="minorEastAsia" w:hAnsiTheme="minorEastAsia" w:eastAsiaTheme="minorEastAsia"/>
                <w:sz w:val="24"/>
                <w:szCs w:val="24"/>
              </w:rPr>
              <w:t>过程中，公司严格按照有关制度要求，没有出现未公开重大信息泄露等情况。</w:t>
            </w:r>
          </w:p>
        </w:tc>
      </w:tr>
    </w:tbl>
    <w:p w14:paraId="7E0C2EFC">
      <w:pPr>
        <w:spacing w:line="560" w:lineRule="exact"/>
        <w:rPr>
          <w:rFonts w:ascii="仿宋" w:hAnsi="仿宋" w:eastAsia="仿宋"/>
          <w:color w:val="00000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8FDB0">
    <w:pPr>
      <w:pStyle w:val="4"/>
      <w:jc w:val="center"/>
    </w:pPr>
  </w:p>
  <w:p w14:paraId="18B93EB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5YTIzYjRiNzQyOGIwZjgyOTNlOGVkMzYxMDJlOGUifQ=="/>
  </w:docVars>
  <w:rsids>
    <w:rsidRoot w:val="00534EC7"/>
    <w:rsid w:val="00000760"/>
    <w:rsid w:val="00017330"/>
    <w:rsid w:val="00020FEE"/>
    <w:rsid w:val="00021249"/>
    <w:rsid w:val="000217CC"/>
    <w:rsid w:val="00036C31"/>
    <w:rsid w:val="00040B0B"/>
    <w:rsid w:val="00047460"/>
    <w:rsid w:val="000534FF"/>
    <w:rsid w:val="0005646B"/>
    <w:rsid w:val="000570DC"/>
    <w:rsid w:val="00061133"/>
    <w:rsid w:val="00071393"/>
    <w:rsid w:val="000850E0"/>
    <w:rsid w:val="00090D31"/>
    <w:rsid w:val="0009135D"/>
    <w:rsid w:val="00096403"/>
    <w:rsid w:val="000B616A"/>
    <w:rsid w:val="000B6D71"/>
    <w:rsid w:val="000C0420"/>
    <w:rsid w:val="000C19BA"/>
    <w:rsid w:val="000C4C0C"/>
    <w:rsid w:val="000C52C5"/>
    <w:rsid w:val="000D6EEC"/>
    <w:rsid w:val="000E016E"/>
    <w:rsid w:val="000E03EE"/>
    <w:rsid w:val="000E41FD"/>
    <w:rsid w:val="000E46D1"/>
    <w:rsid w:val="000F3C01"/>
    <w:rsid w:val="00101B6B"/>
    <w:rsid w:val="00101E58"/>
    <w:rsid w:val="001038FD"/>
    <w:rsid w:val="001049D8"/>
    <w:rsid w:val="001224BC"/>
    <w:rsid w:val="00130FB3"/>
    <w:rsid w:val="00133DB5"/>
    <w:rsid w:val="00151D20"/>
    <w:rsid w:val="00155339"/>
    <w:rsid w:val="00157EA2"/>
    <w:rsid w:val="0016222E"/>
    <w:rsid w:val="001641E0"/>
    <w:rsid w:val="00172591"/>
    <w:rsid w:val="00177A98"/>
    <w:rsid w:val="001877B1"/>
    <w:rsid w:val="001D0D0B"/>
    <w:rsid w:val="001E4AF9"/>
    <w:rsid w:val="001F4C14"/>
    <w:rsid w:val="0020392E"/>
    <w:rsid w:val="002339BD"/>
    <w:rsid w:val="002350AC"/>
    <w:rsid w:val="00253294"/>
    <w:rsid w:val="00264E51"/>
    <w:rsid w:val="0029551D"/>
    <w:rsid w:val="00296064"/>
    <w:rsid w:val="00297CCB"/>
    <w:rsid w:val="002C1BE8"/>
    <w:rsid w:val="002C296A"/>
    <w:rsid w:val="002C5F88"/>
    <w:rsid w:val="002D0E08"/>
    <w:rsid w:val="002F2C8D"/>
    <w:rsid w:val="002F2D8C"/>
    <w:rsid w:val="002F4F0B"/>
    <w:rsid w:val="0030167B"/>
    <w:rsid w:val="00310141"/>
    <w:rsid w:val="00320369"/>
    <w:rsid w:val="00322DBA"/>
    <w:rsid w:val="00340453"/>
    <w:rsid w:val="003464F5"/>
    <w:rsid w:val="00347C77"/>
    <w:rsid w:val="00352BCB"/>
    <w:rsid w:val="00376505"/>
    <w:rsid w:val="00376B2F"/>
    <w:rsid w:val="00381E11"/>
    <w:rsid w:val="00385F13"/>
    <w:rsid w:val="00392FE0"/>
    <w:rsid w:val="003A53BB"/>
    <w:rsid w:val="003B0604"/>
    <w:rsid w:val="003B11B2"/>
    <w:rsid w:val="003B11C4"/>
    <w:rsid w:val="003B6D9E"/>
    <w:rsid w:val="003C5681"/>
    <w:rsid w:val="003D0493"/>
    <w:rsid w:val="003D3AF0"/>
    <w:rsid w:val="003D6140"/>
    <w:rsid w:val="003D715F"/>
    <w:rsid w:val="003F0D3D"/>
    <w:rsid w:val="003F1393"/>
    <w:rsid w:val="003F7368"/>
    <w:rsid w:val="003F7511"/>
    <w:rsid w:val="0040048E"/>
    <w:rsid w:val="004026EF"/>
    <w:rsid w:val="00404B8E"/>
    <w:rsid w:val="00404D87"/>
    <w:rsid w:val="00406DCD"/>
    <w:rsid w:val="004146FA"/>
    <w:rsid w:val="0042526C"/>
    <w:rsid w:val="0043137E"/>
    <w:rsid w:val="00436D53"/>
    <w:rsid w:val="00450949"/>
    <w:rsid w:val="00454C50"/>
    <w:rsid w:val="004641D2"/>
    <w:rsid w:val="00465195"/>
    <w:rsid w:val="0046708E"/>
    <w:rsid w:val="00474BFE"/>
    <w:rsid w:val="004758C4"/>
    <w:rsid w:val="004820FB"/>
    <w:rsid w:val="004845FF"/>
    <w:rsid w:val="004951B3"/>
    <w:rsid w:val="004952AC"/>
    <w:rsid w:val="004A2F83"/>
    <w:rsid w:val="004B1627"/>
    <w:rsid w:val="004B1C85"/>
    <w:rsid w:val="004B3739"/>
    <w:rsid w:val="004C12E4"/>
    <w:rsid w:val="004D5D8B"/>
    <w:rsid w:val="004F7080"/>
    <w:rsid w:val="005006EF"/>
    <w:rsid w:val="0050072E"/>
    <w:rsid w:val="0050536A"/>
    <w:rsid w:val="005107BE"/>
    <w:rsid w:val="00511D07"/>
    <w:rsid w:val="005307C1"/>
    <w:rsid w:val="00534EC7"/>
    <w:rsid w:val="00585797"/>
    <w:rsid w:val="00590E90"/>
    <w:rsid w:val="00591585"/>
    <w:rsid w:val="00593BFF"/>
    <w:rsid w:val="00594F2B"/>
    <w:rsid w:val="00595098"/>
    <w:rsid w:val="005B60A9"/>
    <w:rsid w:val="005B71F1"/>
    <w:rsid w:val="005C3518"/>
    <w:rsid w:val="005D5F2D"/>
    <w:rsid w:val="005E236E"/>
    <w:rsid w:val="005E4E09"/>
    <w:rsid w:val="005F15A9"/>
    <w:rsid w:val="005F229B"/>
    <w:rsid w:val="0060389B"/>
    <w:rsid w:val="00612FEE"/>
    <w:rsid w:val="00614381"/>
    <w:rsid w:val="006317A3"/>
    <w:rsid w:val="00643070"/>
    <w:rsid w:val="0064406A"/>
    <w:rsid w:val="006444E7"/>
    <w:rsid w:val="00651303"/>
    <w:rsid w:val="006529B5"/>
    <w:rsid w:val="00653185"/>
    <w:rsid w:val="00655CFE"/>
    <w:rsid w:val="00664B9B"/>
    <w:rsid w:val="00672FE9"/>
    <w:rsid w:val="00681B40"/>
    <w:rsid w:val="00696AAE"/>
    <w:rsid w:val="00697323"/>
    <w:rsid w:val="0069776F"/>
    <w:rsid w:val="006B3ABB"/>
    <w:rsid w:val="006B4337"/>
    <w:rsid w:val="006B78C9"/>
    <w:rsid w:val="006C2A3C"/>
    <w:rsid w:val="006C7957"/>
    <w:rsid w:val="006C7D25"/>
    <w:rsid w:val="006D3B78"/>
    <w:rsid w:val="006D5C12"/>
    <w:rsid w:val="006E359C"/>
    <w:rsid w:val="006F6D59"/>
    <w:rsid w:val="006F7454"/>
    <w:rsid w:val="00700F95"/>
    <w:rsid w:val="00701E0D"/>
    <w:rsid w:val="00714657"/>
    <w:rsid w:val="00717CD8"/>
    <w:rsid w:val="007229E7"/>
    <w:rsid w:val="007259C2"/>
    <w:rsid w:val="00734314"/>
    <w:rsid w:val="00736E19"/>
    <w:rsid w:val="007423AC"/>
    <w:rsid w:val="007459B0"/>
    <w:rsid w:val="00745D47"/>
    <w:rsid w:val="00751CCA"/>
    <w:rsid w:val="00756FD4"/>
    <w:rsid w:val="007602EB"/>
    <w:rsid w:val="00760F70"/>
    <w:rsid w:val="00760F78"/>
    <w:rsid w:val="00764C7B"/>
    <w:rsid w:val="00772232"/>
    <w:rsid w:val="007767AC"/>
    <w:rsid w:val="00782B9A"/>
    <w:rsid w:val="007870FF"/>
    <w:rsid w:val="007954EA"/>
    <w:rsid w:val="007A341F"/>
    <w:rsid w:val="007A438D"/>
    <w:rsid w:val="007A51E5"/>
    <w:rsid w:val="007A56FB"/>
    <w:rsid w:val="007B1D0B"/>
    <w:rsid w:val="007B444F"/>
    <w:rsid w:val="007D2DDF"/>
    <w:rsid w:val="007E480A"/>
    <w:rsid w:val="007E6063"/>
    <w:rsid w:val="007E7E36"/>
    <w:rsid w:val="00803137"/>
    <w:rsid w:val="00814EE5"/>
    <w:rsid w:val="008322D0"/>
    <w:rsid w:val="00832EA1"/>
    <w:rsid w:val="008339E8"/>
    <w:rsid w:val="00834BC5"/>
    <w:rsid w:val="00837906"/>
    <w:rsid w:val="008445DE"/>
    <w:rsid w:val="00855980"/>
    <w:rsid w:val="00856D91"/>
    <w:rsid w:val="008729B5"/>
    <w:rsid w:val="0087479E"/>
    <w:rsid w:val="00877228"/>
    <w:rsid w:val="008840A3"/>
    <w:rsid w:val="00884AD7"/>
    <w:rsid w:val="00886A5F"/>
    <w:rsid w:val="00893217"/>
    <w:rsid w:val="008963C2"/>
    <w:rsid w:val="00897A6D"/>
    <w:rsid w:val="008A0338"/>
    <w:rsid w:val="008A2F7F"/>
    <w:rsid w:val="008A635E"/>
    <w:rsid w:val="008A6560"/>
    <w:rsid w:val="008B10A2"/>
    <w:rsid w:val="008C2201"/>
    <w:rsid w:val="008C2CD5"/>
    <w:rsid w:val="008D0241"/>
    <w:rsid w:val="008D61B4"/>
    <w:rsid w:val="008E25B5"/>
    <w:rsid w:val="008F2FA9"/>
    <w:rsid w:val="00910595"/>
    <w:rsid w:val="009211B2"/>
    <w:rsid w:val="0092649C"/>
    <w:rsid w:val="00934F6B"/>
    <w:rsid w:val="009446A2"/>
    <w:rsid w:val="00961296"/>
    <w:rsid w:val="00967C4A"/>
    <w:rsid w:val="009721D7"/>
    <w:rsid w:val="009748A9"/>
    <w:rsid w:val="00975E41"/>
    <w:rsid w:val="00982812"/>
    <w:rsid w:val="00986B61"/>
    <w:rsid w:val="009875A5"/>
    <w:rsid w:val="009A7A77"/>
    <w:rsid w:val="009B0CE4"/>
    <w:rsid w:val="009B2449"/>
    <w:rsid w:val="009B3750"/>
    <w:rsid w:val="009B5F9C"/>
    <w:rsid w:val="009C7949"/>
    <w:rsid w:val="009D090F"/>
    <w:rsid w:val="009D4ABA"/>
    <w:rsid w:val="009D50AC"/>
    <w:rsid w:val="009D7FF0"/>
    <w:rsid w:val="009F3620"/>
    <w:rsid w:val="00A02E45"/>
    <w:rsid w:val="00A10272"/>
    <w:rsid w:val="00A10B2E"/>
    <w:rsid w:val="00A20B7D"/>
    <w:rsid w:val="00A32446"/>
    <w:rsid w:val="00A40573"/>
    <w:rsid w:val="00A462D8"/>
    <w:rsid w:val="00A5453E"/>
    <w:rsid w:val="00A80829"/>
    <w:rsid w:val="00A91A84"/>
    <w:rsid w:val="00A92284"/>
    <w:rsid w:val="00AA4A7F"/>
    <w:rsid w:val="00AB489B"/>
    <w:rsid w:val="00AB49E7"/>
    <w:rsid w:val="00AB4F12"/>
    <w:rsid w:val="00AB70B2"/>
    <w:rsid w:val="00AC1EFF"/>
    <w:rsid w:val="00AC5C1A"/>
    <w:rsid w:val="00AC6D19"/>
    <w:rsid w:val="00AD1147"/>
    <w:rsid w:val="00AD47A5"/>
    <w:rsid w:val="00AF4B2E"/>
    <w:rsid w:val="00AF7AEF"/>
    <w:rsid w:val="00B04AC2"/>
    <w:rsid w:val="00B15790"/>
    <w:rsid w:val="00B167A3"/>
    <w:rsid w:val="00B23C25"/>
    <w:rsid w:val="00B273EB"/>
    <w:rsid w:val="00B27F9A"/>
    <w:rsid w:val="00B534EF"/>
    <w:rsid w:val="00B614A6"/>
    <w:rsid w:val="00B618D8"/>
    <w:rsid w:val="00B6326B"/>
    <w:rsid w:val="00B756AB"/>
    <w:rsid w:val="00B7749C"/>
    <w:rsid w:val="00B9363C"/>
    <w:rsid w:val="00BB0971"/>
    <w:rsid w:val="00BB28BF"/>
    <w:rsid w:val="00BC2613"/>
    <w:rsid w:val="00BC276E"/>
    <w:rsid w:val="00BC46B8"/>
    <w:rsid w:val="00BD0D22"/>
    <w:rsid w:val="00BD1CE3"/>
    <w:rsid w:val="00BD429E"/>
    <w:rsid w:val="00BD5C43"/>
    <w:rsid w:val="00BE4DEC"/>
    <w:rsid w:val="00BE79CF"/>
    <w:rsid w:val="00BF25FB"/>
    <w:rsid w:val="00C312C2"/>
    <w:rsid w:val="00C369ED"/>
    <w:rsid w:val="00C44FE4"/>
    <w:rsid w:val="00C46976"/>
    <w:rsid w:val="00C52216"/>
    <w:rsid w:val="00C57BD2"/>
    <w:rsid w:val="00C608F8"/>
    <w:rsid w:val="00C72FDC"/>
    <w:rsid w:val="00C826B3"/>
    <w:rsid w:val="00C84FE7"/>
    <w:rsid w:val="00C925D1"/>
    <w:rsid w:val="00C958AE"/>
    <w:rsid w:val="00CA2592"/>
    <w:rsid w:val="00CA4537"/>
    <w:rsid w:val="00CA7701"/>
    <w:rsid w:val="00CB0A79"/>
    <w:rsid w:val="00CB1E33"/>
    <w:rsid w:val="00CB38AE"/>
    <w:rsid w:val="00CB54C8"/>
    <w:rsid w:val="00CB7E82"/>
    <w:rsid w:val="00CC1F6B"/>
    <w:rsid w:val="00CD0875"/>
    <w:rsid w:val="00CD7725"/>
    <w:rsid w:val="00CE547C"/>
    <w:rsid w:val="00CE6C8E"/>
    <w:rsid w:val="00CF09EF"/>
    <w:rsid w:val="00CF24AA"/>
    <w:rsid w:val="00D06009"/>
    <w:rsid w:val="00D104FA"/>
    <w:rsid w:val="00D15ABE"/>
    <w:rsid w:val="00D33C3B"/>
    <w:rsid w:val="00D342D7"/>
    <w:rsid w:val="00D42D1A"/>
    <w:rsid w:val="00D55C69"/>
    <w:rsid w:val="00D5720F"/>
    <w:rsid w:val="00D81B30"/>
    <w:rsid w:val="00D84A00"/>
    <w:rsid w:val="00D95328"/>
    <w:rsid w:val="00DC0D0B"/>
    <w:rsid w:val="00DC3FD9"/>
    <w:rsid w:val="00DC4EF4"/>
    <w:rsid w:val="00DD5F05"/>
    <w:rsid w:val="00DE1C1C"/>
    <w:rsid w:val="00DE3C2E"/>
    <w:rsid w:val="00DE5254"/>
    <w:rsid w:val="00DF669F"/>
    <w:rsid w:val="00E008AE"/>
    <w:rsid w:val="00E4008F"/>
    <w:rsid w:val="00E42879"/>
    <w:rsid w:val="00E50B1C"/>
    <w:rsid w:val="00E515B4"/>
    <w:rsid w:val="00E6640E"/>
    <w:rsid w:val="00E67637"/>
    <w:rsid w:val="00E67E6E"/>
    <w:rsid w:val="00E72347"/>
    <w:rsid w:val="00E73609"/>
    <w:rsid w:val="00E920B5"/>
    <w:rsid w:val="00E93B15"/>
    <w:rsid w:val="00EA47AD"/>
    <w:rsid w:val="00EB0F3A"/>
    <w:rsid w:val="00EB2B16"/>
    <w:rsid w:val="00EB5CDF"/>
    <w:rsid w:val="00EB6DC9"/>
    <w:rsid w:val="00EE681B"/>
    <w:rsid w:val="00EF62A3"/>
    <w:rsid w:val="00F0499A"/>
    <w:rsid w:val="00F17B51"/>
    <w:rsid w:val="00F207DB"/>
    <w:rsid w:val="00F225F9"/>
    <w:rsid w:val="00F22C14"/>
    <w:rsid w:val="00F331BD"/>
    <w:rsid w:val="00F4071F"/>
    <w:rsid w:val="00F4097F"/>
    <w:rsid w:val="00F40C20"/>
    <w:rsid w:val="00F51431"/>
    <w:rsid w:val="00F57F21"/>
    <w:rsid w:val="00F60335"/>
    <w:rsid w:val="00F61C39"/>
    <w:rsid w:val="00F63D93"/>
    <w:rsid w:val="00F706BB"/>
    <w:rsid w:val="00F70E42"/>
    <w:rsid w:val="00F71CF3"/>
    <w:rsid w:val="00F7681B"/>
    <w:rsid w:val="00F85C28"/>
    <w:rsid w:val="00F970A4"/>
    <w:rsid w:val="00F97CC5"/>
    <w:rsid w:val="00FB0856"/>
    <w:rsid w:val="00FB4B4C"/>
    <w:rsid w:val="00FB50E6"/>
    <w:rsid w:val="00FD3711"/>
    <w:rsid w:val="00FE0070"/>
    <w:rsid w:val="00FE2604"/>
    <w:rsid w:val="00FE28FB"/>
    <w:rsid w:val="00FE66FE"/>
    <w:rsid w:val="00FF078A"/>
    <w:rsid w:val="00FF525C"/>
    <w:rsid w:val="00FF6100"/>
    <w:rsid w:val="018D561B"/>
    <w:rsid w:val="052A04BE"/>
    <w:rsid w:val="058D4CB4"/>
    <w:rsid w:val="0D364787"/>
    <w:rsid w:val="0FC8053D"/>
    <w:rsid w:val="113A653C"/>
    <w:rsid w:val="14784863"/>
    <w:rsid w:val="1B716F7D"/>
    <w:rsid w:val="1BAF6202"/>
    <w:rsid w:val="224464F7"/>
    <w:rsid w:val="22A00099"/>
    <w:rsid w:val="22F16BE4"/>
    <w:rsid w:val="24113884"/>
    <w:rsid w:val="24BA33E5"/>
    <w:rsid w:val="25CA5AB0"/>
    <w:rsid w:val="26E946A3"/>
    <w:rsid w:val="295916E5"/>
    <w:rsid w:val="2A44531A"/>
    <w:rsid w:val="2C9F3729"/>
    <w:rsid w:val="30ED3EAA"/>
    <w:rsid w:val="3EBD2850"/>
    <w:rsid w:val="40807FA6"/>
    <w:rsid w:val="45F66BC8"/>
    <w:rsid w:val="49FB156F"/>
    <w:rsid w:val="4AE91BED"/>
    <w:rsid w:val="4B3B61D9"/>
    <w:rsid w:val="5ECE111D"/>
    <w:rsid w:val="67B912C2"/>
    <w:rsid w:val="687F3E33"/>
    <w:rsid w:val="6925620C"/>
    <w:rsid w:val="6C05256A"/>
    <w:rsid w:val="6C3303D0"/>
    <w:rsid w:val="6CD25AAA"/>
    <w:rsid w:val="6E88626E"/>
    <w:rsid w:val="6EE47A54"/>
    <w:rsid w:val="738463A3"/>
    <w:rsid w:val="75103DA4"/>
    <w:rsid w:val="754B3B86"/>
    <w:rsid w:val="78532FC3"/>
    <w:rsid w:val="7E9E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rPr>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szCs w:val="20"/>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character" w:customStyle="1" w:styleId="15">
    <w:name w:val="批注主题 字符"/>
    <w:basedOn w:val="13"/>
    <w:link w:val="6"/>
    <w:semiHidden/>
    <w:qFormat/>
    <w:uiPriority w:val="99"/>
    <w:rPr>
      <w:rFonts w:ascii="Times New Roman" w:hAnsi="Times New Roman" w:eastAsia="宋体" w:cs="Times New Roman"/>
      <w:b/>
      <w:bCs/>
      <w:szCs w:val="20"/>
    </w:rPr>
  </w:style>
  <w:style w:type="character" w:customStyle="1" w:styleId="16">
    <w:name w:val="ng-binding"/>
    <w:basedOn w:val="8"/>
    <w:qFormat/>
    <w:uiPriority w:val="0"/>
  </w:style>
  <w:style w:type="paragraph" w:styleId="17">
    <w:name w:val="List Paragraph"/>
    <w:basedOn w:val="1"/>
    <w:qFormat/>
    <w:uiPriority w:val="34"/>
    <w:pPr>
      <w:ind w:firstLine="420" w:firstLineChars="200"/>
    </w:pPr>
  </w:style>
  <w:style w:type="paragraph" w:customStyle="1" w:styleId="18">
    <w:name w:val="Revision"/>
    <w:hidden/>
    <w:semiHidden/>
    <w:qFormat/>
    <w:uiPriority w:val="99"/>
    <w:rPr>
      <w:rFonts w:ascii="Times New Roman" w:hAnsi="Times New Roman" w:eastAsia="宋体" w:cs="Times New Roman"/>
      <w:kern w:val="2"/>
      <w:sz w:val="21"/>
      <w:szCs w:val="20"/>
      <w:lang w:val="en-US" w:eastAsia="zh-CN" w:bidi="ar-SA"/>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9294</Words>
  <Characters>9958</Characters>
  <Lines>22</Lines>
  <Paragraphs>6</Paragraphs>
  <TotalTime>8</TotalTime>
  <ScaleCrop>false</ScaleCrop>
  <LinksUpToDate>false</LinksUpToDate>
  <CharactersWithSpaces>10111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2024-09-20T01:53:00Z</dcterms:created>
  <dc:creator>王芳[fwang]</dc:creator>
  <cp:lastModifiedBy>pwq</cp:lastModifiedBy>
  <dcterms:modified xsi:type="dcterms:W3CDTF">2026-06-02T09:31:47Z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2052-12.1.0.25865</vt:lpwstr>
  </property>
  <property fmtid="{D5CDD505-2E9C-101B-9397-08002B2CF9AE}" pid="4" name="ICV">
    <vt:lpwstr>E3A40FBB2B0A48FBB8978799FBD3B520_13</vt:lpwstr>
  </property>
  <property fmtid="{D5CDD505-2E9C-101B-9397-08002B2CF9AE}" pid="5" name="KSOTemplateDocerSaveRecord">
    <vt:lpwstr>eyJoZGlkIjoiNDE4OWU0NGU4MmVjMzU0Yzg2OWE0YjRmMjQ4OTAyMzkiLCJ1c2VySWQiOiIyNzc2MjExOTQifQ==</vt:lpwstr>
  </property>
</Properties>
</file>