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5E267">
      <w:pPr>
        <w:pStyle w:val="2"/>
        <w:rPr>
          <w:rFonts w:ascii="宋体" w:hAnsi="宋体" w:eastAsia="宋体" w:cs="宋体"/>
          <w:sz w:val="20"/>
          <w:szCs w:val="20"/>
          <w:lang w:val="en-US"/>
        </w:rPr>
      </w:pPr>
      <w:bookmarkStart w:id="0" w:name="_GoBack"/>
      <w:bookmarkEnd w:id="0"/>
      <w:r>
        <w:rPr>
          <w:rFonts w:hint="eastAsia" w:ascii="宋体" w:hAnsi="宋体" w:eastAsia="宋体" w:cs="宋体"/>
          <w:sz w:val="20"/>
          <w:szCs w:val="20"/>
          <w:lang w:val="en-US"/>
        </w:rPr>
        <w:t xml:space="preserve">证券代码：600872   </w:t>
      </w:r>
      <w:r>
        <w:rPr>
          <w:rFonts w:hint="eastAsia" w:ascii="宋体" w:hAnsi="宋体" w:eastAsia="宋体" w:cs="宋体"/>
          <w:sz w:val="21"/>
          <w:szCs w:val="21"/>
          <w:lang w:val="en-US"/>
        </w:rPr>
        <w:t xml:space="preserve">                                      </w:t>
      </w:r>
      <w:r>
        <w:rPr>
          <w:rFonts w:hint="eastAsia" w:ascii="宋体" w:hAnsi="宋体" w:eastAsia="宋体" w:cs="宋体"/>
          <w:sz w:val="20"/>
          <w:szCs w:val="20"/>
          <w:lang w:val="en-US"/>
        </w:rPr>
        <w:t>证券简称：中炬高新</w:t>
      </w:r>
    </w:p>
    <w:p w14:paraId="1C0A7367">
      <w:pPr>
        <w:spacing w:line="360" w:lineRule="auto"/>
        <w:jc w:val="center"/>
        <w:rPr>
          <w:rFonts w:ascii="宋体" w:hAnsi="宋体" w:eastAsia="宋体" w:cs="宋体"/>
          <w:b/>
          <w:bCs/>
          <w:sz w:val="44"/>
          <w:szCs w:val="44"/>
        </w:rPr>
      </w:pPr>
    </w:p>
    <w:p w14:paraId="4DF2C017">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中炬高新技术实业（集团）股份有限公司</w:t>
      </w:r>
    </w:p>
    <w:p w14:paraId="2791EF3A">
      <w:pPr>
        <w:spacing w:line="360" w:lineRule="auto"/>
        <w:jc w:val="center"/>
        <w:rPr>
          <w:rFonts w:ascii="宋体" w:hAnsi="宋体" w:eastAsia="宋体" w:cs="宋体"/>
          <w:sz w:val="44"/>
          <w:szCs w:val="44"/>
        </w:rPr>
      </w:pPr>
      <w:r>
        <w:rPr>
          <w:rFonts w:hint="eastAsia" w:ascii="宋体" w:hAnsi="宋体" w:eastAsia="宋体" w:cs="宋体"/>
          <w:b/>
          <w:bCs/>
          <w:sz w:val="44"/>
          <w:szCs w:val="44"/>
        </w:rPr>
        <w:t>投资者关系活动记录表</w:t>
      </w: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80"/>
        <w:gridCol w:w="5945"/>
      </w:tblGrid>
      <w:tr w14:paraId="62FC2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2580" w:type="dxa"/>
          </w:tcPr>
          <w:p w14:paraId="017202C6">
            <w:pPr>
              <w:pStyle w:val="15"/>
              <w:spacing w:before="7"/>
              <w:rPr>
                <w:rFonts w:ascii="宋体" w:hAnsi="宋体" w:eastAsia="宋体" w:cs="宋体"/>
                <w:b/>
                <w:bCs/>
                <w:sz w:val="20"/>
                <w:szCs w:val="20"/>
              </w:rPr>
            </w:pPr>
          </w:p>
          <w:p w14:paraId="1AD14896">
            <w:pPr>
              <w:pStyle w:val="15"/>
              <w:spacing w:before="1"/>
              <w:ind w:left="107"/>
              <w:rPr>
                <w:rFonts w:ascii="宋体" w:hAnsi="宋体" w:eastAsia="宋体" w:cs="宋体"/>
                <w:b/>
                <w:bCs/>
                <w:sz w:val="20"/>
                <w:szCs w:val="20"/>
              </w:rPr>
            </w:pPr>
            <w:r>
              <w:rPr>
                <w:rFonts w:hint="eastAsia" w:ascii="宋体" w:hAnsi="宋体" w:eastAsia="宋体" w:cs="宋体"/>
                <w:b/>
                <w:bCs/>
                <w:sz w:val="20"/>
                <w:szCs w:val="20"/>
              </w:rPr>
              <w:t>投资者关系活动类别</w:t>
            </w:r>
          </w:p>
        </w:tc>
        <w:tc>
          <w:tcPr>
            <w:tcW w:w="5945" w:type="dxa"/>
          </w:tcPr>
          <w:p w14:paraId="690648AB">
            <w:pPr>
              <w:pStyle w:val="15"/>
              <w:spacing w:before="7"/>
              <w:rPr>
                <w:rFonts w:ascii="宋体" w:hAnsi="宋体" w:eastAsia="宋体" w:cs="宋体"/>
                <w:sz w:val="20"/>
                <w:szCs w:val="20"/>
              </w:rPr>
            </w:pPr>
          </w:p>
          <w:p w14:paraId="06FCCFD8">
            <w:pPr>
              <w:pStyle w:val="15"/>
              <w:tabs>
                <w:tab w:val="left" w:pos="2418"/>
              </w:tabs>
              <w:spacing w:before="1"/>
              <w:ind w:left="107"/>
              <w:rPr>
                <w:rFonts w:ascii="宋体" w:hAnsi="宋体" w:eastAsia="宋体" w:cs="宋体"/>
                <w:sz w:val="20"/>
                <w:szCs w:val="20"/>
              </w:rPr>
            </w:pPr>
            <w:sdt>
              <w:sdtPr>
                <w:rPr>
                  <w:rFonts w:hint="eastAsia" w:ascii="宋体" w:hAnsi="宋体" w:eastAsia="宋体" w:cs="宋体"/>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特</w:t>
            </w:r>
            <w:r>
              <w:rPr>
                <w:rFonts w:hint="eastAsia" w:ascii="宋体" w:hAnsi="宋体" w:eastAsia="宋体" w:cs="宋体"/>
                <w:spacing w:val="-3"/>
                <w:sz w:val="20"/>
                <w:szCs w:val="20"/>
              </w:rPr>
              <w:t>定</w:t>
            </w:r>
            <w:r>
              <w:rPr>
                <w:rFonts w:hint="eastAsia" w:ascii="宋体" w:hAnsi="宋体" w:eastAsia="宋体" w:cs="宋体"/>
                <w:sz w:val="20"/>
                <w:szCs w:val="20"/>
              </w:rPr>
              <w:t>对</w:t>
            </w:r>
            <w:r>
              <w:rPr>
                <w:rFonts w:hint="eastAsia" w:ascii="宋体" w:hAnsi="宋体" w:eastAsia="宋体" w:cs="宋体"/>
                <w:spacing w:val="-3"/>
                <w:sz w:val="20"/>
                <w:szCs w:val="20"/>
              </w:rPr>
              <w:t>象</w:t>
            </w:r>
            <w:r>
              <w:rPr>
                <w:rFonts w:hint="eastAsia" w:ascii="宋体" w:hAnsi="宋体" w:eastAsia="宋体" w:cs="宋体"/>
                <w:sz w:val="20"/>
                <w:szCs w:val="20"/>
              </w:rPr>
              <w:t>调研</w:t>
            </w:r>
            <w:r>
              <w:rPr>
                <w:rFonts w:hint="eastAsia" w:ascii="宋体" w:hAnsi="宋体" w:eastAsia="宋体" w:cs="宋体"/>
                <w:sz w:val="20"/>
                <w:szCs w:val="20"/>
              </w:rPr>
              <w:tab/>
            </w:r>
            <w:sdt>
              <w:sdtPr>
                <w:rPr>
                  <w:rFonts w:hint="eastAsia" w:ascii="宋体" w:hAnsi="宋体" w:eastAsia="宋体" w:cs="宋体"/>
                  <w:sz w:val="20"/>
                  <w:szCs w:val="20"/>
                </w:rPr>
                <w:id w:val="-416875725"/>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分</w:t>
            </w:r>
            <w:r>
              <w:rPr>
                <w:rFonts w:hint="eastAsia" w:ascii="宋体" w:hAnsi="宋体" w:eastAsia="宋体" w:cs="宋体"/>
                <w:spacing w:val="-3"/>
                <w:sz w:val="20"/>
                <w:szCs w:val="20"/>
              </w:rPr>
              <w:t>析</w:t>
            </w:r>
            <w:r>
              <w:rPr>
                <w:rFonts w:hint="eastAsia" w:ascii="宋体" w:hAnsi="宋体" w:eastAsia="宋体" w:cs="宋体"/>
                <w:sz w:val="20"/>
                <w:szCs w:val="20"/>
              </w:rPr>
              <w:t>师</w:t>
            </w:r>
            <w:r>
              <w:rPr>
                <w:rFonts w:hint="eastAsia" w:ascii="宋体" w:hAnsi="宋体" w:eastAsia="宋体" w:cs="宋体"/>
                <w:spacing w:val="-3"/>
                <w:sz w:val="20"/>
                <w:szCs w:val="20"/>
              </w:rPr>
              <w:t>会</w:t>
            </w:r>
            <w:r>
              <w:rPr>
                <w:rFonts w:hint="eastAsia" w:ascii="宋体" w:hAnsi="宋体" w:eastAsia="宋体" w:cs="宋体"/>
                <w:sz w:val="20"/>
                <w:szCs w:val="20"/>
              </w:rPr>
              <w:t>议</w:t>
            </w:r>
          </w:p>
          <w:p w14:paraId="3C6E6F02">
            <w:pPr>
              <w:pStyle w:val="15"/>
              <w:spacing w:before="11"/>
              <w:rPr>
                <w:rFonts w:ascii="宋体" w:hAnsi="宋体" w:eastAsia="宋体" w:cs="宋体"/>
                <w:sz w:val="20"/>
                <w:szCs w:val="20"/>
              </w:rPr>
            </w:pPr>
          </w:p>
          <w:p w14:paraId="042A5184">
            <w:pPr>
              <w:pStyle w:val="15"/>
              <w:tabs>
                <w:tab w:val="left" w:pos="2418"/>
              </w:tabs>
              <w:ind w:left="107"/>
              <w:rPr>
                <w:rFonts w:ascii="宋体" w:hAnsi="宋体" w:eastAsia="宋体" w:cs="宋体"/>
                <w:sz w:val="20"/>
                <w:szCs w:val="20"/>
              </w:rPr>
            </w:pPr>
            <w:sdt>
              <w:sdtPr>
                <w:rPr>
                  <w:rFonts w:hint="eastAsia" w:ascii="宋体" w:hAnsi="宋体" w:eastAsia="宋体" w:cs="宋体"/>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媒</w:t>
            </w:r>
            <w:r>
              <w:rPr>
                <w:rFonts w:hint="eastAsia" w:ascii="宋体" w:hAnsi="宋体" w:eastAsia="宋体" w:cs="宋体"/>
                <w:spacing w:val="-3"/>
                <w:sz w:val="20"/>
                <w:szCs w:val="20"/>
              </w:rPr>
              <w:t>体</w:t>
            </w:r>
            <w:r>
              <w:rPr>
                <w:rFonts w:hint="eastAsia" w:ascii="宋体" w:hAnsi="宋体" w:eastAsia="宋体" w:cs="宋体"/>
                <w:sz w:val="20"/>
                <w:szCs w:val="20"/>
              </w:rPr>
              <w:t>采访</w:t>
            </w:r>
            <w:r>
              <w:rPr>
                <w:rFonts w:hint="eastAsia" w:ascii="宋体" w:hAnsi="宋体" w:eastAsia="宋体" w:cs="宋体"/>
                <w:sz w:val="20"/>
                <w:szCs w:val="20"/>
              </w:rPr>
              <w:tab/>
            </w:r>
            <w:sdt>
              <w:sdtPr>
                <w:rPr>
                  <w:rFonts w:hint="eastAsia" w:ascii="宋体" w:hAnsi="宋体" w:eastAsia="宋体" w:cs="宋体"/>
                  <w:sz w:val="20"/>
                  <w:szCs w:val="20"/>
                </w:rPr>
                <w:id w:val="-66658901"/>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Wingdings 2" w:hAnsi="Wingdings 2" w:eastAsia="MS Gothic" w:cs="宋体"/>
                    <w:sz w:val="20"/>
                    <w:szCs w:val="20"/>
                    <w:lang w:val="zh-CN" w:eastAsia="zh-CN" w:bidi="zh-CN"/>
                  </w:rPr>
                  <w:t>R</w:t>
                </w:r>
              </w:sdtContent>
            </w:sdt>
            <w:r>
              <w:rPr>
                <w:rFonts w:hint="eastAsia" w:ascii="宋体" w:hAnsi="宋体" w:eastAsia="宋体" w:cs="宋体"/>
                <w:sz w:val="20"/>
                <w:szCs w:val="20"/>
              </w:rPr>
              <w:t>业</w:t>
            </w:r>
            <w:r>
              <w:rPr>
                <w:rFonts w:hint="eastAsia" w:ascii="宋体" w:hAnsi="宋体" w:eastAsia="宋体" w:cs="宋体"/>
                <w:spacing w:val="-3"/>
                <w:sz w:val="20"/>
                <w:szCs w:val="20"/>
              </w:rPr>
              <w:t>绩</w:t>
            </w:r>
            <w:r>
              <w:rPr>
                <w:rFonts w:hint="eastAsia" w:ascii="宋体" w:hAnsi="宋体" w:eastAsia="宋体" w:cs="宋体"/>
                <w:sz w:val="20"/>
                <w:szCs w:val="20"/>
              </w:rPr>
              <w:t>说</w:t>
            </w:r>
            <w:r>
              <w:rPr>
                <w:rFonts w:hint="eastAsia" w:ascii="宋体" w:hAnsi="宋体" w:eastAsia="宋体" w:cs="宋体"/>
                <w:spacing w:val="-3"/>
                <w:sz w:val="20"/>
                <w:szCs w:val="20"/>
              </w:rPr>
              <w:t>明</w:t>
            </w:r>
            <w:r>
              <w:rPr>
                <w:rFonts w:hint="eastAsia" w:ascii="宋体" w:hAnsi="宋体" w:eastAsia="宋体" w:cs="宋体"/>
                <w:sz w:val="20"/>
                <w:szCs w:val="20"/>
              </w:rPr>
              <w:t>会</w:t>
            </w:r>
          </w:p>
          <w:p w14:paraId="660E7E3B">
            <w:pPr>
              <w:pStyle w:val="15"/>
              <w:spacing w:before="8"/>
              <w:rPr>
                <w:rFonts w:ascii="宋体" w:hAnsi="宋体" w:eastAsia="宋体" w:cs="宋体"/>
                <w:sz w:val="20"/>
                <w:szCs w:val="20"/>
              </w:rPr>
            </w:pPr>
          </w:p>
          <w:p w14:paraId="3C11CA91">
            <w:pPr>
              <w:pStyle w:val="15"/>
              <w:tabs>
                <w:tab w:val="left" w:pos="2418"/>
              </w:tabs>
              <w:ind w:left="107"/>
              <w:rPr>
                <w:rFonts w:ascii="宋体" w:hAnsi="宋体" w:eastAsia="宋体" w:cs="宋体"/>
                <w:sz w:val="20"/>
                <w:szCs w:val="20"/>
              </w:rPr>
            </w:pPr>
            <w:sdt>
              <w:sdtPr>
                <w:rPr>
                  <w:rFonts w:hint="eastAsia" w:ascii="宋体" w:hAnsi="宋体" w:eastAsia="宋体" w:cs="宋体"/>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新</w:t>
            </w:r>
            <w:r>
              <w:rPr>
                <w:rFonts w:hint="eastAsia" w:ascii="宋体" w:hAnsi="宋体" w:eastAsia="宋体" w:cs="宋体"/>
                <w:spacing w:val="-3"/>
                <w:sz w:val="20"/>
                <w:szCs w:val="20"/>
              </w:rPr>
              <w:t>闻</w:t>
            </w:r>
            <w:r>
              <w:rPr>
                <w:rFonts w:hint="eastAsia" w:ascii="宋体" w:hAnsi="宋体" w:eastAsia="宋体" w:cs="宋体"/>
                <w:sz w:val="20"/>
                <w:szCs w:val="20"/>
              </w:rPr>
              <w:t>发</w:t>
            </w:r>
            <w:r>
              <w:rPr>
                <w:rFonts w:hint="eastAsia" w:ascii="宋体" w:hAnsi="宋体" w:eastAsia="宋体" w:cs="宋体"/>
                <w:spacing w:val="-3"/>
                <w:sz w:val="20"/>
                <w:szCs w:val="20"/>
              </w:rPr>
              <w:t>布</w:t>
            </w:r>
            <w:r>
              <w:rPr>
                <w:rFonts w:hint="eastAsia" w:ascii="宋体" w:hAnsi="宋体" w:eastAsia="宋体" w:cs="宋体"/>
                <w:sz w:val="20"/>
                <w:szCs w:val="20"/>
              </w:rPr>
              <w:t>会</w:t>
            </w:r>
            <w:r>
              <w:rPr>
                <w:rFonts w:hint="eastAsia" w:ascii="宋体" w:hAnsi="宋体" w:eastAsia="宋体" w:cs="宋体"/>
                <w:sz w:val="20"/>
                <w:szCs w:val="20"/>
              </w:rPr>
              <w:tab/>
            </w:r>
            <w:sdt>
              <w:sdtPr>
                <w:rPr>
                  <w:rFonts w:hint="eastAsia" w:ascii="宋体" w:hAnsi="宋体" w:eastAsia="宋体" w:cs="宋体"/>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路</w:t>
            </w:r>
            <w:r>
              <w:rPr>
                <w:rFonts w:hint="eastAsia" w:ascii="宋体" w:hAnsi="宋体" w:eastAsia="宋体" w:cs="宋体"/>
                <w:spacing w:val="-3"/>
                <w:sz w:val="20"/>
                <w:szCs w:val="20"/>
              </w:rPr>
              <w:t>演</w:t>
            </w:r>
            <w:r>
              <w:rPr>
                <w:rFonts w:hint="eastAsia" w:ascii="宋体" w:hAnsi="宋体" w:eastAsia="宋体" w:cs="宋体"/>
                <w:sz w:val="20"/>
                <w:szCs w:val="20"/>
              </w:rPr>
              <w:t>活动</w:t>
            </w:r>
          </w:p>
          <w:p w14:paraId="0747A2B6">
            <w:pPr>
              <w:pStyle w:val="15"/>
              <w:spacing w:before="8"/>
              <w:rPr>
                <w:rFonts w:ascii="宋体" w:hAnsi="宋体" w:eastAsia="宋体" w:cs="宋体"/>
                <w:sz w:val="20"/>
                <w:szCs w:val="20"/>
              </w:rPr>
            </w:pPr>
          </w:p>
          <w:p w14:paraId="1A0A36F9">
            <w:pPr>
              <w:pStyle w:val="15"/>
              <w:ind w:left="107"/>
              <w:rPr>
                <w:rFonts w:ascii="宋体" w:hAnsi="宋体" w:eastAsia="宋体" w:cs="宋体"/>
                <w:sz w:val="20"/>
                <w:szCs w:val="20"/>
              </w:rPr>
            </w:pPr>
            <w:sdt>
              <w:sdtPr>
                <w:rPr>
                  <w:rFonts w:hint="eastAsia" w:ascii="宋体" w:hAnsi="宋体" w:eastAsia="宋体" w:cs="宋体"/>
                  <w:sz w:val="20"/>
                  <w:szCs w:val="20"/>
                </w:rPr>
                <w:id w:val="-133336691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lang w:val="zh-CN" w:eastAsia="zh-CN" w:bidi="zh-CN"/>
                  </w:rPr>
                  <w:t>☐</w:t>
                </w:r>
              </w:sdtContent>
            </w:sdt>
            <w:r>
              <w:rPr>
                <w:rFonts w:hint="eastAsia" w:ascii="宋体" w:hAnsi="宋体" w:eastAsia="宋体" w:cs="宋体"/>
                <w:sz w:val="20"/>
                <w:szCs w:val="20"/>
              </w:rPr>
              <w:t>现场参观</w:t>
            </w:r>
          </w:p>
          <w:p w14:paraId="0DDCC22C">
            <w:pPr>
              <w:pStyle w:val="15"/>
              <w:spacing w:before="11"/>
              <w:rPr>
                <w:rFonts w:ascii="宋体" w:hAnsi="宋体" w:eastAsia="宋体" w:cs="宋体"/>
                <w:sz w:val="20"/>
                <w:szCs w:val="20"/>
              </w:rPr>
            </w:pPr>
          </w:p>
          <w:p w14:paraId="355E33F6">
            <w:pPr>
              <w:pStyle w:val="15"/>
              <w:ind w:left="107"/>
              <w:rPr>
                <w:rFonts w:ascii="宋体" w:hAnsi="宋体" w:eastAsia="宋体" w:cs="宋体"/>
                <w:sz w:val="20"/>
                <w:szCs w:val="20"/>
              </w:rPr>
            </w:pPr>
            <w:sdt>
              <w:sdtPr>
                <w:rPr>
                  <w:rFonts w:hint="eastAsia" w:ascii="宋体" w:hAnsi="宋体" w:eastAsia="宋体" w:cs="宋体"/>
                  <w:sz w:val="20"/>
                  <w:szCs w:val="20"/>
                </w:rPr>
                <w:id w:val="400885218"/>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lang w:val="zh-CN" w:eastAsia="zh-CN" w:bidi="zh-CN"/>
                  </w:rPr>
                  <w:t>☐</w:t>
                </w:r>
              </w:sdtContent>
            </w:sdt>
            <w:r>
              <w:rPr>
                <w:rFonts w:hint="eastAsia" w:ascii="宋体" w:hAnsi="宋体" w:eastAsia="宋体" w:cs="宋体"/>
                <w:sz w:val="20"/>
                <w:szCs w:val="20"/>
              </w:rPr>
              <w:t>其他</w:t>
            </w:r>
          </w:p>
        </w:tc>
      </w:tr>
      <w:tr w14:paraId="625F9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6CF34CDF">
            <w:pPr>
              <w:pStyle w:val="15"/>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时间</w:t>
            </w:r>
          </w:p>
        </w:tc>
        <w:tc>
          <w:tcPr>
            <w:tcW w:w="5945" w:type="dxa"/>
            <w:vAlign w:val="center"/>
          </w:tcPr>
          <w:p w14:paraId="505B6458">
            <w:pPr>
              <w:spacing w:before="100" w:beforeAutospacing="1" w:line="360" w:lineRule="auto"/>
              <w:rPr>
                <w:rFonts w:hint="default" w:eastAsiaTheme="minorEastAsia"/>
                <w:sz w:val="20"/>
                <w:szCs w:val="20"/>
                <w:lang w:val="en-US" w:eastAsia="zh-CN"/>
              </w:rPr>
            </w:pPr>
            <w:r>
              <w:rPr>
                <w:rFonts w:hint="eastAsia" w:asciiTheme="minorEastAsia" w:hAnsiTheme="minorEastAsia" w:eastAsiaTheme="minorEastAsia" w:cstheme="minorEastAsia"/>
                <w:sz w:val="20"/>
                <w:szCs w:val="20"/>
              </w:rPr>
              <w:t>202</w:t>
            </w:r>
            <w:r>
              <w:rPr>
                <w:rFonts w:hint="eastAsia" w:asciiTheme="minorEastAsia" w:hAnsiTheme="minorEastAsia" w:eastAsiaTheme="minorEastAsia" w:cstheme="minorEastAsia"/>
                <w:sz w:val="20"/>
                <w:szCs w:val="20"/>
                <w:lang w:val="en-US"/>
              </w:rPr>
              <w:t>6</w:t>
            </w:r>
            <w:r>
              <w:rPr>
                <w:rFonts w:hint="eastAsia" w:asciiTheme="minorEastAsia" w:hAnsiTheme="minorEastAsia" w:eastAsiaTheme="minorEastAsia" w:cstheme="minorEastAsia"/>
                <w:sz w:val="20"/>
                <w:szCs w:val="20"/>
              </w:rPr>
              <w:t>年</w:t>
            </w:r>
            <w:r>
              <w:rPr>
                <w:rFonts w:hint="eastAsia" w:asciiTheme="minorEastAsia" w:hAnsiTheme="minorEastAsia" w:eastAsiaTheme="minorEastAsia" w:cstheme="minorEastAsia"/>
                <w:sz w:val="20"/>
                <w:szCs w:val="20"/>
                <w:lang w:val="en-US" w:eastAsia="zh-CN"/>
              </w:rPr>
              <w:t>6</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2</w:t>
            </w:r>
            <w:r>
              <w:rPr>
                <w:rFonts w:hint="eastAsia" w:asciiTheme="minorEastAsia" w:hAnsiTheme="minorEastAsia" w:eastAsiaTheme="minorEastAsia" w:cstheme="minorEastAsia"/>
                <w:sz w:val="20"/>
                <w:szCs w:val="20"/>
              </w:rPr>
              <w:t xml:space="preserve">日 </w:t>
            </w:r>
            <w:r>
              <w:rPr>
                <w:rFonts w:hint="eastAsia" w:asciiTheme="minorEastAsia" w:hAnsiTheme="minorEastAsia" w:eastAsiaTheme="minorEastAsia" w:cstheme="minorEastAsia"/>
                <w:sz w:val="20"/>
                <w:szCs w:val="20"/>
                <w:lang w:val="en-US" w:eastAsia="zh-CN"/>
              </w:rPr>
              <w:t>10</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00</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11</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00</w:t>
            </w:r>
          </w:p>
        </w:tc>
      </w:tr>
      <w:tr w14:paraId="03EB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580" w:type="dxa"/>
            <w:vAlign w:val="center"/>
          </w:tcPr>
          <w:p w14:paraId="5EF49E3B">
            <w:pPr>
              <w:pStyle w:val="15"/>
              <w:ind w:left="107"/>
              <w:rPr>
                <w:rFonts w:hint="default" w:cs="宋体" w:asciiTheme="minorEastAsia" w:hAnsiTheme="minorEastAsia" w:eastAsiaTheme="minorEastAsia"/>
                <w:b/>
                <w:bCs/>
                <w:sz w:val="20"/>
                <w:szCs w:val="20"/>
                <w:lang w:val="en-US" w:eastAsia="zh-CN"/>
              </w:rPr>
            </w:pPr>
            <w:r>
              <w:rPr>
                <w:rFonts w:hint="eastAsia" w:cs="宋体" w:asciiTheme="minorEastAsia" w:hAnsiTheme="minorEastAsia" w:eastAsiaTheme="minorEastAsia"/>
                <w:b/>
                <w:bCs/>
                <w:sz w:val="20"/>
                <w:szCs w:val="20"/>
                <w:lang w:val="en-US" w:eastAsia="zh-CN"/>
              </w:rPr>
              <w:t>交流平台</w:t>
            </w:r>
          </w:p>
        </w:tc>
        <w:tc>
          <w:tcPr>
            <w:tcW w:w="5945" w:type="dxa"/>
            <w:vAlign w:val="center"/>
          </w:tcPr>
          <w:p w14:paraId="64E4A36C">
            <w:pPr>
              <w:pStyle w:val="15"/>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cs="宋体" w:asciiTheme="minorEastAsia" w:hAnsiTheme="minorEastAsia" w:eastAsiaTheme="minorEastAsia"/>
                <w:sz w:val="20"/>
                <w:szCs w:val="20"/>
                <w:lang w:val="en-US" w:eastAsia="zh-CN"/>
              </w:rPr>
            </w:pPr>
            <w:r>
              <w:rPr>
                <w:rFonts w:hint="default" w:cs="宋体" w:asciiTheme="minorEastAsia" w:hAnsiTheme="minorEastAsia" w:eastAsiaTheme="minorEastAsia"/>
                <w:sz w:val="20"/>
                <w:szCs w:val="20"/>
                <w:lang w:val="en-US" w:eastAsia="zh-CN"/>
              </w:rPr>
              <w:t xml:space="preserve">上证路演中心 </w:t>
            </w:r>
            <w:r>
              <w:rPr>
                <w:rFonts w:hint="default" w:cs="宋体" w:asciiTheme="minorEastAsia" w:hAnsiTheme="minorEastAsia" w:eastAsiaTheme="minorEastAsia"/>
                <w:sz w:val="20"/>
                <w:szCs w:val="20"/>
                <w:lang w:val="en-US" w:eastAsia="zh-CN"/>
              </w:rPr>
              <w:fldChar w:fldCharType="begin"/>
            </w:r>
            <w:r>
              <w:rPr>
                <w:rFonts w:hint="default" w:cs="宋体" w:asciiTheme="minorEastAsia" w:hAnsiTheme="minorEastAsia" w:eastAsiaTheme="minorEastAsia"/>
                <w:sz w:val="20"/>
                <w:szCs w:val="20"/>
                <w:lang w:val="en-US" w:eastAsia="zh-CN"/>
              </w:rPr>
              <w:instrText xml:space="preserve"> HYPERLINK "https://roadshow.sseinfo.com" </w:instrText>
            </w:r>
            <w:r>
              <w:rPr>
                <w:rFonts w:hint="default" w:cs="宋体" w:asciiTheme="minorEastAsia" w:hAnsiTheme="minorEastAsia" w:eastAsiaTheme="minorEastAsia"/>
                <w:sz w:val="20"/>
                <w:szCs w:val="20"/>
                <w:lang w:val="en-US" w:eastAsia="zh-CN"/>
              </w:rPr>
              <w:fldChar w:fldCharType="separate"/>
            </w:r>
            <w:r>
              <w:rPr>
                <w:rFonts w:hint="default" w:cs="宋体" w:asciiTheme="minorEastAsia" w:hAnsiTheme="minorEastAsia" w:eastAsiaTheme="minorEastAsia"/>
                <w:sz w:val="20"/>
                <w:szCs w:val="20"/>
                <w:lang w:val="en-US" w:eastAsia="zh-CN"/>
              </w:rPr>
              <w:t>https://roadshow.sseinfo.com</w:t>
            </w:r>
            <w:r>
              <w:rPr>
                <w:rFonts w:hint="default" w:cs="宋体" w:asciiTheme="minorEastAsia" w:hAnsiTheme="minorEastAsia" w:eastAsiaTheme="minorEastAsia"/>
                <w:sz w:val="20"/>
                <w:szCs w:val="20"/>
                <w:lang w:val="en-US" w:eastAsia="zh-CN"/>
              </w:rPr>
              <w:fldChar w:fldCharType="end"/>
            </w:r>
          </w:p>
          <w:p w14:paraId="0F9D9871">
            <w:pPr>
              <w:pStyle w:val="15"/>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cs="宋体" w:asciiTheme="minorEastAsia" w:hAnsiTheme="minorEastAsia" w:eastAsiaTheme="minorEastAsia"/>
                <w:sz w:val="20"/>
                <w:szCs w:val="20"/>
                <w:lang w:val="en-US" w:eastAsia="zh-CN"/>
              </w:rPr>
            </w:pPr>
            <w:r>
              <w:rPr>
                <w:rFonts w:hint="default" w:cs="宋体" w:asciiTheme="minorEastAsia" w:hAnsiTheme="minorEastAsia" w:eastAsiaTheme="minorEastAsia"/>
                <w:sz w:val="20"/>
                <w:szCs w:val="20"/>
                <w:lang w:val="en-US" w:eastAsia="zh-CN"/>
              </w:rPr>
              <w:t>视频录播+网络文字互动</w:t>
            </w:r>
          </w:p>
        </w:tc>
      </w:tr>
      <w:tr w14:paraId="1C1B0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114A376E">
            <w:pPr>
              <w:pStyle w:val="15"/>
              <w:spacing w:before="1"/>
              <w:ind w:left="107"/>
              <w:rPr>
                <w:rFonts w:hint="default" w:ascii="宋体" w:hAnsi="宋体" w:eastAsia="宋体" w:cs="宋体"/>
                <w:b/>
                <w:bCs/>
                <w:sz w:val="20"/>
                <w:szCs w:val="20"/>
                <w:lang w:val="en-US" w:eastAsia="zh-CN"/>
              </w:rPr>
            </w:pPr>
            <w:r>
              <w:rPr>
                <w:rFonts w:hint="eastAsia" w:ascii="宋体" w:hAnsi="宋体" w:eastAsia="宋体" w:cs="宋体"/>
                <w:b/>
                <w:bCs/>
                <w:sz w:val="20"/>
                <w:szCs w:val="20"/>
                <w:lang w:val="en-US" w:eastAsia="zh-CN"/>
              </w:rPr>
              <w:t>参会人</w:t>
            </w:r>
          </w:p>
        </w:tc>
        <w:tc>
          <w:tcPr>
            <w:tcW w:w="5945" w:type="dxa"/>
            <w:vAlign w:val="center"/>
          </w:tcPr>
          <w:p w14:paraId="03B91DB0">
            <w:pPr>
              <w:spacing w:line="360" w:lineRule="auto"/>
              <w:rPr>
                <w:rFonts w:hint="eastAsia" w:cs="宋体" w:asciiTheme="minorEastAsia" w:hAnsiTheme="minorEastAsia" w:eastAsiaTheme="minorEastAsia"/>
                <w:sz w:val="20"/>
                <w:szCs w:val="20"/>
                <w:lang w:val="en-US" w:eastAsia="zh-CN" w:bidi="zh-CN"/>
              </w:rPr>
            </w:pPr>
            <w:r>
              <w:rPr>
                <w:rFonts w:hint="eastAsia" w:cs="宋体" w:asciiTheme="minorEastAsia" w:hAnsiTheme="minorEastAsia" w:eastAsiaTheme="minorEastAsia"/>
                <w:sz w:val="20"/>
                <w:szCs w:val="20"/>
                <w:lang w:val="en-US" w:eastAsia="zh-CN" w:bidi="zh-CN"/>
              </w:rPr>
              <w:t>董事长   黎汝雄</w:t>
            </w:r>
            <w:r>
              <w:rPr>
                <w:rFonts w:hint="eastAsia" w:cs="宋体" w:asciiTheme="minorEastAsia" w:hAnsiTheme="minorEastAsia" w:eastAsiaTheme="minorEastAsia"/>
                <w:sz w:val="20"/>
                <w:szCs w:val="20"/>
                <w:lang w:val="en-US" w:eastAsia="zh-CN" w:bidi="zh-CN"/>
              </w:rPr>
              <w:br w:type="textWrapping"/>
            </w:r>
            <w:r>
              <w:rPr>
                <w:rFonts w:hint="eastAsia" w:cs="宋体" w:asciiTheme="minorEastAsia" w:hAnsiTheme="minorEastAsia" w:eastAsiaTheme="minorEastAsia"/>
                <w:sz w:val="20"/>
                <w:szCs w:val="20"/>
                <w:lang w:val="en-US" w:eastAsia="zh-CN" w:bidi="zh-CN"/>
              </w:rPr>
              <w:t>副董事长 余健华</w:t>
            </w:r>
          </w:p>
          <w:p w14:paraId="2B5BAB50">
            <w:pPr>
              <w:spacing w:line="360" w:lineRule="auto"/>
              <w:rPr>
                <w:rFonts w:hint="eastAsia" w:cs="宋体" w:asciiTheme="minorEastAsia" w:hAnsiTheme="minorEastAsia" w:eastAsiaTheme="minorEastAsia"/>
                <w:sz w:val="20"/>
                <w:szCs w:val="20"/>
                <w:lang w:val="en-US" w:eastAsia="zh-CN" w:bidi="zh-CN"/>
              </w:rPr>
            </w:pPr>
            <w:r>
              <w:rPr>
                <w:rFonts w:hint="eastAsia" w:cs="宋体" w:asciiTheme="minorEastAsia" w:hAnsiTheme="minorEastAsia" w:eastAsiaTheme="minorEastAsia"/>
                <w:sz w:val="20"/>
                <w:szCs w:val="20"/>
                <w:lang w:val="en-US" w:eastAsia="zh-CN" w:bidi="zh-CN"/>
              </w:rPr>
              <w:t>独立董事 黄著文</w:t>
            </w:r>
            <w:r>
              <w:rPr>
                <w:rFonts w:hint="eastAsia" w:cs="宋体" w:asciiTheme="minorEastAsia" w:hAnsiTheme="minorEastAsia" w:eastAsiaTheme="minorEastAsia"/>
                <w:sz w:val="20"/>
                <w:szCs w:val="20"/>
                <w:lang w:val="en-US" w:eastAsia="zh-CN" w:bidi="zh-CN"/>
              </w:rPr>
              <w:br w:type="textWrapping"/>
            </w:r>
            <w:r>
              <w:rPr>
                <w:rFonts w:hint="eastAsia" w:cs="宋体" w:asciiTheme="minorEastAsia" w:hAnsiTheme="minorEastAsia" w:eastAsiaTheme="minorEastAsia"/>
                <w:sz w:val="20"/>
                <w:szCs w:val="20"/>
                <w:lang w:val="en-US" w:eastAsia="zh-CN" w:bidi="zh-CN"/>
              </w:rPr>
              <w:t>总经理   余向阳</w:t>
            </w:r>
            <w:r>
              <w:rPr>
                <w:rFonts w:hint="eastAsia" w:cs="宋体" w:asciiTheme="minorEastAsia" w:hAnsiTheme="minorEastAsia" w:eastAsiaTheme="minorEastAsia"/>
                <w:sz w:val="20"/>
                <w:szCs w:val="20"/>
                <w:lang w:val="en-US" w:eastAsia="zh-CN" w:bidi="zh-CN"/>
              </w:rPr>
              <w:br w:type="textWrapping"/>
            </w:r>
            <w:r>
              <w:rPr>
                <w:rFonts w:hint="eastAsia" w:cs="宋体" w:asciiTheme="minorEastAsia" w:hAnsiTheme="minorEastAsia" w:eastAsiaTheme="minorEastAsia"/>
                <w:sz w:val="20"/>
                <w:szCs w:val="20"/>
                <w:lang w:val="en-US" w:eastAsia="zh-CN" w:bidi="zh-CN"/>
              </w:rPr>
              <w:t>董事、常务副总经理兼财务负责人 林颖</w:t>
            </w:r>
          </w:p>
          <w:p w14:paraId="0E15DAB4">
            <w:pPr>
              <w:spacing w:line="360" w:lineRule="auto"/>
              <w:rPr>
                <w:rFonts w:hint="default" w:ascii="宋体" w:hAnsi="宋体" w:eastAsia="宋体" w:cs="宋体"/>
                <w:sz w:val="20"/>
                <w:szCs w:val="20"/>
                <w:lang w:val="en-US" w:eastAsia="zh-CN"/>
              </w:rPr>
            </w:pPr>
            <w:r>
              <w:rPr>
                <w:rFonts w:hint="eastAsia" w:cs="宋体" w:asciiTheme="minorEastAsia" w:hAnsiTheme="minorEastAsia" w:eastAsiaTheme="minorEastAsia"/>
                <w:sz w:val="20"/>
                <w:szCs w:val="20"/>
                <w:lang w:val="en-US" w:eastAsia="zh-CN" w:bidi="zh-CN"/>
              </w:rPr>
              <w:t>董事会秘书 余曼妮</w:t>
            </w:r>
          </w:p>
        </w:tc>
      </w:tr>
      <w:tr w14:paraId="22DA6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0" w:hRule="atLeast"/>
          <w:jc w:val="center"/>
        </w:trPr>
        <w:tc>
          <w:tcPr>
            <w:tcW w:w="2580" w:type="dxa"/>
          </w:tcPr>
          <w:p w14:paraId="1D021272">
            <w:pPr>
              <w:pStyle w:val="15"/>
              <w:rPr>
                <w:rFonts w:ascii="宋体" w:hAnsi="宋体" w:eastAsia="宋体" w:cs="宋体"/>
                <w:b/>
                <w:bCs/>
                <w:sz w:val="20"/>
                <w:szCs w:val="20"/>
              </w:rPr>
            </w:pPr>
          </w:p>
          <w:p w14:paraId="72DFE92B">
            <w:pPr>
              <w:pStyle w:val="15"/>
              <w:rPr>
                <w:rFonts w:ascii="宋体" w:hAnsi="宋体" w:eastAsia="宋体" w:cs="宋体"/>
                <w:b/>
                <w:bCs/>
                <w:sz w:val="20"/>
                <w:szCs w:val="20"/>
              </w:rPr>
            </w:pPr>
          </w:p>
          <w:p w14:paraId="3C61BB14">
            <w:pPr>
              <w:pStyle w:val="15"/>
              <w:spacing w:before="5"/>
              <w:rPr>
                <w:rFonts w:ascii="宋体" w:hAnsi="宋体" w:eastAsia="宋体" w:cs="宋体"/>
                <w:b/>
                <w:bCs/>
                <w:sz w:val="20"/>
                <w:szCs w:val="20"/>
              </w:rPr>
            </w:pPr>
          </w:p>
          <w:p w14:paraId="4E4E5A91">
            <w:pPr>
              <w:pStyle w:val="15"/>
              <w:spacing w:before="1" w:line="499" w:lineRule="auto"/>
              <w:ind w:left="107" w:right="96"/>
              <w:jc w:val="center"/>
              <w:rPr>
                <w:rFonts w:hint="eastAsia" w:ascii="宋体" w:hAnsi="宋体" w:eastAsia="宋体" w:cs="宋体"/>
                <w:b/>
                <w:bCs/>
                <w:sz w:val="20"/>
                <w:szCs w:val="20"/>
              </w:rPr>
            </w:pPr>
            <w:r>
              <w:rPr>
                <w:rFonts w:hint="eastAsia" w:ascii="宋体" w:hAnsi="宋体" w:eastAsia="宋体" w:cs="宋体"/>
                <w:b/>
                <w:bCs/>
                <w:sz w:val="20"/>
                <w:szCs w:val="20"/>
              </w:rPr>
              <w:t>投资者关系活动</w:t>
            </w:r>
          </w:p>
          <w:p w14:paraId="5C0DB98A">
            <w:pPr>
              <w:pStyle w:val="15"/>
              <w:spacing w:before="1" w:line="499" w:lineRule="auto"/>
              <w:ind w:left="107" w:right="96"/>
              <w:jc w:val="center"/>
              <w:rPr>
                <w:rFonts w:ascii="宋体" w:hAnsi="宋体" w:eastAsia="宋体" w:cs="宋体"/>
                <w:b/>
                <w:bCs/>
                <w:sz w:val="20"/>
                <w:szCs w:val="20"/>
              </w:rPr>
            </w:pPr>
            <w:r>
              <w:rPr>
                <w:rFonts w:hint="eastAsia" w:ascii="宋体" w:hAnsi="宋体" w:eastAsia="宋体" w:cs="宋体"/>
                <w:b/>
                <w:bCs/>
                <w:sz w:val="20"/>
                <w:szCs w:val="20"/>
              </w:rPr>
              <w:t>主要内容介绍</w:t>
            </w:r>
          </w:p>
        </w:tc>
        <w:tc>
          <w:tcPr>
            <w:tcW w:w="5945" w:type="dxa"/>
          </w:tcPr>
          <w:p w14:paraId="1A5CF960">
            <w:pPr>
              <w:numPr>
                <w:ilvl w:val="0"/>
                <w:numId w:val="0"/>
              </w:numPr>
              <w:spacing w:line="400" w:lineRule="exact"/>
              <w:ind w:firstLine="400"/>
              <w:jc w:val="both"/>
              <w:rPr>
                <w:rFonts w:hint="eastAsia" w:ascii="宋体" w:hAnsi="宋体" w:eastAsia="宋体" w:cs="宋体"/>
                <w:b/>
                <w:bCs/>
                <w:sz w:val="20"/>
                <w:szCs w:val="20"/>
                <w:lang w:eastAsia="zh-CN"/>
              </w:rPr>
            </w:pPr>
            <w:r>
              <w:rPr>
                <w:rFonts w:hint="default" w:ascii="宋体" w:hAnsi="宋体" w:eastAsia="宋体" w:cs="宋体"/>
                <w:b/>
                <w:bCs/>
                <w:sz w:val="20"/>
                <w:szCs w:val="20"/>
                <w:lang w:val="en-US"/>
              </w:rPr>
              <w:t>1、25年营收情况如何</w:t>
            </w:r>
            <w:r>
              <w:rPr>
                <w:rFonts w:hint="eastAsia" w:ascii="宋体" w:hAnsi="宋体" w:eastAsia="宋体" w:cs="宋体"/>
                <w:b/>
                <w:bCs/>
                <w:sz w:val="20"/>
                <w:szCs w:val="20"/>
                <w:lang w:val="en-US" w:eastAsia="zh-CN"/>
              </w:rPr>
              <w:t>？</w:t>
            </w:r>
          </w:p>
          <w:p w14:paraId="6A1B68E0">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尊敬的投资者您好，公司已于2026年4月18日披露公司2025年年度报告，具体公司营收情况请详见公司披露信息，谢谢！</w:t>
            </w:r>
          </w:p>
          <w:p w14:paraId="0F4E1189">
            <w:pPr>
              <w:numPr>
                <w:ilvl w:val="0"/>
                <w:numId w:val="0"/>
              </w:numPr>
              <w:spacing w:line="400" w:lineRule="exact"/>
              <w:ind w:firstLine="400"/>
              <w:jc w:val="both"/>
              <w:rPr>
                <w:rFonts w:hint="default" w:ascii="宋体" w:hAnsi="宋体" w:eastAsia="宋体" w:cs="宋体"/>
                <w:sz w:val="20"/>
                <w:szCs w:val="20"/>
                <w:lang w:val="en-US"/>
              </w:rPr>
            </w:pPr>
          </w:p>
          <w:p w14:paraId="26A211EF">
            <w:pPr>
              <w:numPr>
                <w:ilvl w:val="0"/>
                <w:numId w:val="0"/>
              </w:numPr>
              <w:spacing w:line="400" w:lineRule="exact"/>
              <w:ind w:firstLine="400"/>
              <w:jc w:val="both"/>
              <w:rPr>
                <w:rFonts w:ascii="宋体" w:hAnsi="宋体" w:eastAsia="宋体" w:cs="宋体"/>
                <w:b/>
                <w:bCs/>
                <w:sz w:val="20"/>
                <w:szCs w:val="20"/>
              </w:rPr>
            </w:pPr>
            <w:r>
              <w:rPr>
                <w:rFonts w:hint="default" w:ascii="宋体" w:hAnsi="宋体" w:eastAsia="宋体" w:cs="宋体"/>
                <w:b/>
                <w:bCs/>
                <w:sz w:val="20"/>
                <w:szCs w:val="20"/>
                <w:lang w:val="en-US"/>
              </w:rPr>
              <w:t>2、2025年和一季度业绩差别较大，为什么会存在这种差异？一季度业绩转好的主要原因，是否可持续？</w:t>
            </w:r>
          </w:p>
          <w:p w14:paraId="3786D4F7">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尊敬的投资者您好，2025年是公司主动调整的一年，一方面着力</w:t>
            </w:r>
            <w:r>
              <w:rPr>
                <w:rFonts w:hint="eastAsia" w:ascii="宋体" w:hAnsi="宋体" w:eastAsia="宋体" w:cs="宋体"/>
                <w:sz w:val="20"/>
                <w:szCs w:val="20"/>
                <w:lang w:val="en-US" w:eastAsia="zh-CN"/>
              </w:rPr>
              <w:t>于</w:t>
            </w:r>
            <w:r>
              <w:rPr>
                <w:rFonts w:hint="default" w:ascii="宋体" w:hAnsi="宋体" w:eastAsia="宋体" w:cs="宋体"/>
                <w:sz w:val="20"/>
                <w:szCs w:val="20"/>
                <w:lang w:val="en-US"/>
              </w:rPr>
              <w:t>市场恢复到健康状态，另一方面围绕</w:t>
            </w:r>
            <w:r>
              <w:rPr>
                <w:rFonts w:hint="eastAsia" w:ascii="宋体" w:hAnsi="宋体" w:eastAsia="宋体" w:cs="宋体"/>
                <w:sz w:val="20"/>
                <w:szCs w:val="20"/>
                <w:lang w:val="en-US" w:eastAsia="zh-CN"/>
              </w:rPr>
              <w:t>“</w:t>
            </w:r>
            <w:r>
              <w:rPr>
                <w:rFonts w:hint="default" w:ascii="宋体" w:hAnsi="宋体" w:eastAsia="宋体" w:cs="宋体"/>
                <w:sz w:val="20"/>
                <w:szCs w:val="20"/>
                <w:lang w:val="en-US"/>
              </w:rPr>
              <w:t>强基、多元、高效</w:t>
            </w:r>
            <w:r>
              <w:rPr>
                <w:rFonts w:hint="eastAsia" w:ascii="宋体" w:hAnsi="宋体" w:eastAsia="宋体" w:cs="宋体"/>
                <w:sz w:val="20"/>
                <w:szCs w:val="20"/>
                <w:lang w:val="en-US" w:eastAsia="zh-CN"/>
              </w:rPr>
              <w:t>”</w:t>
            </w:r>
            <w:r>
              <w:rPr>
                <w:rFonts w:hint="default" w:ascii="宋体" w:hAnsi="宋体" w:eastAsia="宋体" w:cs="宋体"/>
                <w:sz w:val="20"/>
                <w:szCs w:val="20"/>
                <w:lang w:val="en-US"/>
              </w:rPr>
              <w:t>管理主题实施组织能力、体系、流程及系统建设等一系列举措，夯实增长基础，使2026年一季度业绩实现开门红。</w:t>
            </w:r>
          </w:p>
          <w:p w14:paraId="549A3E57">
            <w:pPr>
              <w:numPr>
                <w:ilvl w:val="0"/>
                <w:numId w:val="0"/>
              </w:numPr>
              <w:spacing w:line="400" w:lineRule="exact"/>
              <w:ind w:firstLine="400"/>
              <w:jc w:val="both"/>
              <w:rPr>
                <w:rFonts w:hint="default" w:ascii="宋体" w:hAnsi="宋体" w:eastAsia="宋体" w:cs="宋体"/>
                <w:sz w:val="20"/>
                <w:szCs w:val="20"/>
                <w:lang w:val="en-US"/>
              </w:rPr>
            </w:pPr>
            <w:r>
              <w:rPr>
                <w:rFonts w:hint="eastAsia" w:ascii="宋体" w:hAnsi="宋体" w:eastAsia="宋体" w:cs="宋体"/>
                <w:sz w:val="20"/>
                <w:szCs w:val="20"/>
                <w:lang w:val="en-US" w:eastAsia="zh-CN"/>
              </w:rPr>
              <w:t>此外，</w:t>
            </w:r>
            <w:r>
              <w:rPr>
                <w:rFonts w:hint="default" w:ascii="宋体" w:hAnsi="宋体" w:eastAsia="宋体" w:cs="宋体"/>
                <w:sz w:val="20"/>
                <w:szCs w:val="20"/>
                <w:lang w:val="en-US"/>
              </w:rPr>
              <w:t>公司针对性解决成本问题</w:t>
            </w:r>
            <w:r>
              <w:rPr>
                <w:rFonts w:hint="eastAsia" w:ascii="宋体" w:hAnsi="宋体" w:eastAsia="宋体" w:cs="宋体"/>
                <w:sz w:val="20"/>
                <w:szCs w:val="20"/>
                <w:lang w:val="en-US" w:eastAsia="zh-CN"/>
              </w:rPr>
              <w:t>，</w:t>
            </w:r>
            <w:r>
              <w:rPr>
                <w:rFonts w:hint="default" w:ascii="宋体" w:hAnsi="宋体" w:eastAsia="宋体" w:cs="宋体"/>
                <w:sz w:val="20"/>
                <w:szCs w:val="20"/>
                <w:lang w:val="en-US"/>
              </w:rPr>
              <w:t>系统性降低供应链成本，并通过新产品布局、供应链成本管控、费用精益化投放及适配不同区域发展需求，</w:t>
            </w:r>
            <w:r>
              <w:rPr>
                <w:rFonts w:hint="eastAsia" w:ascii="宋体" w:hAnsi="宋体" w:eastAsia="宋体" w:cs="宋体"/>
                <w:sz w:val="20"/>
                <w:szCs w:val="20"/>
                <w:lang w:val="en-US" w:eastAsia="zh-CN"/>
              </w:rPr>
              <w:t>优化</w:t>
            </w:r>
            <w:r>
              <w:rPr>
                <w:rFonts w:hint="default" w:ascii="宋体" w:hAnsi="宋体" w:eastAsia="宋体" w:cs="宋体"/>
                <w:sz w:val="20"/>
                <w:szCs w:val="20"/>
                <w:lang w:val="en-US"/>
              </w:rPr>
              <w:t>毛利率结构，实现业绩的可持续增长。感谢您的关注！</w:t>
            </w:r>
          </w:p>
          <w:p w14:paraId="412A0D15">
            <w:pPr>
              <w:numPr>
                <w:ilvl w:val="0"/>
                <w:numId w:val="0"/>
              </w:numPr>
              <w:spacing w:line="400" w:lineRule="exact"/>
              <w:ind w:firstLine="400"/>
              <w:jc w:val="both"/>
              <w:rPr>
                <w:rFonts w:hint="default" w:ascii="宋体" w:hAnsi="宋体" w:eastAsia="宋体" w:cs="宋体"/>
                <w:sz w:val="20"/>
                <w:szCs w:val="20"/>
                <w:lang w:val="en-US"/>
              </w:rPr>
            </w:pPr>
          </w:p>
          <w:p w14:paraId="65462FE4">
            <w:pPr>
              <w:numPr>
                <w:ilvl w:val="0"/>
                <w:numId w:val="0"/>
              </w:numPr>
              <w:spacing w:line="400" w:lineRule="exact"/>
              <w:ind w:firstLine="400"/>
              <w:jc w:val="both"/>
              <w:rPr>
                <w:rFonts w:ascii="宋体" w:hAnsi="宋体" w:eastAsia="宋体" w:cs="宋体"/>
                <w:b/>
                <w:bCs/>
                <w:sz w:val="20"/>
                <w:szCs w:val="20"/>
              </w:rPr>
            </w:pPr>
            <w:r>
              <w:rPr>
                <w:rFonts w:hint="default" w:ascii="宋体" w:hAnsi="宋体" w:eastAsia="宋体" w:cs="宋体"/>
                <w:b/>
                <w:bCs/>
                <w:sz w:val="20"/>
                <w:szCs w:val="20"/>
                <w:lang w:val="en-US"/>
              </w:rPr>
              <w:t>3、公司此前表示通过收储、盘活存量、合作开发三种方式挖掘土地价值。5月9日AI园区揭牌，5月22日南方财经报道公司主动释放土地信号。请问：深江铁路征用地款168.89亩的补偿进展如何？预计何时能够确认收入？AI园区目前的招商和入驻情况？土地盘活在2026年是否能够贡献实质性收益？</w:t>
            </w:r>
          </w:p>
          <w:p w14:paraId="32017E53">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尊敬的投资者您好，关于公司深江铁路征用地168.89亩的进展，公司</w:t>
            </w:r>
            <w:r>
              <w:rPr>
                <w:rFonts w:hint="eastAsia" w:ascii="宋体" w:hAnsi="宋体" w:eastAsia="宋体" w:cs="宋体"/>
                <w:sz w:val="20"/>
                <w:szCs w:val="20"/>
                <w:lang w:val="en-US" w:eastAsia="zh-CN"/>
              </w:rPr>
              <w:t>在</w:t>
            </w:r>
            <w:r>
              <w:rPr>
                <w:rFonts w:hint="default" w:ascii="宋体" w:hAnsi="宋体" w:eastAsia="宋体" w:cs="宋体"/>
                <w:sz w:val="20"/>
                <w:szCs w:val="20"/>
                <w:lang w:val="en-US"/>
              </w:rPr>
              <w:t>积极跟进</w:t>
            </w:r>
            <w:r>
              <w:rPr>
                <w:rFonts w:hint="eastAsia" w:ascii="宋体" w:hAnsi="宋体" w:eastAsia="宋体" w:cs="宋体"/>
                <w:sz w:val="20"/>
                <w:szCs w:val="20"/>
                <w:lang w:val="en-US" w:eastAsia="zh-CN"/>
              </w:rPr>
              <w:t>中</w:t>
            </w:r>
            <w:r>
              <w:rPr>
                <w:rFonts w:hint="default" w:ascii="宋体" w:hAnsi="宋体" w:eastAsia="宋体" w:cs="宋体"/>
                <w:sz w:val="20"/>
                <w:szCs w:val="20"/>
                <w:lang w:val="en-US"/>
              </w:rPr>
              <w:t>；公司AI园区目前在积极招商，已有企业进驻。土地资产在公司整体资产中占有一定比例，我们目前将土地盘活作为公司净增长的重要方向之一。公司不会在土地方面再做大规模的扩大投入，而是会把主要精力聚焦在主业发展上，同时积极推动存量土地的价值释放。感谢您的关注！</w:t>
            </w:r>
          </w:p>
          <w:p w14:paraId="5B9608A9">
            <w:pPr>
              <w:numPr>
                <w:ilvl w:val="0"/>
                <w:numId w:val="0"/>
              </w:numPr>
              <w:spacing w:line="400" w:lineRule="exact"/>
              <w:ind w:firstLine="400"/>
              <w:jc w:val="both"/>
              <w:rPr>
                <w:rFonts w:hint="default" w:ascii="宋体" w:hAnsi="宋体" w:eastAsia="宋体" w:cs="宋体"/>
                <w:sz w:val="20"/>
                <w:szCs w:val="20"/>
                <w:lang w:val="en-US"/>
              </w:rPr>
            </w:pPr>
          </w:p>
          <w:p w14:paraId="1E724E4F">
            <w:pPr>
              <w:numPr>
                <w:ilvl w:val="0"/>
                <w:numId w:val="0"/>
              </w:numPr>
              <w:spacing w:line="400" w:lineRule="exact"/>
              <w:ind w:firstLine="400"/>
              <w:jc w:val="both"/>
              <w:rPr>
                <w:rFonts w:ascii="宋体" w:hAnsi="宋体" w:eastAsia="宋体" w:cs="宋体"/>
                <w:sz w:val="20"/>
                <w:szCs w:val="20"/>
              </w:rPr>
            </w:pPr>
            <w:r>
              <w:rPr>
                <w:rFonts w:hint="default" w:ascii="宋体" w:hAnsi="宋体" w:eastAsia="宋体" w:cs="宋体"/>
                <w:b/>
                <w:bCs/>
                <w:sz w:val="20"/>
                <w:szCs w:val="20"/>
                <w:lang w:val="en-US"/>
              </w:rPr>
              <w:t>4、公司前期公布的3-6亿元回购进展一直偏慢，是对该笔资金有其他安排？还是认为目前回购价格偏贵？从个人投资者理解，在分红前完成回购注销股票对普通投资者更为有利。</w:t>
            </w:r>
          </w:p>
          <w:p w14:paraId="600953BB">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截至2026年4月月底，公司通过集中竞价交易方式已累计回购股份886.44万股，占公司总股本的比例为1.14%，购买的最高价为19.55元/股、最低价为17.66元/股，已支付的总金额为16,350.13万元（不含交易费用）。公司将会依据相关规则及时披露回购进展，具体情况请详见公司对外披露公告，感谢关注！</w:t>
            </w:r>
          </w:p>
          <w:p w14:paraId="1448878E">
            <w:pPr>
              <w:numPr>
                <w:ilvl w:val="0"/>
                <w:numId w:val="0"/>
              </w:numPr>
              <w:spacing w:line="400" w:lineRule="exact"/>
              <w:ind w:firstLine="400"/>
              <w:jc w:val="both"/>
              <w:rPr>
                <w:rFonts w:hint="default" w:ascii="宋体" w:hAnsi="宋体" w:eastAsia="宋体" w:cs="宋体"/>
                <w:sz w:val="20"/>
                <w:szCs w:val="20"/>
                <w:lang w:val="en-US"/>
              </w:rPr>
            </w:pPr>
          </w:p>
          <w:p w14:paraId="6803849E">
            <w:pPr>
              <w:numPr>
                <w:ilvl w:val="0"/>
                <w:numId w:val="0"/>
              </w:numPr>
              <w:spacing w:line="400" w:lineRule="exact"/>
              <w:ind w:firstLine="400"/>
              <w:jc w:val="both"/>
              <w:rPr>
                <w:rFonts w:ascii="宋体" w:hAnsi="宋体" w:eastAsia="宋体" w:cs="宋体"/>
                <w:b/>
                <w:bCs/>
                <w:sz w:val="20"/>
                <w:szCs w:val="20"/>
              </w:rPr>
            </w:pPr>
            <w:r>
              <w:rPr>
                <w:rFonts w:hint="default" w:ascii="宋体" w:hAnsi="宋体" w:eastAsia="宋体" w:cs="宋体"/>
                <w:b/>
                <w:bCs/>
                <w:sz w:val="20"/>
                <w:szCs w:val="20"/>
                <w:lang w:val="en-US"/>
              </w:rPr>
              <w:t>5、对于土地，有市场传言称，未来可能推动收储，或者进行楼盘开发？公司能否回应？</w:t>
            </w:r>
          </w:p>
          <w:p w14:paraId="11D649DF">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w:t>
            </w:r>
            <w:r>
              <w:rPr>
                <w:rFonts w:hint="eastAsia" w:ascii="宋体" w:hAnsi="宋体" w:eastAsia="宋体" w:cs="宋体"/>
                <w:sz w:val="20"/>
                <w:szCs w:val="20"/>
                <w:lang w:val="en-US" w:eastAsia="zh-CN"/>
              </w:rPr>
              <w:t>公司的</w:t>
            </w:r>
            <w:r>
              <w:rPr>
                <w:rFonts w:hint="default" w:ascii="宋体" w:hAnsi="宋体" w:eastAsia="宋体" w:cs="宋体"/>
                <w:sz w:val="20"/>
                <w:szCs w:val="20"/>
                <w:lang w:val="en-US"/>
              </w:rPr>
              <w:t>土地资产在整体资产中占有一定比例，我们目前将土地盘活作为公司净增长的重要方向之一。公司目前</w:t>
            </w:r>
            <w:r>
              <w:rPr>
                <w:rFonts w:hint="eastAsia" w:ascii="宋体" w:hAnsi="宋体" w:eastAsia="宋体" w:cs="宋体"/>
                <w:sz w:val="20"/>
                <w:szCs w:val="20"/>
                <w:lang w:val="en-US" w:eastAsia="zh-CN"/>
              </w:rPr>
              <w:t>未计划</w:t>
            </w:r>
            <w:r>
              <w:rPr>
                <w:rFonts w:hint="default" w:ascii="宋体" w:hAnsi="宋体" w:eastAsia="宋体" w:cs="宋体"/>
                <w:sz w:val="20"/>
                <w:szCs w:val="20"/>
                <w:lang w:val="en-US"/>
              </w:rPr>
              <w:t>在土地方面再做大规模的投入，而是把主要精力聚焦在主业发展上，同时积极推动存量土地的价值释放。感谢您的关注！</w:t>
            </w:r>
          </w:p>
          <w:p w14:paraId="45D739FE">
            <w:pPr>
              <w:numPr>
                <w:ilvl w:val="0"/>
                <w:numId w:val="0"/>
              </w:numPr>
              <w:spacing w:line="400" w:lineRule="exact"/>
              <w:jc w:val="both"/>
              <w:rPr>
                <w:rFonts w:hint="default" w:ascii="宋体" w:hAnsi="宋体" w:eastAsia="宋体" w:cs="宋体"/>
                <w:sz w:val="20"/>
                <w:szCs w:val="20"/>
                <w:lang w:val="en-US"/>
              </w:rPr>
            </w:pPr>
          </w:p>
          <w:p w14:paraId="6E7838A4">
            <w:pPr>
              <w:numPr>
                <w:ilvl w:val="0"/>
                <w:numId w:val="0"/>
              </w:numPr>
              <w:spacing w:line="400" w:lineRule="exact"/>
              <w:ind w:firstLine="400"/>
              <w:jc w:val="both"/>
              <w:rPr>
                <w:rFonts w:ascii="宋体" w:hAnsi="宋体" w:eastAsia="宋体" w:cs="宋体"/>
                <w:b/>
                <w:bCs/>
                <w:sz w:val="20"/>
                <w:szCs w:val="20"/>
              </w:rPr>
            </w:pPr>
            <w:r>
              <w:rPr>
                <w:rFonts w:hint="default" w:ascii="宋体" w:hAnsi="宋体" w:eastAsia="宋体" w:cs="宋体"/>
                <w:b/>
                <w:bCs/>
                <w:sz w:val="20"/>
                <w:szCs w:val="20"/>
                <w:lang w:val="en-US"/>
              </w:rPr>
              <w:t>6、技术创新和产业升级方面有哪些举措？</w:t>
            </w:r>
          </w:p>
          <w:p w14:paraId="5B6FF9D8">
            <w:pPr>
              <w:numPr>
                <w:ilvl w:val="0"/>
                <w:numId w:val="0"/>
              </w:numPr>
              <w:spacing w:line="400" w:lineRule="exact"/>
              <w:ind w:firstLine="400"/>
              <w:jc w:val="both"/>
              <w:rPr>
                <w:rFonts w:hint="default" w:ascii="宋体" w:hAnsi="宋体" w:eastAsia="宋体" w:cs="宋体"/>
                <w:sz w:val="20"/>
                <w:szCs w:val="20"/>
                <w:lang w:val="en-US"/>
              </w:rPr>
            </w:pPr>
            <w:r>
              <w:rPr>
                <w:rFonts w:hint="default" w:ascii="宋体" w:hAnsi="宋体" w:eastAsia="宋体" w:cs="宋体"/>
                <w:sz w:val="20"/>
                <w:szCs w:val="20"/>
                <w:lang w:val="en-US"/>
              </w:rPr>
              <w:t>尊敬的投资者您好，公司成立了以产品中心为引领，厨邦食品研究院、营销中心及全国市场联盟管理委员会等多方联动的产品体系组织。</w:t>
            </w:r>
            <w:r>
              <w:rPr>
                <w:rFonts w:hint="eastAsia" w:ascii="宋体" w:hAnsi="宋体" w:eastAsia="宋体" w:cs="宋体"/>
                <w:sz w:val="20"/>
                <w:szCs w:val="20"/>
                <w:lang w:val="en-US" w:eastAsia="zh-CN"/>
              </w:rPr>
              <w:t>在平台建设方面，公司与江南大学共建创新中心，搭建系统化研发体系；产品端则聚焦清洁标签、增鲜技术、原料创新及质量安全等核心发展方向。</w:t>
            </w:r>
            <w:r>
              <w:rPr>
                <w:rFonts w:hint="default" w:ascii="宋体" w:hAnsi="宋体" w:eastAsia="宋体" w:cs="宋体"/>
                <w:sz w:val="20"/>
                <w:szCs w:val="20"/>
                <w:lang w:val="en-US"/>
              </w:rPr>
              <w:t>感谢您的关注！</w:t>
            </w:r>
          </w:p>
          <w:p w14:paraId="2DAECC09">
            <w:pPr>
              <w:numPr>
                <w:ilvl w:val="0"/>
                <w:numId w:val="0"/>
              </w:numPr>
              <w:spacing w:line="400" w:lineRule="exact"/>
              <w:ind w:firstLine="400"/>
              <w:jc w:val="both"/>
              <w:rPr>
                <w:rFonts w:hint="default" w:ascii="宋体" w:hAnsi="宋体" w:eastAsia="宋体" w:cs="宋体"/>
                <w:sz w:val="20"/>
                <w:szCs w:val="20"/>
                <w:lang w:val="en-US"/>
              </w:rPr>
            </w:pPr>
          </w:p>
          <w:p w14:paraId="563F4C76">
            <w:pPr>
              <w:numPr>
                <w:ilvl w:val="0"/>
                <w:numId w:val="0"/>
              </w:numPr>
              <w:spacing w:line="400" w:lineRule="exact"/>
              <w:ind w:firstLine="400"/>
              <w:jc w:val="both"/>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7、结合公司剥离非核心资产的战略，想了解调味品主业后续的增长核心抓手？内生层面是怎么持续提升经营业绩的？特别是现在存量市场的争夺，会不会有较大的发展瓶颈？外延并购方面是否有清晰的经营思路、标的筛选方向及推进时间表？</w:t>
            </w:r>
          </w:p>
          <w:p w14:paraId="5240E690">
            <w:pPr>
              <w:numPr>
                <w:ilvl w:val="0"/>
                <w:numId w:val="0"/>
              </w:numPr>
              <w:spacing w:line="400" w:lineRule="exact"/>
              <w:ind w:firstLine="400"/>
              <w:jc w:val="both"/>
              <w:rPr>
                <w:rFonts w:hint="eastAsia" w:ascii="宋体" w:hAnsi="宋体" w:eastAsia="宋体" w:cs="宋体"/>
                <w:sz w:val="20"/>
                <w:szCs w:val="20"/>
                <w:lang w:eastAsia="zh-CN"/>
              </w:rPr>
            </w:pPr>
            <w:r>
              <w:rPr>
                <w:rFonts w:hint="eastAsia" w:ascii="宋体" w:hAnsi="宋体" w:eastAsia="宋体" w:cs="宋体"/>
                <w:sz w:val="20"/>
                <w:szCs w:val="20"/>
                <w:lang w:val="en-US" w:eastAsia="zh-CN"/>
              </w:rPr>
              <w:t>尊敬的投资者您好，2026年公司的战略发展并非追求简单的规模翻倍，而是聚焦于从内到外、从量到质的系统性升级。在内生增长层面，公司将强化基本盘，推动组织能力向体系化、标准化、系统化转型；在稳固基本盘的基础上，重点做实五大业务，包括复调产品、渠道补强、团餐业务、内容电商及餐饮模式打造。</w:t>
            </w:r>
          </w:p>
          <w:p w14:paraId="347EF962">
            <w:pPr>
              <w:numPr>
                <w:ilvl w:val="0"/>
                <w:numId w:val="0"/>
              </w:numPr>
              <w:spacing w:line="400" w:lineRule="exact"/>
              <w:ind w:firstLine="400"/>
              <w:jc w:val="both"/>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外延并购方面，公司持续寻找并储备合适的并购项目，确保以稳健的财务能力支撑未来并购的落地。标的范围不仅限于调味品方向，还包括具备技术研发优势的相关企业，通过此类补充进一步完善产品矩阵、筑牢技术壁垒。总体而言，公司在积极挖掘并购机会的同时，将严格把控估值水平，避免因商誉过高对财务报表造成不利影响。未来，公司将在审慎评估每个机会的潜在价值与财务风险后，选择合适时机推进并购落地。</w:t>
            </w:r>
          </w:p>
          <w:p w14:paraId="0C1020DE">
            <w:pPr>
              <w:numPr>
                <w:ilvl w:val="0"/>
                <w:numId w:val="0"/>
              </w:numPr>
              <w:spacing w:line="400" w:lineRule="exact"/>
              <w:ind w:firstLine="400"/>
              <w:jc w:val="both"/>
              <w:rPr>
                <w:rFonts w:hint="eastAsia" w:ascii="宋体" w:hAnsi="宋体" w:eastAsia="宋体" w:cs="宋体"/>
                <w:sz w:val="20"/>
                <w:szCs w:val="20"/>
                <w:lang w:val="en-US" w:eastAsia="zh-CN"/>
              </w:rPr>
            </w:pPr>
          </w:p>
          <w:p w14:paraId="57492CE4">
            <w:pPr>
              <w:numPr>
                <w:ilvl w:val="0"/>
                <w:numId w:val="0"/>
              </w:numPr>
              <w:spacing w:line="400" w:lineRule="exact"/>
              <w:ind w:firstLine="400"/>
              <w:jc w:val="both"/>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8、黎董事长上任以来推进了多项改革举措，市场关注在当前国资控股体制下，改革决策的授权边界如何界定？具体而言：在人事任免、重大投资、政府相关业务等方面，管理层自主决策的范围和党委会前置审议的范围分别是什么？未来是否有进一步扩大管理层授权的规划？</w:t>
            </w:r>
          </w:p>
          <w:p w14:paraId="19DE49FB">
            <w:pPr>
              <w:numPr>
                <w:ilvl w:val="0"/>
                <w:numId w:val="0"/>
              </w:numPr>
              <w:spacing w:line="400" w:lineRule="exact"/>
              <w:ind w:firstLine="400"/>
              <w:jc w:val="both"/>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公司在5/19投资者关系活动中表示股权激励"全面审视中"，但未给出明确时间表。股权激励是绑定核心团队、保障改革可持续性的关键制度安排。请问：股权激励方案预计何时推出？覆盖范围是否包括华润系引入的管理层？激励考核指标如何设定，是否与改革阶段性目标挂钩？</w:t>
            </w:r>
          </w:p>
          <w:p w14:paraId="13630C7D">
            <w:pPr>
              <w:numPr>
                <w:ilvl w:val="0"/>
                <w:numId w:val="0"/>
              </w:numPr>
              <w:spacing w:line="400" w:lineRule="exact"/>
              <w:ind w:firstLine="400"/>
              <w:jc w:val="both"/>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公司始终严格遵循上市公司治理规范，建立健全现代企业制度。在日常经营管理层面，董事会依据《公司章程》及股东会授权，对经营计划、预算管理、一般性投资及内部人事安排等事项行使决策权；管理层在董事会授权范围内负责具体执行。公司持续优化治理架构，推进市场化经营机制改革，管理层在生产经营、市场拓展、品牌运营等方面的自主决策空间稳步扩大。未来，公司将在合规框架内，结合改革推进情况，适时评估并优化授权体系，进一步提升决策效率与市场化运营能力；关于股权激励进展公司高度重视核心团队建设与长效激励机制完善，目前正在对股权激励事项进行全面审视和论证，综合考虑公司发展阶段、改革目标、行业实践及监管要求等因素，审慎研究方案的可行性与适配性。在方案设计上，公司将秉持激励与约束相结合的原则，覆盖范围、考核指标等核心要素均会充分衔接公司中长期发展战略及改革阶段性目标，确保激励效果与股东利益相一致。具体进展将以公司后续公告披露为准。</w:t>
            </w:r>
          </w:p>
          <w:p w14:paraId="1939C244">
            <w:pPr>
              <w:numPr>
                <w:ilvl w:val="0"/>
                <w:numId w:val="0"/>
              </w:numPr>
              <w:spacing w:line="400" w:lineRule="exact"/>
              <w:ind w:firstLine="400"/>
              <w:jc w:val="both"/>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感谢您的关注！</w:t>
            </w:r>
          </w:p>
          <w:p w14:paraId="13A6BC29">
            <w:pPr>
              <w:numPr>
                <w:ilvl w:val="0"/>
                <w:numId w:val="0"/>
              </w:numPr>
              <w:spacing w:line="400" w:lineRule="exact"/>
              <w:ind w:firstLine="400"/>
              <w:jc w:val="both"/>
              <w:rPr>
                <w:rFonts w:hint="default" w:ascii="宋体" w:hAnsi="宋体" w:eastAsia="宋体" w:cs="宋体"/>
                <w:sz w:val="20"/>
                <w:szCs w:val="20"/>
                <w:lang w:val="en-US" w:eastAsia="zh-CN"/>
              </w:rPr>
            </w:pPr>
          </w:p>
          <w:p w14:paraId="1ED7303D">
            <w:pPr>
              <w:numPr>
                <w:ilvl w:val="0"/>
                <w:numId w:val="0"/>
              </w:numPr>
              <w:spacing w:line="400" w:lineRule="exact"/>
              <w:ind w:firstLine="400"/>
              <w:jc w:val="both"/>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9、各位领导好，公司此前披露，2025年末渠道库存已降至2.5倍以下；2025年下半年终端动销环比改善10%以上，经销商提货节奏符合预期。请问进入2026年二季度传统淡季后，渠道库存的良性水平是否能够继续保持？与Q1相比，动销趋势是否呈现同比或环比改善？</w:t>
            </w:r>
          </w:p>
          <w:p w14:paraId="0CA3CF4B">
            <w:pPr>
              <w:numPr>
                <w:ilvl w:val="0"/>
                <w:numId w:val="0"/>
              </w:numPr>
              <w:spacing w:line="400" w:lineRule="exact"/>
              <w:ind w:firstLine="400"/>
              <w:jc w:val="both"/>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尊敬的投资者您好，公司在2025年有效推动渠道去库存的基础上，继续执行以终端动销为导向的供货策略，强化经销商库存监控与动态调配。目前渠道库存整体维持在合理、良性水平。终端动销延续改善态势，核心产品市场动销表现稳中有升。感谢您的关注！</w:t>
            </w:r>
          </w:p>
          <w:p w14:paraId="6D979500">
            <w:pPr>
              <w:numPr>
                <w:ilvl w:val="0"/>
                <w:numId w:val="0"/>
              </w:numPr>
              <w:spacing w:line="400" w:lineRule="exact"/>
              <w:ind w:firstLine="400"/>
              <w:jc w:val="both"/>
              <w:rPr>
                <w:rFonts w:hint="default" w:ascii="宋体" w:hAnsi="宋体" w:eastAsia="宋体" w:cs="宋体"/>
                <w:sz w:val="20"/>
                <w:szCs w:val="20"/>
                <w:lang w:val="en-US" w:eastAsia="zh-CN"/>
              </w:rPr>
            </w:pPr>
          </w:p>
          <w:p w14:paraId="56C7FFD3">
            <w:pPr>
              <w:numPr>
                <w:ilvl w:val="0"/>
                <w:numId w:val="0"/>
              </w:numPr>
              <w:spacing w:line="400" w:lineRule="exact"/>
              <w:ind w:firstLine="400"/>
              <w:jc w:val="both"/>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10、今年一季度在味滋美部分收入并表的情况下，公司其他品类的销售额同比下滑还超过10%,请问靠这种1加1小于1的并购能够挽救公司业绩下滑的颓势吗？厨邦之前也曾投入重金研发了火锅底料、龙虾调料等复调产品，如今市场已不见该类产品的踪迹，管理层连自己现有的产品都做不好还有精力去打理并购来的企业吗？</w:t>
            </w:r>
          </w:p>
          <w:p w14:paraId="050262A4">
            <w:pPr>
              <w:numPr>
                <w:ilvl w:val="0"/>
                <w:numId w:val="0"/>
              </w:numPr>
              <w:spacing w:line="400" w:lineRule="exact"/>
              <w:ind w:firstLine="400"/>
              <w:jc w:val="both"/>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尊敬的投资者您好，公司2026年1-3月累计实现营业收入13.20亿元，同比增加2.19亿元，增幅19.88%，美味鲜公司1-3月实现营业收入12.40亿元，同比增加1.58亿元，增幅为14.60%。</w:t>
            </w:r>
          </w:p>
          <w:p w14:paraId="145B0731">
            <w:pPr>
              <w:numPr>
                <w:ilvl w:val="0"/>
                <w:numId w:val="0"/>
              </w:numPr>
              <w:spacing w:line="400" w:lineRule="exact"/>
              <w:ind w:firstLine="400"/>
              <w:jc w:val="both"/>
              <w:rPr>
                <w:rFonts w:hint="default" w:ascii="宋体" w:hAnsi="宋体" w:eastAsia="宋体" w:cs="宋体"/>
                <w:sz w:val="20"/>
                <w:szCs w:val="20"/>
                <w:lang w:val="en-US" w:eastAsia="zh-CN"/>
              </w:rPr>
            </w:pPr>
            <w:r>
              <w:rPr>
                <w:rFonts w:hint="default" w:ascii="宋体" w:hAnsi="宋体" w:eastAsia="宋体" w:cs="宋体"/>
                <w:sz w:val="20"/>
                <w:szCs w:val="20"/>
                <w:lang w:val="en-US" w:eastAsia="zh-CN"/>
              </w:rPr>
              <w:t>味滋美以川式复合调味料为主营方向，专注于B端餐饮定制化服务。其川式复合调味料与厨邦的基础调味料形成互补，而其B端定制化服务、柔性生产及供应链能力，可有效缩短厨邦切入复合调味料赛道的周期，目前双方正在推进业务协同对接。此次收购是公司战略中基础调味料与复合调味料结合的重要举措。味滋美原有火锅底料、菜谱式调料及部分预制菜业务，在成本管控、产品创新及服务头部B端品牌方面具备综合优势，未来将结合公司战略进行生产布局优化、产品重塑与研发调整，为公司复合调味料战略提供产品研发与柔性供应链支撑。感谢您的关注！</w:t>
            </w:r>
          </w:p>
          <w:p w14:paraId="56AC881B">
            <w:pPr>
              <w:numPr>
                <w:ilvl w:val="0"/>
                <w:numId w:val="0"/>
              </w:numPr>
              <w:spacing w:line="400" w:lineRule="exact"/>
              <w:ind w:firstLine="400"/>
              <w:jc w:val="both"/>
              <w:rPr>
                <w:rFonts w:hint="default" w:ascii="宋体" w:hAnsi="宋体" w:eastAsia="宋体" w:cs="宋体"/>
                <w:sz w:val="20"/>
                <w:szCs w:val="20"/>
                <w:lang w:val="en-US" w:eastAsia="zh-CN"/>
              </w:rPr>
            </w:pPr>
          </w:p>
          <w:p w14:paraId="42A1FC23">
            <w:pPr>
              <w:numPr>
                <w:ilvl w:val="0"/>
                <w:numId w:val="0"/>
              </w:numPr>
              <w:spacing w:line="400" w:lineRule="exact"/>
              <w:ind w:firstLine="400"/>
              <w:jc w:val="both"/>
              <w:rPr>
                <w:rFonts w:hint="eastAsia" w:ascii="宋体" w:hAnsi="宋体" w:eastAsia="宋体" w:cs="宋体"/>
                <w:sz w:val="20"/>
                <w:szCs w:val="20"/>
                <w:lang w:val="en-US" w:eastAsia="zh-CN"/>
              </w:rPr>
            </w:pPr>
            <w:r>
              <w:rPr>
                <w:rFonts w:hint="eastAsia" w:ascii="宋体" w:hAnsi="宋体" w:eastAsia="宋体" w:cs="宋体"/>
                <w:b/>
                <w:bCs/>
                <w:sz w:val="20"/>
                <w:szCs w:val="20"/>
                <w:lang w:val="en-US" w:eastAsia="zh-CN"/>
              </w:rPr>
              <w:t>11、请问公司目前的中高级管理人员中，有华润工作履历的占比是多少？公司人才引进主要靠社会招聘还是由内部人员推荐？</w:t>
            </w:r>
          </w:p>
          <w:p w14:paraId="20E090C2">
            <w:pPr>
              <w:numPr>
                <w:ilvl w:val="0"/>
                <w:numId w:val="0"/>
              </w:numPr>
              <w:spacing w:line="400" w:lineRule="exact"/>
              <w:ind w:firstLine="400"/>
              <w:jc w:val="both"/>
              <w:rPr>
                <w:rFonts w:ascii="宋体" w:hAnsi="宋体" w:eastAsia="宋体" w:cs="宋体"/>
                <w:sz w:val="20"/>
                <w:szCs w:val="20"/>
              </w:rPr>
            </w:pPr>
            <w:r>
              <w:rPr>
                <w:rFonts w:hint="default" w:ascii="宋体" w:hAnsi="宋体" w:eastAsia="宋体" w:cs="宋体"/>
                <w:sz w:val="20"/>
                <w:szCs w:val="20"/>
                <w:lang w:val="en-US" w:eastAsia="zh-CN"/>
              </w:rPr>
              <w:t>尊敬的投资者您好，关于公司中高级管理人员的背景构成，中炬高新始终秉持</w:t>
            </w:r>
            <w:r>
              <w:rPr>
                <w:rFonts w:hint="eastAsia" w:ascii="宋体" w:hAnsi="宋体" w:eastAsia="宋体" w:cs="宋体"/>
                <w:sz w:val="20"/>
                <w:szCs w:val="20"/>
                <w:lang w:val="en-US" w:eastAsia="zh-CN"/>
              </w:rPr>
              <w:t>“</w:t>
            </w:r>
            <w:r>
              <w:rPr>
                <w:rFonts w:hint="default" w:ascii="宋体" w:hAnsi="宋体" w:eastAsia="宋体" w:cs="宋体"/>
                <w:sz w:val="20"/>
                <w:szCs w:val="20"/>
                <w:lang w:val="en-US" w:eastAsia="zh-CN"/>
              </w:rPr>
              <w:t>市场化选聘、专业化管理</w:t>
            </w:r>
            <w:r>
              <w:rPr>
                <w:rFonts w:hint="eastAsia" w:ascii="宋体" w:hAnsi="宋体" w:eastAsia="宋体" w:cs="宋体"/>
                <w:sz w:val="20"/>
                <w:szCs w:val="20"/>
                <w:lang w:val="en-US" w:eastAsia="zh-CN"/>
              </w:rPr>
              <w:t>”</w:t>
            </w:r>
            <w:r>
              <w:rPr>
                <w:rFonts w:hint="default" w:ascii="宋体" w:hAnsi="宋体" w:eastAsia="宋体" w:cs="宋体"/>
                <w:sz w:val="20"/>
                <w:szCs w:val="20"/>
                <w:lang w:val="en-US" w:eastAsia="zh-CN"/>
              </w:rPr>
              <w:t>的用人理念，人才来源呈现多元化特征。公司管理团队既包含深耕调味品行业多年的资深专业人士，也吸纳了来自大型央企、知名快消企业等不同背景的优秀管理人才，形成了互补性强、经验丰富的核心管理团队。未来，公司将持续优化人才结构，为高质量发展提供坚实的人才保障。感谢您的关注！</w:t>
            </w:r>
          </w:p>
        </w:tc>
      </w:tr>
      <w:tr w14:paraId="7538A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99" w:hRule="atLeast"/>
          <w:jc w:val="center"/>
        </w:trPr>
        <w:tc>
          <w:tcPr>
            <w:tcW w:w="2580" w:type="dxa"/>
            <w:vAlign w:val="center"/>
          </w:tcPr>
          <w:p w14:paraId="17D72943">
            <w:pPr>
              <w:pStyle w:val="15"/>
              <w:spacing w:before="1"/>
              <w:ind w:left="107"/>
              <w:rPr>
                <w:rFonts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关于本次活动是否涉及应</w:t>
            </w:r>
          </w:p>
          <w:p w14:paraId="7BE68008">
            <w:pPr>
              <w:pStyle w:val="15"/>
              <w:spacing w:before="1"/>
              <w:ind w:left="107"/>
              <w:rPr>
                <w:rFonts w:ascii="宋体" w:hAnsi="宋体" w:eastAsia="宋体" w:cs="宋体"/>
                <w:b/>
                <w:bCs/>
                <w:sz w:val="20"/>
                <w:szCs w:val="20"/>
              </w:rPr>
            </w:pPr>
            <w:r>
              <w:rPr>
                <w:rFonts w:hint="eastAsia" w:cs="宋体" w:asciiTheme="minorEastAsia" w:hAnsiTheme="minorEastAsia" w:eastAsiaTheme="minorEastAsia"/>
                <w:b/>
                <w:bCs/>
                <w:sz w:val="20"/>
                <w:szCs w:val="20"/>
              </w:rPr>
              <w:t>披露重大信息的说明</w:t>
            </w:r>
          </w:p>
        </w:tc>
        <w:tc>
          <w:tcPr>
            <w:tcW w:w="5945" w:type="dxa"/>
            <w:vAlign w:val="center"/>
          </w:tcPr>
          <w:p w14:paraId="42572434">
            <w:pPr>
              <w:pStyle w:val="15"/>
              <w:spacing w:before="100" w:beforeAutospacing="1" w:line="360" w:lineRule="auto"/>
              <w:rPr>
                <w:rFonts w:ascii="宋体" w:hAnsi="宋体" w:eastAsia="宋体" w:cs="宋体"/>
                <w:sz w:val="20"/>
                <w:szCs w:val="20"/>
              </w:rPr>
            </w:pPr>
            <w:r>
              <w:rPr>
                <w:rFonts w:hint="eastAsia" w:cs="宋体" w:asciiTheme="minorEastAsia" w:hAnsiTheme="minorEastAsia" w:eastAsiaTheme="minorEastAsia"/>
                <w:sz w:val="20"/>
                <w:szCs w:val="20"/>
              </w:rPr>
              <w:t>本次活动不涉及未公开披露的重大信息。</w:t>
            </w:r>
          </w:p>
        </w:tc>
      </w:tr>
      <w:tr w14:paraId="40D3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0A892518">
            <w:pPr>
              <w:pStyle w:val="15"/>
              <w:spacing w:before="1"/>
              <w:ind w:left="107"/>
              <w:rPr>
                <w:rFonts w:ascii="宋体" w:hAnsi="宋体" w:eastAsia="宋体" w:cs="宋体"/>
                <w:b/>
                <w:bCs/>
                <w:sz w:val="20"/>
                <w:szCs w:val="20"/>
              </w:rPr>
            </w:pPr>
            <w:r>
              <w:rPr>
                <w:rFonts w:hint="eastAsia" w:ascii="宋体" w:hAnsi="宋体" w:eastAsia="宋体" w:cs="宋体"/>
                <w:b/>
                <w:bCs/>
                <w:sz w:val="20"/>
                <w:szCs w:val="20"/>
              </w:rPr>
              <w:t>附件清单（如有）</w:t>
            </w:r>
          </w:p>
        </w:tc>
        <w:tc>
          <w:tcPr>
            <w:tcW w:w="5945" w:type="dxa"/>
            <w:vAlign w:val="center"/>
          </w:tcPr>
          <w:p w14:paraId="07B5E318">
            <w:pPr>
              <w:pStyle w:val="15"/>
              <w:spacing w:before="100" w:beforeAutospacing="1" w:line="360" w:lineRule="auto"/>
              <w:rPr>
                <w:rFonts w:ascii="宋体" w:hAnsi="宋体" w:eastAsia="宋体" w:cs="宋体"/>
                <w:sz w:val="20"/>
                <w:szCs w:val="20"/>
                <w:lang w:val="en-US"/>
              </w:rPr>
            </w:pPr>
            <w:r>
              <w:rPr>
                <w:rFonts w:hint="eastAsia" w:ascii="宋体" w:hAnsi="宋体" w:eastAsia="宋体" w:cs="宋体"/>
                <w:sz w:val="20"/>
                <w:szCs w:val="20"/>
                <w:lang w:val="en-US"/>
              </w:rPr>
              <w:t>无</w:t>
            </w:r>
          </w:p>
        </w:tc>
      </w:tr>
      <w:tr w14:paraId="30295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3FE554BC">
            <w:pPr>
              <w:pStyle w:val="15"/>
              <w:spacing w:before="1"/>
              <w:ind w:left="107"/>
              <w:rPr>
                <w:rFonts w:ascii="宋体" w:hAnsi="宋体" w:eastAsia="宋体" w:cs="宋体"/>
                <w:b/>
                <w:bCs/>
                <w:sz w:val="20"/>
                <w:szCs w:val="20"/>
              </w:rPr>
            </w:pPr>
            <w:r>
              <w:rPr>
                <w:rFonts w:hint="eastAsia" w:ascii="宋体" w:hAnsi="宋体" w:eastAsia="宋体" w:cs="宋体"/>
                <w:b/>
                <w:bCs/>
                <w:sz w:val="20"/>
                <w:szCs w:val="20"/>
              </w:rPr>
              <w:t>日期</w:t>
            </w:r>
          </w:p>
        </w:tc>
        <w:tc>
          <w:tcPr>
            <w:tcW w:w="5945" w:type="dxa"/>
            <w:vAlign w:val="center"/>
          </w:tcPr>
          <w:p w14:paraId="2F0010F8">
            <w:pPr>
              <w:pStyle w:val="15"/>
              <w:spacing w:before="100" w:beforeAutospacing="1"/>
              <w:rPr>
                <w:rFonts w:ascii="宋体" w:hAnsi="宋体" w:eastAsia="宋体" w:cs="宋体"/>
                <w:sz w:val="20"/>
                <w:szCs w:val="20"/>
              </w:rPr>
            </w:pPr>
            <w:r>
              <w:rPr>
                <w:rFonts w:ascii="宋体" w:hAnsi="宋体" w:eastAsia="宋体" w:cs="宋体"/>
                <w:sz w:val="20"/>
                <w:szCs w:val="20"/>
              </w:rPr>
              <w:t>202</w:t>
            </w:r>
            <w:r>
              <w:rPr>
                <w:rFonts w:hint="eastAsia" w:ascii="宋体" w:hAnsi="宋体" w:eastAsia="宋体" w:cs="宋体"/>
                <w:sz w:val="20"/>
                <w:szCs w:val="20"/>
                <w:lang w:val="en-US"/>
              </w:rPr>
              <w:t>6</w:t>
            </w:r>
            <w:r>
              <w:rPr>
                <w:rFonts w:ascii="宋体" w:hAnsi="宋体" w:eastAsia="宋体" w:cs="宋体"/>
                <w:sz w:val="20"/>
                <w:szCs w:val="20"/>
              </w:rPr>
              <w:t>年</w:t>
            </w:r>
            <w:r>
              <w:rPr>
                <w:rFonts w:hint="eastAsia" w:ascii="宋体" w:hAnsi="宋体" w:eastAsia="宋体" w:cs="宋体"/>
                <w:sz w:val="20"/>
                <w:szCs w:val="20"/>
                <w:lang w:val="en-US" w:eastAsia="zh-CN"/>
              </w:rPr>
              <w:t>6</w:t>
            </w:r>
            <w:r>
              <w:rPr>
                <w:rFonts w:ascii="宋体" w:hAnsi="宋体" w:eastAsia="宋体" w:cs="宋体"/>
                <w:sz w:val="20"/>
                <w:szCs w:val="20"/>
              </w:rPr>
              <w:t>月</w:t>
            </w:r>
            <w:r>
              <w:rPr>
                <w:rFonts w:hint="eastAsia" w:ascii="宋体" w:hAnsi="宋体" w:eastAsia="宋体" w:cs="宋体"/>
                <w:sz w:val="20"/>
                <w:szCs w:val="20"/>
                <w:lang w:val="en-US" w:eastAsia="zh-CN"/>
              </w:rPr>
              <w:t>2</w:t>
            </w:r>
            <w:r>
              <w:rPr>
                <w:rFonts w:ascii="宋体" w:hAnsi="宋体" w:eastAsia="宋体" w:cs="宋体"/>
                <w:sz w:val="20"/>
                <w:szCs w:val="20"/>
              </w:rPr>
              <w:t>日</w:t>
            </w:r>
          </w:p>
        </w:tc>
      </w:tr>
    </w:tbl>
    <w:p w14:paraId="1254DB36">
      <w:pPr>
        <w:rPr>
          <w:rFonts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jZTMyMTIzOWRhOGU0MjczYmIyOWM2MjgxNGY3OTcifQ=="/>
  </w:docVars>
  <w:rsids>
    <w:rsidRoot w:val="00301D32"/>
    <w:rsid w:val="00026CC3"/>
    <w:rsid w:val="00036089"/>
    <w:rsid w:val="00053CFA"/>
    <w:rsid w:val="000633EC"/>
    <w:rsid w:val="00063804"/>
    <w:rsid w:val="000665A2"/>
    <w:rsid w:val="000877AB"/>
    <w:rsid w:val="000B7C08"/>
    <w:rsid w:val="000D12CF"/>
    <w:rsid w:val="000D2D88"/>
    <w:rsid w:val="000E28C2"/>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D42C4"/>
    <w:rsid w:val="00AE1E36"/>
    <w:rsid w:val="00AF74AA"/>
    <w:rsid w:val="00B03C2F"/>
    <w:rsid w:val="00B15064"/>
    <w:rsid w:val="00B340A3"/>
    <w:rsid w:val="00B410F5"/>
    <w:rsid w:val="00B6280C"/>
    <w:rsid w:val="00B671A4"/>
    <w:rsid w:val="00B72CD4"/>
    <w:rsid w:val="00B85B00"/>
    <w:rsid w:val="00BF132F"/>
    <w:rsid w:val="00C13878"/>
    <w:rsid w:val="00C56715"/>
    <w:rsid w:val="00CA1705"/>
    <w:rsid w:val="00CB03E2"/>
    <w:rsid w:val="00CE1A54"/>
    <w:rsid w:val="00CF5FB6"/>
    <w:rsid w:val="00D02518"/>
    <w:rsid w:val="00D17454"/>
    <w:rsid w:val="00D33FBC"/>
    <w:rsid w:val="00D7535C"/>
    <w:rsid w:val="00D76302"/>
    <w:rsid w:val="00DA5CE2"/>
    <w:rsid w:val="00DE10E8"/>
    <w:rsid w:val="00E16FDA"/>
    <w:rsid w:val="00E35F58"/>
    <w:rsid w:val="00E45BD9"/>
    <w:rsid w:val="00E66FFC"/>
    <w:rsid w:val="00E73860"/>
    <w:rsid w:val="00E759D6"/>
    <w:rsid w:val="00E84A8C"/>
    <w:rsid w:val="00E976DE"/>
    <w:rsid w:val="00EC0F83"/>
    <w:rsid w:val="00EE3187"/>
    <w:rsid w:val="00EF499B"/>
    <w:rsid w:val="00F14977"/>
    <w:rsid w:val="00FB4A08"/>
    <w:rsid w:val="00FC0C2A"/>
    <w:rsid w:val="00FD7F8E"/>
    <w:rsid w:val="00FF11E4"/>
    <w:rsid w:val="04B072D4"/>
    <w:rsid w:val="05F575D4"/>
    <w:rsid w:val="064249C6"/>
    <w:rsid w:val="06A72A7B"/>
    <w:rsid w:val="079E3E1F"/>
    <w:rsid w:val="08641132"/>
    <w:rsid w:val="09186774"/>
    <w:rsid w:val="0945438F"/>
    <w:rsid w:val="0A71587A"/>
    <w:rsid w:val="0A751D26"/>
    <w:rsid w:val="0B5F3925"/>
    <w:rsid w:val="0B792C38"/>
    <w:rsid w:val="0C28640C"/>
    <w:rsid w:val="0E90599A"/>
    <w:rsid w:val="0ED720CD"/>
    <w:rsid w:val="108B5805"/>
    <w:rsid w:val="12070CAE"/>
    <w:rsid w:val="145F688C"/>
    <w:rsid w:val="14D47131"/>
    <w:rsid w:val="14E250A2"/>
    <w:rsid w:val="15680001"/>
    <w:rsid w:val="15DD2205"/>
    <w:rsid w:val="17072842"/>
    <w:rsid w:val="17A67110"/>
    <w:rsid w:val="1864189B"/>
    <w:rsid w:val="18D73A7D"/>
    <w:rsid w:val="19557370"/>
    <w:rsid w:val="1A8C60A2"/>
    <w:rsid w:val="1BD06B6A"/>
    <w:rsid w:val="1E59500A"/>
    <w:rsid w:val="1F782BDE"/>
    <w:rsid w:val="204A6A53"/>
    <w:rsid w:val="23317869"/>
    <w:rsid w:val="25650CAE"/>
    <w:rsid w:val="26406598"/>
    <w:rsid w:val="2686568A"/>
    <w:rsid w:val="28080056"/>
    <w:rsid w:val="28734C1A"/>
    <w:rsid w:val="28C72DDD"/>
    <w:rsid w:val="29EE0E64"/>
    <w:rsid w:val="2BC4020A"/>
    <w:rsid w:val="2C884799"/>
    <w:rsid w:val="2EF90F16"/>
    <w:rsid w:val="2F125C63"/>
    <w:rsid w:val="302C3D0A"/>
    <w:rsid w:val="3104598F"/>
    <w:rsid w:val="33DE31BB"/>
    <w:rsid w:val="33FF3F3C"/>
    <w:rsid w:val="36760AA0"/>
    <w:rsid w:val="3882670E"/>
    <w:rsid w:val="389C49C0"/>
    <w:rsid w:val="39B02FEA"/>
    <w:rsid w:val="39BC78F4"/>
    <w:rsid w:val="3B35486F"/>
    <w:rsid w:val="3B365BA1"/>
    <w:rsid w:val="3D8C7CFA"/>
    <w:rsid w:val="3EF1250A"/>
    <w:rsid w:val="40567DB0"/>
    <w:rsid w:val="40604E40"/>
    <w:rsid w:val="40FC361F"/>
    <w:rsid w:val="40FF5CD2"/>
    <w:rsid w:val="42DB40B0"/>
    <w:rsid w:val="43B71B0A"/>
    <w:rsid w:val="43C2182F"/>
    <w:rsid w:val="44FA0589"/>
    <w:rsid w:val="45A663E3"/>
    <w:rsid w:val="469F09AF"/>
    <w:rsid w:val="4A5C6B0C"/>
    <w:rsid w:val="4B756271"/>
    <w:rsid w:val="4C8E1CA8"/>
    <w:rsid w:val="4CA71D77"/>
    <w:rsid w:val="4D6D36A4"/>
    <w:rsid w:val="510903EF"/>
    <w:rsid w:val="53F137F4"/>
    <w:rsid w:val="543A6906"/>
    <w:rsid w:val="56301712"/>
    <w:rsid w:val="565921E0"/>
    <w:rsid w:val="56850CBB"/>
    <w:rsid w:val="57B93924"/>
    <w:rsid w:val="59D80F30"/>
    <w:rsid w:val="59D8738A"/>
    <w:rsid w:val="5A666D76"/>
    <w:rsid w:val="5A814857"/>
    <w:rsid w:val="5B2253C2"/>
    <w:rsid w:val="5B586771"/>
    <w:rsid w:val="5B8A284D"/>
    <w:rsid w:val="5BF069D6"/>
    <w:rsid w:val="5CF02E0F"/>
    <w:rsid w:val="5D2E002E"/>
    <w:rsid w:val="5EB20803"/>
    <w:rsid w:val="603269D2"/>
    <w:rsid w:val="60A24FBB"/>
    <w:rsid w:val="60A81824"/>
    <w:rsid w:val="61655490"/>
    <w:rsid w:val="61A52BCA"/>
    <w:rsid w:val="651A5A67"/>
    <w:rsid w:val="67095496"/>
    <w:rsid w:val="67ED7463"/>
    <w:rsid w:val="681A546A"/>
    <w:rsid w:val="68507D37"/>
    <w:rsid w:val="69CB37D4"/>
    <w:rsid w:val="6A0D5B9B"/>
    <w:rsid w:val="6A3B23B1"/>
    <w:rsid w:val="6AEA32DC"/>
    <w:rsid w:val="6CC24AB5"/>
    <w:rsid w:val="6D9271B2"/>
    <w:rsid w:val="6E3D27C7"/>
    <w:rsid w:val="6F134790"/>
    <w:rsid w:val="6FE81F5F"/>
    <w:rsid w:val="71C80A97"/>
    <w:rsid w:val="72446028"/>
    <w:rsid w:val="73076EC0"/>
    <w:rsid w:val="73EC4A73"/>
    <w:rsid w:val="74210CA6"/>
    <w:rsid w:val="746F4E76"/>
    <w:rsid w:val="74EC6F99"/>
    <w:rsid w:val="76087EC0"/>
    <w:rsid w:val="76430096"/>
    <w:rsid w:val="774C1F07"/>
    <w:rsid w:val="781B097C"/>
    <w:rsid w:val="78474A20"/>
    <w:rsid w:val="788C25F5"/>
    <w:rsid w:val="79F72AA9"/>
    <w:rsid w:val="7A144529"/>
    <w:rsid w:val="7DD37FAE"/>
    <w:rsid w:val="7E6A3164"/>
    <w:rsid w:val="7E96166F"/>
    <w:rsid w:val="7F4D3B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qFormat/>
    <w:uiPriority w:val="0"/>
  </w:style>
  <w:style w:type="paragraph" w:styleId="4">
    <w:name w:val="Body Text"/>
    <w:basedOn w:val="1"/>
    <w:qFormat/>
    <w:uiPriority w:val="1"/>
    <w:pPr>
      <w:ind w:left="220"/>
    </w:pPr>
    <w:rPr>
      <w:sz w:val="32"/>
      <w:szCs w:val="32"/>
    </w:rPr>
  </w:style>
  <w:style w:type="paragraph" w:styleId="5">
    <w:name w:val="Balloon Text"/>
    <w:basedOn w:val="1"/>
    <w:link w:val="20"/>
    <w:qFormat/>
    <w:uiPriority w:val="0"/>
    <w:rPr>
      <w:sz w:val="18"/>
      <w:szCs w:val="18"/>
    </w:rPr>
  </w:style>
  <w:style w:type="paragraph" w:styleId="6">
    <w:name w:val="footer"/>
    <w:basedOn w:val="1"/>
    <w:link w:val="17"/>
    <w:qFormat/>
    <w:uiPriority w:val="0"/>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3"/>
    <w:next w:val="3"/>
    <w:link w:val="19"/>
    <w:qFormat/>
    <w:uiPriority w:val="0"/>
    <w:rPr>
      <w:b/>
      <w:bCs/>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unhideWhenUsed/>
    <w:qFormat/>
    <w:uiPriority w:val="99"/>
    <w:rPr>
      <w:color w:val="0563C1"/>
      <w:u w:val="single"/>
    </w:rPr>
  </w:style>
  <w:style w:type="character" w:styleId="14">
    <w:name w:val="annotation reference"/>
    <w:basedOn w:val="12"/>
    <w:qFormat/>
    <w:uiPriority w:val="0"/>
    <w:rPr>
      <w:sz w:val="21"/>
      <w:szCs w:val="21"/>
    </w:rPr>
  </w:style>
  <w:style w:type="paragraph" w:customStyle="1" w:styleId="15">
    <w:name w:val="Table Paragraph"/>
    <w:basedOn w:val="1"/>
    <w:qFormat/>
    <w:uiPriority w:val="1"/>
  </w:style>
  <w:style w:type="character" w:customStyle="1" w:styleId="16">
    <w:name w:val="页眉 字符"/>
    <w:basedOn w:val="12"/>
    <w:link w:val="7"/>
    <w:qFormat/>
    <w:uiPriority w:val="0"/>
    <w:rPr>
      <w:rFonts w:ascii="仿宋" w:hAnsi="仿宋" w:eastAsia="仿宋" w:cs="仿宋"/>
      <w:sz w:val="18"/>
      <w:szCs w:val="18"/>
      <w:lang w:val="zh-CN" w:bidi="zh-CN"/>
    </w:rPr>
  </w:style>
  <w:style w:type="character" w:customStyle="1" w:styleId="17">
    <w:name w:val="页脚 字符"/>
    <w:basedOn w:val="12"/>
    <w:link w:val="6"/>
    <w:qFormat/>
    <w:uiPriority w:val="0"/>
    <w:rPr>
      <w:rFonts w:ascii="仿宋" w:hAnsi="仿宋" w:eastAsia="仿宋" w:cs="仿宋"/>
      <w:sz w:val="18"/>
      <w:szCs w:val="18"/>
      <w:lang w:val="zh-CN" w:bidi="zh-CN"/>
    </w:rPr>
  </w:style>
  <w:style w:type="character" w:customStyle="1" w:styleId="18">
    <w:name w:val="批注文字 字符"/>
    <w:basedOn w:val="12"/>
    <w:link w:val="3"/>
    <w:qFormat/>
    <w:uiPriority w:val="0"/>
    <w:rPr>
      <w:rFonts w:ascii="仿宋" w:hAnsi="仿宋" w:eastAsia="仿宋" w:cs="仿宋"/>
      <w:sz w:val="22"/>
      <w:szCs w:val="22"/>
      <w:lang w:val="zh-CN" w:bidi="zh-CN"/>
    </w:rPr>
  </w:style>
  <w:style w:type="character" w:customStyle="1" w:styleId="19">
    <w:name w:val="批注主题 字符"/>
    <w:basedOn w:val="18"/>
    <w:link w:val="9"/>
    <w:qFormat/>
    <w:uiPriority w:val="0"/>
    <w:rPr>
      <w:rFonts w:ascii="仿宋" w:hAnsi="仿宋" w:eastAsia="仿宋" w:cs="仿宋"/>
      <w:b/>
      <w:bCs/>
      <w:sz w:val="22"/>
      <w:szCs w:val="22"/>
      <w:lang w:val="zh-CN" w:bidi="zh-CN"/>
    </w:rPr>
  </w:style>
  <w:style w:type="character" w:customStyle="1" w:styleId="20">
    <w:name w:val="批注框文本 字符"/>
    <w:basedOn w:val="12"/>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549da81d-bb88-48cf-a503-60eca66d318e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54C43A6</paraID>
      <start>0</start>
      <end>2</end>
      <status>unmodified</status>
      <modifiedWord/>
      <trackRevisions>false</trackRevisions>
    </reviewItem>
    <reviewItem>
      <errorID>ff301911-ca5c-4947-a83c-38cccb494c92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5ED34850</paraID>
      <start>0</start>
      <end>2</end>
      <status>unmodified</status>
      <modifiedWord/>
      <trackRevisions>false</trackRevisions>
    </reviewItem>
    <reviewItem>
      <errorID>a27d0491-bb85-4414-ae69-53acedacb3c0</errorID>
      <errorWord>年和</errorWord>
      <group>L1_Grammar</group>
      <groupName>语法问题</groupName>
      <ability>L2_Order</ability>
      <abilityName>语序不当</abilityName>
      <candidateList>
        <item>年</item>
      </candidateList>
      <explain>句子可能没有遵循时空、逻辑顺序，或者介词、关联词等位置不当。</explain>
      <paraID>5ED34850</paraID>
      <start>6</start>
      <end>8</end>
      <status>unmodified</status>
      <modifiedWord/>
      <trackRevisions>false</trackRevisions>
    </reviewItem>
    <reviewItem>
      <errorID>1eadf23e-43e0-45d4-a1ae-a88ae6e58b47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3B62FB36</paraID>
      <start>0</start>
      <end>2</end>
      <status>unmodified</status>
      <modifiedWord/>
      <trackRevisions>false</trackRevisions>
    </reviewItem>
    <reviewItem>
      <errorID>673f9cce-4e95-4fef-ac1b-06177e4cd4d8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50477957</paraID>
      <start>0</start>
      <end>2</end>
      <status>unmodified</status>
      <modifiedWord/>
      <trackRevisions>false</trackRevisions>
    </reviewItem>
    <reviewItem>
      <errorID>cebaa33c-240b-4730-9251-5fe0fe20b1e0</errorID>
      <errorWord>3-6亿</errorWord>
      <group>L1_Knowledge</group>
      <groupName>知识性问题</groupName>
      <ability>L2_Knowledge</ability>
      <abilityName>其他知识</abilityName>
      <candidateList>
        <item>3亿—6亿</item>
      </candidateList>
      <explain>1. “3-6亿”中的单位“亿”仅出现在后一个数字上，容易引起歧义；根据《现代汉语标点符号数字用法规范手册》，数字表示范围两边需要使用统一的格式。2.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50477957</paraID>
      <start>9</start>
      <end>13</end>
      <status>unmodified</status>
      <modifiedWord/>
      <trackRevisions>false</trackRevisions>
    </reviewItem>
    <reviewItem>
      <errorID>f3b34e9a-c609-4ca8-9d72-edc841d86227</errorID>
      <errorWord>是</errorWord>
      <group>L1_Word</group>
      <groupName>字词问题</groupName>
      <ability>L2_Typo</ability>
      <abilityName>字词错误</abilityName>
      <candidateList>
        <item>是否</item>
      </candidateList>
      <explain/>
      <paraID>50477957</paraID>
      <start>23</start>
      <end>24</end>
      <status>unmodified</status>
      <modifiedWord/>
      <trackRevisions>false</trackRevisions>
    </reviewItem>
    <reviewItem>
      <errorID>007671b9-42e2-414b-8f03-0ef64b7e2bdd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5020D697</paraID>
      <start>0</start>
      <end>2</end>
      <status>unmodified</status>
      <modifiedWord/>
      <trackRevisions>false</trackRevisions>
    </reviewItem>
    <reviewItem>
      <errorID>23b04c1d-aa7a-4f2d-bdbd-2a0fbcee287e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63B29992</paraID>
      <start>0</start>
      <end>2</end>
      <status>unmodified</status>
      <modifiedWord/>
      <trackRevisions>false</trackRevisions>
    </reviewItem>
    <reviewItem>
      <errorID>77b4c4ed-dc7f-4b8e-80e2-303c9fde1e56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1E4E61BA</paraID>
      <start>0</start>
      <end>2</end>
      <status>unmodified</status>
      <modifiedWord/>
      <trackRevisions>false</trackRevisions>
    </reviewItem>
    <reviewItem>
      <errorID>13d2ff76-fa3e-4ed6-a84a-e02d9c6b1d81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1276DBCE</paraID>
      <start>0</start>
      <end>2</end>
      <status>unmodified</status>
      <modifiedWord/>
      <trackRevisions>false</trackRevisions>
    </reviewItem>
    <reviewItem>
      <errorID>9d2a98ff-5a7e-43df-8f46-9ab8a22c0d1e</errorID>
      <errorWord>"</errorWord>
      <group>L1_Format</group>
      <groupName>格式问题</groupName>
      <ability>L2_HalfPunc_CN</ability>
      <abilityName>全半角检查</abilityName>
      <candidateList>
        <item>“</item>
      </candidateList>
      <explain>文本全半角错误。</explain>
      <paraID>7332B5A5</paraID>
      <start>21</start>
      <end>22</end>
      <status>unmodified</status>
      <modifiedWord/>
      <trackRevisions>false</trackRevisions>
    </reviewItem>
    <reviewItem>
      <errorID>8bffa952-229a-4e25-bb1f-4398dc75d71b</errorID>
      <errorWord>"</errorWord>
      <group>L1_Format</group>
      <groupName>格式问题</groupName>
      <ability>L2_HalfPunc_CN</ability>
      <abilityName>全半角检查</abilityName>
      <candidateList>
        <item>”</item>
      </candidateList>
      <explain>文本全半角错误。</explain>
      <paraID>7332B5A5</paraID>
      <start>27</start>
      <end>28</end>
      <status>unmodified</status>
      <modifiedWord/>
      <trackRevisions>false</trackRevisions>
    </reviewItem>
    <reviewItem>
      <errorID>0248a80f-15e8-43cb-86c9-04c741069147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1F2A7B7</paraID>
      <start>0</start>
      <end>2</end>
      <status>unmodified</status>
      <modifiedWord/>
      <trackRevisions>false</trackRevisions>
    </reviewItem>
    <reviewItem>
      <errorID>14b60fe3-4ad6-4e54-9937-e23bc2fe1c1e</errorID>
      <errorWord>司</errorWord>
      <group>L1_Word</group>
      <groupName>字词问题</groupName>
      <ability>L2_Typo</ability>
      <abilityName>字词错误</abilityName>
      <candidateList>
        <item>司将</item>
      </candidateList>
      <explain/>
      <paraID>1A59C91B</paraID>
      <start>10</start>
      <end>11</end>
      <status>unmodified</status>
      <modifiedWord/>
      <trackRevisions>false</trackRevisions>
    </reviewItem>
    <reviewItem>
      <errorID>3ba2ba88-63c8-4d73-a172-f4c2d25d6d6f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482FC686</paraID>
      <start>0</start>
      <end>3</end>
      <status>unmodified</status>
      <modifiedWord/>
      <trackRevisions>false</trackRevisions>
    </reviewItem>
    <reviewItem>
      <errorID>9661dc91-ae04-45c4-8792-3713c746dadc</errorID>
      <errorWord>,</errorWord>
      <group>L1_Format</group>
      <groupName>格式问题</groupName>
      <ability>L2_HalfPunc_CN</ability>
      <abilityName>全半角检查</abilityName>
      <candidateList>
        <item>，</item>
      </candidateList>
      <explain>文本全半角错误。</explain>
      <paraID>482FC686</paraID>
      <start>43</start>
      <end>44</end>
      <status>unmodified</status>
      <modifiedWord/>
      <trackRevisions>false</trackRevisions>
    </reviewItem>
    <reviewItem>
      <errorID>a2507e66-4580-4e78-98d7-a2483db2f26d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B58A619</paraID>
      <start>17</start>
      <end>18</end>
      <status>unmodified</status>
      <modifiedWord/>
      <trackRevisions>false</trackRevisions>
    </reviewItem>
    <reviewItem>
      <errorID>56de60f6-e679-4cfe-8112-076e30b6d196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6A5B3E3</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2416454-D52C-4974-A468-5D02FFFCA6D4}">
  <ds:schemaRefs/>
</ds:datastoreItem>
</file>

<file path=customXml/itemProps2.xml><?xml version="1.0" encoding="utf-8"?>
<ds:datastoreItem xmlns:ds="http://schemas.openxmlformats.org/officeDocument/2006/customXml" ds:itemID="{c321c270-4c40-4b8d-a619-66a07a289321}">
  <ds:schemaRefs/>
</ds:datastoreItem>
</file>

<file path=docProps/app.xml><?xml version="1.0" encoding="utf-8"?>
<Properties xmlns="http://schemas.openxmlformats.org/officeDocument/2006/extended-properties" xmlns:vt="http://schemas.openxmlformats.org/officeDocument/2006/docPropsVTypes">
  <Template>Normal</Template>
  <Pages>5</Pages>
  <Words>3354</Words>
  <Characters>3525</Characters>
  <Lines>26</Lines>
  <Paragraphs>7</Paragraphs>
  <TotalTime>17</TotalTime>
  <ScaleCrop>false</ScaleCrop>
  <LinksUpToDate>false</LinksUpToDate>
  <CharactersWithSpaces>3587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2026-04-20T10:13:00Z</dcterms:created>
  <dc:creator>jie.huang</dc:creator>
  <cp:lastModifiedBy>方方</cp:lastModifiedBy>
  <dcterms:modified xsi:type="dcterms:W3CDTF">2026-06-03T03:30:26Z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DE159DE409004B6F8FE9CA3B298B527A_13</vt:lpwstr>
  </property>
  <property fmtid="{D5CDD505-2E9C-101B-9397-08002B2CF9AE}" pid="4" name="KSOTemplateDocerSaveRecord">
    <vt:lpwstr>eyJoZGlkIjoiY2JiZmEzYTQ4NmE4NzBiMDc3NzA0YTJjYmRlNGVmZDQiLCJ1c2VySWQiOiIyMDExMjI3MzIifQ==</vt:lpwstr>
  </property>
</Properties>
</file>