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3F2AB">
      <w:pPr>
        <w:jc w:val="left"/>
        <w:rPr>
          <w:rFonts w:hAnsi="宋体"/>
          <w:bCs/>
          <w:iCs/>
          <w:color w:val="000000"/>
          <w:sz w:val="24"/>
        </w:rPr>
      </w:pPr>
      <w:r>
        <w:rPr>
          <w:rFonts w:hint="eastAsia" w:ascii="宋体" w:hAnsi="宋体"/>
          <w:sz w:val="24"/>
          <w:szCs w:val="24"/>
        </w:rPr>
        <w:t>证券代码：</w:t>
      </w:r>
      <w:r>
        <w:rPr>
          <w:rFonts w:ascii="宋体" w:hAnsi="宋体"/>
          <w:sz w:val="24"/>
          <w:szCs w:val="24"/>
        </w:rPr>
        <w:t>605366</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公司简称：</w:t>
      </w:r>
      <w:r>
        <w:rPr>
          <w:rFonts w:ascii="宋体" w:hAnsi="宋体"/>
          <w:sz w:val="24"/>
          <w:szCs w:val="24"/>
        </w:rPr>
        <w:t>宏柏新材</w:t>
      </w:r>
    </w:p>
    <w:p w14:paraId="0081586D">
      <w:pPr>
        <w:jc w:val="left"/>
        <w:rPr>
          <w:rFonts w:ascii="宋体" w:hAnsi="宋体"/>
          <w:sz w:val="24"/>
          <w:szCs w:val="24"/>
        </w:rPr>
      </w:pPr>
    </w:p>
    <w:p w14:paraId="7D29F9F4">
      <w:pPr>
        <w:jc w:val="center"/>
        <w:rPr>
          <w:rFonts w:ascii="黑体" w:hAnsi="黑体" w:eastAsia="黑体"/>
          <w:sz w:val="36"/>
          <w:szCs w:val="36"/>
        </w:rPr>
      </w:pPr>
      <w:r>
        <w:rPr>
          <w:rFonts w:hint="eastAsia" w:ascii="黑体" w:hAnsi="黑体" w:eastAsia="黑体"/>
          <w:sz w:val="36"/>
          <w:szCs w:val="36"/>
        </w:rPr>
        <w:t>江西宏柏新材料股份有限公司</w:t>
      </w:r>
    </w:p>
    <w:p w14:paraId="4E66F3DC">
      <w:pPr>
        <w:jc w:val="center"/>
        <w:rPr>
          <w:rFonts w:ascii="黑体" w:hAnsi="黑体" w:eastAsia="黑体"/>
          <w:sz w:val="36"/>
          <w:szCs w:val="36"/>
        </w:rPr>
      </w:pPr>
      <w:r>
        <w:rPr>
          <w:rFonts w:hint="eastAsia" w:ascii="黑体" w:hAnsi="黑体" w:eastAsia="黑体"/>
          <w:sz w:val="36"/>
          <w:szCs w:val="36"/>
        </w:rPr>
        <w:t>投资者关系活动记录表</w:t>
      </w:r>
    </w:p>
    <w:p w14:paraId="5EA62BCB">
      <w:pPr>
        <w:jc w:val="center"/>
        <w:rPr>
          <w:rFonts w:ascii="黑体" w:hAnsi="黑体" w:eastAsia="黑体"/>
          <w:sz w:val="24"/>
          <w:szCs w:val="24"/>
        </w:rPr>
      </w:pPr>
    </w:p>
    <w:p w14:paraId="27EAE1AA">
      <w:pPr>
        <w:ind w:right="720"/>
        <w:jc w:val="right"/>
        <w:rPr>
          <w:rFonts w:ascii="黑体" w:hAnsi="黑体" w:eastAsia="黑体"/>
          <w:sz w:val="24"/>
          <w:szCs w:val="24"/>
        </w:rPr>
      </w:pPr>
      <w:r>
        <w:rPr>
          <w:rFonts w:hint="eastAsia" w:ascii="黑体" w:hAnsi="黑体" w:eastAsia="黑体"/>
          <w:sz w:val="24"/>
          <w:szCs w:val="24"/>
        </w:rPr>
        <w:t>编号：2026-003</w:t>
      </w:r>
    </w:p>
    <w:tbl>
      <w:tblPr>
        <w:tblStyle w:val="6"/>
        <w:tblW w:w="8997"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6"/>
        <w:gridCol w:w="7191"/>
      </w:tblGrid>
      <w:tr w14:paraId="0B9D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vAlign w:val="center"/>
          </w:tcPr>
          <w:p w14:paraId="78E00534">
            <w:pPr>
              <w:rPr>
                <w:sz w:val="24"/>
                <w:szCs w:val="24"/>
              </w:rPr>
            </w:pPr>
            <w:r>
              <w:rPr>
                <w:rFonts w:hint="eastAsia"/>
                <w:sz w:val="24"/>
                <w:szCs w:val="24"/>
              </w:rPr>
              <w:t>投资者关系活动类别</w:t>
            </w:r>
          </w:p>
        </w:tc>
        <w:tc>
          <w:tcPr>
            <w:tcW w:w="7191" w:type="dxa"/>
            <w:vAlign w:val="center"/>
          </w:tcPr>
          <w:p w14:paraId="4534A2E9">
            <w:pPr>
              <w:spacing w:line="420" w:lineRule="exact"/>
              <w:rPr>
                <w:bCs/>
                <w:iCs/>
                <w:color w:val="000000"/>
                <w:sz w:val="24"/>
              </w:rPr>
            </w:pPr>
            <w:r>
              <w:rPr>
                <w:rFonts w:hint="eastAsia"/>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0F5AAAC6">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4563783">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A9C5E4E">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BDA9546">
            <w:pPr>
              <w:spacing w:line="360" w:lineRule="auto"/>
              <w:rPr>
                <w:sz w:val="24"/>
                <w:szCs w:val="24"/>
              </w:rPr>
            </w:pP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int="eastAsia" w:hAnsi="宋体"/>
                <w:kern w:val="0"/>
                <w:sz w:val="24"/>
              </w:rPr>
              <w:t>电话会议）</w:t>
            </w:r>
          </w:p>
        </w:tc>
      </w:tr>
      <w:tr w14:paraId="47AC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6" w:hRule="atLeast"/>
        </w:trPr>
        <w:tc>
          <w:tcPr>
            <w:tcW w:w="1806" w:type="dxa"/>
            <w:vAlign w:val="center"/>
          </w:tcPr>
          <w:p w14:paraId="366E9A89">
            <w:pPr>
              <w:rPr>
                <w:sz w:val="24"/>
                <w:szCs w:val="24"/>
              </w:rPr>
            </w:pPr>
            <w:r>
              <w:rPr>
                <w:rFonts w:hint="eastAsia"/>
                <w:sz w:val="24"/>
                <w:szCs w:val="24"/>
              </w:rPr>
              <w:t>参与单位名称</w:t>
            </w:r>
          </w:p>
        </w:tc>
        <w:tc>
          <w:tcPr>
            <w:tcW w:w="7191" w:type="dxa"/>
            <w:vAlign w:val="center"/>
          </w:tcPr>
          <w:p w14:paraId="4C2B3B8E">
            <w:pPr>
              <w:rPr>
                <w:rFonts w:ascii="宋体" w:hAnsi="宋体" w:cs="宋体"/>
                <w:bCs/>
                <w:iCs/>
                <w:color w:val="000000"/>
                <w:sz w:val="24"/>
              </w:rPr>
            </w:pPr>
            <w:r>
              <w:rPr>
                <w:rFonts w:hint="eastAsia" w:ascii="宋体" w:hAnsi="宋体" w:cs="宋体"/>
                <w:bCs/>
                <w:iCs/>
                <w:color w:val="000000"/>
                <w:sz w:val="24"/>
                <w:lang w:val="en-GB"/>
              </w:rPr>
              <w:t>行必达（厦门）私募基金管理有限公司、上海承风金萍私募基金</w:t>
            </w:r>
            <w:r>
              <w:rPr>
                <w:rFonts w:hint="eastAsia" w:ascii="宋体" w:hAnsi="宋体" w:cs="宋体"/>
                <w:bCs/>
                <w:iCs/>
                <w:color w:val="000000"/>
                <w:sz w:val="24"/>
              </w:rPr>
              <w:t>、</w:t>
            </w:r>
          </w:p>
          <w:p w14:paraId="3198A2DC">
            <w:pPr>
              <w:rPr>
                <w:sz w:val="24"/>
                <w:szCs w:val="24"/>
              </w:rPr>
            </w:pPr>
            <w:r>
              <w:rPr>
                <w:rFonts w:ascii="宋体" w:hAnsi="宋体" w:cs="宋体"/>
                <w:bCs/>
                <w:iCs/>
                <w:color w:val="000000"/>
                <w:sz w:val="24"/>
              </w:rPr>
              <w:t>圆信永丰基金管理有限公司</w:t>
            </w:r>
            <w:r>
              <w:rPr>
                <w:rFonts w:hint="eastAsia" w:ascii="宋体" w:hAnsi="宋体" w:cs="宋体"/>
                <w:bCs/>
                <w:iCs/>
                <w:color w:val="000000"/>
                <w:sz w:val="24"/>
              </w:rPr>
              <w:t>、</w:t>
            </w:r>
            <w:r>
              <w:rPr>
                <w:rFonts w:ascii="宋体" w:hAnsi="宋体" w:cs="宋体"/>
                <w:bCs/>
                <w:iCs/>
                <w:color w:val="000000"/>
                <w:sz w:val="24"/>
              </w:rPr>
              <w:t>浦银安盛基金管理有限公司</w:t>
            </w:r>
            <w:r>
              <w:rPr>
                <w:rFonts w:hint="eastAsia" w:ascii="宋体" w:hAnsi="宋体" w:cs="宋体"/>
                <w:bCs/>
                <w:iCs/>
                <w:color w:val="000000"/>
                <w:sz w:val="24"/>
              </w:rPr>
              <w:t>、</w:t>
            </w:r>
            <w:r>
              <w:rPr>
                <w:rFonts w:ascii="宋体" w:hAnsi="宋体" w:cs="宋体"/>
                <w:bCs/>
                <w:iCs/>
                <w:color w:val="000000"/>
                <w:sz w:val="24"/>
              </w:rPr>
              <w:t>兴银基金管理有限公司</w:t>
            </w:r>
            <w:r>
              <w:rPr>
                <w:rFonts w:hint="eastAsia" w:ascii="宋体" w:hAnsi="宋体" w:cs="宋体"/>
                <w:bCs/>
                <w:iCs/>
                <w:color w:val="000000"/>
                <w:sz w:val="24"/>
              </w:rPr>
              <w:t>、</w:t>
            </w:r>
            <w:r>
              <w:rPr>
                <w:rFonts w:ascii="宋体" w:hAnsi="宋体" w:cs="宋体"/>
                <w:bCs/>
                <w:iCs/>
                <w:color w:val="000000"/>
                <w:sz w:val="24"/>
              </w:rPr>
              <w:t>厦门市集美区产业投资有限公司</w:t>
            </w:r>
            <w:r>
              <w:rPr>
                <w:rFonts w:hint="eastAsia" w:ascii="宋体" w:hAnsi="宋体" w:cs="宋体"/>
                <w:bCs/>
                <w:iCs/>
                <w:color w:val="000000"/>
                <w:sz w:val="24"/>
              </w:rPr>
              <w:t>、</w:t>
            </w:r>
            <w:r>
              <w:rPr>
                <w:rFonts w:ascii="宋体" w:hAnsi="宋体" w:cs="宋体"/>
                <w:bCs/>
                <w:iCs/>
                <w:color w:val="000000"/>
                <w:sz w:val="24"/>
              </w:rPr>
              <w:t>上海松石投资管理有限公司</w:t>
            </w:r>
            <w:r>
              <w:rPr>
                <w:rFonts w:hint="eastAsia" w:ascii="宋体" w:hAnsi="宋体" w:cs="宋体"/>
                <w:bCs/>
                <w:iCs/>
                <w:color w:val="000000"/>
                <w:sz w:val="24"/>
              </w:rPr>
              <w:t>、</w:t>
            </w:r>
            <w:r>
              <w:rPr>
                <w:rFonts w:ascii="宋体" w:hAnsi="宋体" w:cs="宋体"/>
                <w:bCs/>
                <w:iCs/>
                <w:color w:val="000000"/>
                <w:sz w:val="24"/>
              </w:rPr>
              <w:t>彤源基金</w:t>
            </w:r>
            <w:r>
              <w:rPr>
                <w:rFonts w:hint="eastAsia" w:ascii="宋体" w:hAnsi="宋体" w:cs="宋体"/>
                <w:bCs/>
                <w:iCs/>
                <w:color w:val="000000"/>
                <w:sz w:val="24"/>
              </w:rPr>
              <w:t xml:space="preserve"> 、</w:t>
            </w:r>
            <w:r>
              <w:rPr>
                <w:rFonts w:ascii="宋体" w:hAnsi="宋体" w:cs="宋体"/>
                <w:bCs/>
                <w:iCs/>
                <w:color w:val="000000"/>
                <w:sz w:val="24"/>
              </w:rPr>
              <w:t>天治基金</w:t>
            </w:r>
            <w:r>
              <w:rPr>
                <w:rFonts w:hint="eastAsia" w:ascii="宋体" w:hAnsi="宋体" w:cs="宋体"/>
                <w:bCs/>
                <w:iCs/>
                <w:color w:val="000000"/>
                <w:sz w:val="24"/>
              </w:rPr>
              <w:t xml:space="preserve"> 、</w:t>
            </w:r>
            <w:r>
              <w:rPr>
                <w:rFonts w:ascii="宋体" w:hAnsi="宋体" w:cs="宋体"/>
                <w:bCs/>
                <w:iCs/>
                <w:color w:val="000000"/>
                <w:sz w:val="24"/>
              </w:rPr>
              <w:t>途灵资管</w:t>
            </w:r>
            <w:r>
              <w:rPr>
                <w:rFonts w:hint="eastAsia" w:ascii="宋体" w:hAnsi="宋体" w:cs="宋体"/>
                <w:bCs/>
                <w:iCs/>
                <w:color w:val="000000"/>
                <w:sz w:val="24"/>
              </w:rPr>
              <w:t>、</w:t>
            </w:r>
            <w:r>
              <w:rPr>
                <w:rFonts w:ascii="宋体" w:hAnsi="宋体" w:cs="宋体"/>
                <w:bCs/>
                <w:iCs/>
                <w:color w:val="000000"/>
                <w:sz w:val="24"/>
              </w:rPr>
              <w:t>华富基金</w:t>
            </w:r>
            <w:r>
              <w:rPr>
                <w:rFonts w:hint="eastAsia" w:ascii="宋体" w:hAnsi="宋体" w:cs="宋体"/>
                <w:bCs/>
                <w:iCs/>
                <w:color w:val="000000"/>
                <w:sz w:val="24"/>
              </w:rPr>
              <w:t>、</w:t>
            </w:r>
            <w:r>
              <w:rPr>
                <w:rFonts w:ascii="宋体" w:hAnsi="宋体" w:cs="宋体"/>
                <w:bCs/>
                <w:iCs/>
                <w:color w:val="000000"/>
                <w:sz w:val="24"/>
              </w:rPr>
              <w:t>禹田资本</w:t>
            </w:r>
            <w:r>
              <w:rPr>
                <w:rFonts w:hint="eastAsia" w:ascii="宋体" w:hAnsi="宋体" w:cs="宋体"/>
                <w:bCs/>
                <w:iCs/>
                <w:color w:val="000000"/>
                <w:sz w:val="24"/>
              </w:rPr>
              <w:t>、</w:t>
            </w:r>
            <w:r>
              <w:rPr>
                <w:rFonts w:ascii="宋体" w:hAnsi="宋体" w:cs="宋体"/>
                <w:bCs/>
                <w:iCs/>
                <w:color w:val="000000"/>
                <w:sz w:val="24"/>
              </w:rPr>
              <w:t>北京千景泰投资有限公司</w:t>
            </w:r>
            <w:r>
              <w:rPr>
                <w:rFonts w:hint="eastAsia" w:ascii="宋体" w:hAnsi="宋体" w:cs="宋体"/>
                <w:bCs/>
                <w:iCs/>
                <w:color w:val="000000"/>
                <w:sz w:val="24"/>
              </w:rPr>
              <w:t>、</w:t>
            </w:r>
            <w:r>
              <w:rPr>
                <w:rFonts w:ascii="宋体" w:hAnsi="宋体" w:cs="宋体"/>
                <w:bCs/>
                <w:iCs/>
                <w:color w:val="000000"/>
                <w:sz w:val="24"/>
              </w:rPr>
              <w:t>正道兴达</w:t>
            </w:r>
            <w:r>
              <w:rPr>
                <w:rFonts w:hint="eastAsia" w:ascii="宋体" w:hAnsi="宋体" w:cs="宋体"/>
                <w:bCs/>
                <w:iCs/>
                <w:color w:val="000000"/>
                <w:sz w:val="24"/>
              </w:rPr>
              <w:t>、</w:t>
            </w:r>
            <w:r>
              <w:rPr>
                <w:rFonts w:ascii="宋体" w:hAnsi="宋体" w:cs="宋体"/>
                <w:bCs/>
                <w:iCs/>
                <w:color w:val="000000"/>
                <w:sz w:val="24"/>
              </w:rPr>
              <w:t>东方财富</w:t>
            </w:r>
            <w:r>
              <w:rPr>
                <w:rFonts w:hint="eastAsia" w:ascii="宋体" w:hAnsi="宋体" w:cs="宋体"/>
                <w:bCs/>
                <w:iCs/>
                <w:color w:val="000000"/>
                <w:sz w:val="24"/>
              </w:rPr>
              <w:t>、</w:t>
            </w:r>
            <w:r>
              <w:rPr>
                <w:rFonts w:ascii="宋体" w:hAnsi="宋体" w:cs="宋体"/>
                <w:bCs/>
                <w:iCs/>
                <w:color w:val="000000"/>
                <w:sz w:val="24"/>
              </w:rPr>
              <w:t>正道兴达</w:t>
            </w:r>
            <w:r>
              <w:rPr>
                <w:rFonts w:hint="eastAsia" w:ascii="宋体" w:hAnsi="宋体" w:cs="宋体"/>
                <w:bCs/>
                <w:iCs/>
                <w:color w:val="000000"/>
                <w:sz w:val="24"/>
              </w:rPr>
              <w:t>、</w:t>
            </w:r>
            <w:r>
              <w:rPr>
                <w:rFonts w:ascii="宋体" w:hAnsi="宋体" w:cs="宋体"/>
                <w:bCs/>
                <w:iCs/>
                <w:color w:val="000000"/>
                <w:sz w:val="24"/>
              </w:rPr>
              <w:t>信达澳亚</w:t>
            </w:r>
            <w:r>
              <w:rPr>
                <w:rFonts w:hint="eastAsia" w:ascii="宋体" w:hAnsi="宋体" w:cs="宋体"/>
                <w:bCs/>
                <w:iCs/>
                <w:color w:val="000000"/>
                <w:sz w:val="24"/>
              </w:rPr>
              <w:t>、</w:t>
            </w:r>
            <w:r>
              <w:rPr>
                <w:rFonts w:ascii="宋体" w:hAnsi="宋体" w:cs="宋体"/>
                <w:bCs/>
                <w:iCs/>
                <w:color w:val="000000"/>
                <w:sz w:val="24"/>
              </w:rPr>
              <w:t>汇安基金</w:t>
            </w:r>
            <w:r>
              <w:rPr>
                <w:rFonts w:hint="eastAsia" w:ascii="宋体" w:hAnsi="宋体" w:cs="宋体"/>
                <w:bCs/>
                <w:iCs/>
                <w:color w:val="000000"/>
                <w:sz w:val="24"/>
              </w:rPr>
              <w:t>、</w:t>
            </w:r>
            <w:r>
              <w:rPr>
                <w:rFonts w:ascii="宋体" w:hAnsi="宋体" w:cs="宋体"/>
                <w:bCs/>
                <w:iCs/>
                <w:color w:val="000000"/>
                <w:sz w:val="24"/>
              </w:rPr>
              <w:t>中航基金管理有限公司</w:t>
            </w:r>
            <w:r>
              <w:rPr>
                <w:rFonts w:hint="eastAsia" w:ascii="宋体" w:hAnsi="宋体" w:cs="宋体"/>
                <w:bCs/>
                <w:iCs/>
                <w:color w:val="000000"/>
                <w:sz w:val="24"/>
              </w:rPr>
              <w:t>、</w:t>
            </w:r>
            <w:r>
              <w:rPr>
                <w:rFonts w:ascii="宋体" w:hAnsi="宋体" w:cs="宋体"/>
                <w:bCs/>
                <w:iCs/>
                <w:color w:val="000000"/>
                <w:sz w:val="24"/>
              </w:rPr>
              <w:t>国泰基金</w:t>
            </w:r>
            <w:r>
              <w:rPr>
                <w:rFonts w:hint="eastAsia" w:ascii="宋体" w:hAnsi="宋体" w:cs="宋体"/>
                <w:bCs/>
                <w:iCs/>
                <w:color w:val="000000"/>
                <w:sz w:val="24"/>
              </w:rPr>
              <w:t>、</w:t>
            </w:r>
            <w:r>
              <w:rPr>
                <w:rFonts w:ascii="宋体" w:hAnsi="宋体" w:cs="宋体"/>
                <w:bCs/>
                <w:iCs/>
                <w:color w:val="000000"/>
                <w:sz w:val="24"/>
              </w:rPr>
              <w:t>深圳中胤信弘投资</w:t>
            </w:r>
            <w:r>
              <w:rPr>
                <w:rFonts w:hint="eastAsia" w:ascii="宋体" w:hAnsi="宋体" w:cs="宋体"/>
                <w:bCs/>
                <w:iCs/>
                <w:color w:val="000000"/>
                <w:sz w:val="24"/>
              </w:rPr>
              <w:t>、</w:t>
            </w:r>
            <w:r>
              <w:rPr>
                <w:rFonts w:ascii="宋体" w:hAnsi="宋体" w:cs="宋体"/>
                <w:bCs/>
                <w:iCs/>
                <w:color w:val="000000"/>
                <w:sz w:val="24"/>
              </w:rPr>
              <w:t>昊晟投资</w:t>
            </w:r>
            <w:r>
              <w:rPr>
                <w:rFonts w:hint="eastAsia" w:ascii="宋体" w:hAnsi="宋体" w:cs="宋体"/>
                <w:bCs/>
                <w:iCs/>
                <w:color w:val="000000"/>
                <w:sz w:val="24"/>
              </w:rPr>
              <w:t>、</w:t>
            </w:r>
            <w:r>
              <w:rPr>
                <w:rFonts w:ascii="宋体" w:hAnsi="宋体" w:cs="宋体"/>
                <w:bCs/>
                <w:iCs/>
                <w:color w:val="000000"/>
                <w:sz w:val="24"/>
              </w:rPr>
              <w:t>中航基金</w:t>
            </w:r>
            <w:r>
              <w:rPr>
                <w:rFonts w:hint="eastAsia" w:ascii="宋体" w:hAnsi="宋体" w:cs="宋体"/>
                <w:bCs/>
                <w:iCs/>
                <w:color w:val="000000"/>
                <w:sz w:val="24"/>
              </w:rPr>
              <w:t>、</w:t>
            </w:r>
            <w:r>
              <w:rPr>
                <w:rFonts w:ascii="宋体" w:hAnsi="宋体" w:cs="宋体"/>
                <w:bCs/>
                <w:iCs/>
                <w:color w:val="000000"/>
                <w:sz w:val="24"/>
              </w:rPr>
              <w:t>招银国际</w:t>
            </w:r>
            <w:r>
              <w:rPr>
                <w:rFonts w:hint="eastAsia" w:ascii="宋体" w:hAnsi="宋体" w:cs="宋体"/>
                <w:bCs/>
                <w:iCs/>
                <w:color w:val="000000"/>
                <w:sz w:val="24"/>
              </w:rPr>
              <w:t>、</w:t>
            </w:r>
            <w:r>
              <w:rPr>
                <w:rFonts w:ascii="宋体" w:hAnsi="宋体" w:cs="宋体"/>
                <w:bCs/>
                <w:iCs/>
                <w:color w:val="000000"/>
                <w:sz w:val="24"/>
              </w:rPr>
              <w:t>华西证券</w:t>
            </w:r>
            <w:r>
              <w:rPr>
                <w:rFonts w:hint="eastAsia" w:ascii="宋体" w:hAnsi="宋体" w:cs="宋体"/>
                <w:bCs/>
                <w:iCs/>
                <w:color w:val="000000"/>
                <w:sz w:val="24"/>
              </w:rPr>
              <w:t>、</w:t>
            </w:r>
            <w:r>
              <w:rPr>
                <w:rFonts w:ascii="宋体" w:hAnsi="宋体" w:cs="宋体"/>
                <w:bCs/>
                <w:iCs/>
                <w:color w:val="000000"/>
                <w:sz w:val="24"/>
              </w:rPr>
              <w:t>香港京华山一国际</w:t>
            </w:r>
            <w:r>
              <w:rPr>
                <w:rFonts w:hint="eastAsia" w:ascii="宋体" w:hAnsi="宋体" w:cs="宋体"/>
                <w:bCs/>
                <w:iCs/>
                <w:color w:val="000000"/>
                <w:sz w:val="24"/>
              </w:rPr>
              <w:t>、</w:t>
            </w:r>
            <w:r>
              <w:rPr>
                <w:rFonts w:ascii="宋体" w:hAnsi="宋体" w:cs="宋体"/>
                <w:bCs/>
                <w:iCs/>
                <w:color w:val="000000"/>
                <w:sz w:val="24"/>
              </w:rPr>
              <w:t>华福</w:t>
            </w:r>
            <w:r>
              <w:rPr>
                <w:rFonts w:hint="eastAsia" w:ascii="宋体" w:hAnsi="宋体" w:cs="宋体"/>
                <w:bCs/>
                <w:iCs/>
                <w:color w:val="000000"/>
                <w:sz w:val="24"/>
              </w:rPr>
              <w:t>电新、交银施罗德基金</w:t>
            </w:r>
          </w:p>
        </w:tc>
      </w:tr>
      <w:tr w14:paraId="5AAD0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806" w:type="dxa"/>
            <w:vAlign w:val="center"/>
          </w:tcPr>
          <w:p w14:paraId="433B2C8F">
            <w:pPr>
              <w:rPr>
                <w:sz w:val="24"/>
                <w:szCs w:val="24"/>
              </w:rPr>
            </w:pPr>
            <w:r>
              <w:rPr>
                <w:rFonts w:hint="eastAsia"/>
                <w:sz w:val="24"/>
                <w:szCs w:val="24"/>
              </w:rPr>
              <w:t>时间</w:t>
            </w:r>
          </w:p>
        </w:tc>
        <w:tc>
          <w:tcPr>
            <w:tcW w:w="7191" w:type="dxa"/>
            <w:vAlign w:val="center"/>
          </w:tcPr>
          <w:p w14:paraId="5029479C">
            <w:pPr>
              <w:rPr>
                <w:sz w:val="24"/>
                <w:szCs w:val="24"/>
              </w:rPr>
            </w:pPr>
            <w:r>
              <w:rPr>
                <w:rFonts w:hint="eastAsia" w:ascii="宋体" w:hAnsi="宋体" w:cs="宋体"/>
                <w:bCs/>
                <w:iCs/>
                <w:color w:val="000000"/>
                <w:sz w:val="24"/>
              </w:rPr>
              <w:t>2026年6月2日（周二）15:00-16:00</w:t>
            </w:r>
          </w:p>
        </w:tc>
      </w:tr>
      <w:tr w14:paraId="2B036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vAlign w:val="center"/>
          </w:tcPr>
          <w:p w14:paraId="3B0400E6">
            <w:pPr>
              <w:rPr>
                <w:sz w:val="24"/>
                <w:szCs w:val="24"/>
              </w:rPr>
            </w:pPr>
            <w:r>
              <w:rPr>
                <w:rFonts w:hint="eastAsia"/>
                <w:sz w:val="24"/>
                <w:szCs w:val="24"/>
              </w:rPr>
              <w:t>地点</w:t>
            </w:r>
            <w:r>
              <w:rPr>
                <w:rFonts w:hint="eastAsia" w:ascii="宋体" w:hAnsi="宋体"/>
                <w:sz w:val="24"/>
                <w:szCs w:val="24"/>
              </w:rPr>
              <w:t>/</w:t>
            </w:r>
            <w:r>
              <w:rPr>
                <w:rFonts w:hint="eastAsia"/>
                <w:sz w:val="24"/>
                <w:szCs w:val="24"/>
              </w:rPr>
              <w:t>方式</w:t>
            </w:r>
          </w:p>
        </w:tc>
        <w:tc>
          <w:tcPr>
            <w:tcW w:w="7191" w:type="dxa"/>
          </w:tcPr>
          <w:p w14:paraId="23A358E3">
            <w:pPr>
              <w:rPr>
                <w:sz w:val="24"/>
                <w:szCs w:val="24"/>
              </w:rPr>
            </w:pPr>
          </w:p>
          <w:p w14:paraId="4C95D46E">
            <w:pPr>
              <w:rPr>
                <w:sz w:val="24"/>
                <w:szCs w:val="24"/>
              </w:rPr>
            </w:pPr>
            <w:r>
              <w:rPr>
                <w:rFonts w:hint="eastAsia"/>
                <w:sz w:val="24"/>
                <w:szCs w:val="24"/>
              </w:rPr>
              <w:t>公司会议室、电话会议等</w:t>
            </w:r>
          </w:p>
        </w:tc>
      </w:tr>
      <w:tr w14:paraId="327C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806" w:type="dxa"/>
            <w:vAlign w:val="center"/>
          </w:tcPr>
          <w:p w14:paraId="3C030EDA">
            <w:pPr>
              <w:rPr>
                <w:sz w:val="24"/>
                <w:szCs w:val="24"/>
              </w:rPr>
            </w:pPr>
            <w:r>
              <w:rPr>
                <w:rFonts w:hint="eastAsia"/>
                <w:sz w:val="24"/>
                <w:szCs w:val="24"/>
              </w:rPr>
              <w:t>上市公司接待人员姓名</w:t>
            </w:r>
          </w:p>
        </w:tc>
        <w:tc>
          <w:tcPr>
            <w:tcW w:w="7191" w:type="dxa"/>
            <w:vAlign w:val="center"/>
          </w:tcPr>
          <w:p w14:paraId="5C5D860E">
            <w:pPr>
              <w:spacing w:line="360" w:lineRule="auto"/>
              <w:rPr>
                <w:rFonts w:ascii="宋体" w:hAnsi="宋体" w:cs="宋体"/>
                <w:sz w:val="24"/>
                <w:szCs w:val="24"/>
              </w:rPr>
            </w:pPr>
            <w:r>
              <w:rPr>
                <w:rFonts w:hint="eastAsia" w:ascii="宋体" w:hAnsi="宋体" w:cs="宋体"/>
                <w:sz w:val="24"/>
                <w:szCs w:val="24"/>
              </w:rPr>
              <w:t>副总经理、董事会秘书：张捷</w:t>
            </w:r>
          </w:p>
          <w:p w14:paraId="0AEC9E28">
            <w:pPr>
              <w:spacing w:line="360" w:lineRule="auto"/>
              <w:rPr>
                <w:rFonts w:hint="eastAsia" w:ascii="宋体" w:hAnsi="宋体" w:cs="宋体"/>
                <w:sz w:val="24"/>
                <w:szCs w:val="24"/>
              </w:rPr>
            </w:pPr>
            <w:r>
              <w:rPr>
                <w:rFonts w:hint="eastAsia" w:ascii="宋体" w:hAnsi="宋体" w:cs="宋体"/>
                <w:sz w:val="24"/>
                <w:szCs w:val="24"/>
              </w:rPr>
              <w:t>财务总监：李喜勇</w:t>
            </w:r>
          </w:p>
          <w:p w14:paraId="475F6D66">
            <w:pPr>
              <w:spacing w:line="360" w:lineRule="auto"/>
              <w:rPr>
                <w:rFonts w:hint="eastAsia" w:ascii="宋体" w:hAnsi="宋体" w:cs="宋体"/>
                <w:sz w:val="24"/>
                <w:szCs w:val="24"/>
              </w:rPr>
            </w:pPr>
            <w:r>
              <w:rPr>
                <w:rFonts w:hint="eastAsia" w:ascii="宋体" w:hAnsi="宋体" w:cs="宋体"/>
                <w:sz w:val="24"/>
                <w:szCs w:val="24"/>
              </w:rPr>
              <w:t>纳米硅材料研发项目合作方技</w:t>
            </w:r>
            <w:bookmarkStart w:id="0" w:name="_GoBack"/>
            <w:bookmarkEnd w:id="0"/>
            <w:r>
              <w:rPr>
                <w:rFonts w:hint="eastAsia" w:ascii="宋体" w:hAnsi="宋体" w:cs="宋体"/>
                <w:sz w:val="24"/>
                <w:szCs w:val="24"/>
              </w:rPr>
              <w:t>术负责人</w:t>
            </w:r>
          </w:p>
        </w:tc>
      </w:tr>
      <w:tr w14:paraId="04A56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8" w:hRule="atLeast"/>
        </w:trPr>
        <w:tc>
          <w:tcPr>
            <w:tcW w:w="1806" w:type="dxa"/>
            <w:vAlign w:val="center"/>
          </w:tcPr>
          <w:p w14:paraId="5E139200">
            <w:pPr>
              <w:rPr>
                <w:sz w:val="24"/>
                <w:szCs w:val="24"/>
              </w:rPr>
            </w:pPr>
            <w:r>
              <w:rPr>
                <w:rFonts w:hint="eastAsia"/>
                <w:sz w:val="24"/>
                <w:szCs w:val="24"/>
              </w:rPr>
              <w:t>投资者关系活动主要内容介绍</w:t>
            </w:r>
          </w:p>
        </w:tc>
        <w:tc>
          <w:tcPr>
            <w:tcW w:w="7191" w:type="dxa"/>
          </w:tcPr>
          <w:p w14:paraId="2FD4F0BA">
            <w:pPr>
              <w:spacing w:line="360" w:lineRule="auto"/>
              <w:ind w:firstLine="480" w:firstLineChars="200"/>
              <w:rPr>
                <w:rFonts w:ascii="宋体"/>
                <w:sz w:val="24"/>
                <w:szCs w:val="24"/>
              </w:rPr>
            </w:pPr>
            <w:r>
              <w:rPr>
                <w:rFonts w:hint="eastAsia" w:ascii="宋体"/>
                <w:sz w:val="24"/>
                <w:szCs w:val="24"/>
              </w:rPr>
              <w:t>投资者关系活动主要内容</w:t>
            </w:r>
          </w:p>
          <w:p w14:paraId="1723EA89">
            <w:pPr>
              <w:numPr>
                <w:ilvl w:val="0"/>
                <w:numId w:val="1"/>
              </w:numPr>
              <w:spacing w:line="360" w:lineRule="auto"/>
              <w:ind w:firstLine="480" w:firstLineChars="200"/>
              <w:rPr>
                <w:rFonts w:ascii="宋体"/>
                <w:sz w:val="24"/>
                <w:szCs w:val="24"/>
              </w:rPr>
            </w:pPr>
            <w:r>
              <w:rPr>
                <w:rFonts w:hint="eastAsia" w:ascii="宋体"/>
                <w:sz w:val="24"/>
                <w:szCs w:val="24"/>
              </w:rPr>
              <w:t>请介绍下公司核心经营与产能概况。</w:t>
            </w:r>
          </w:p>
          <w:p w14:paraId="57E950E0">
            <w:pPr>
              <w:spacing w:line="360" w:lineRule="auto"/>
              <w:ind w:firstLine="480" w:firstLineChars="200"/>
              <w:rPr>
                <w:rFonts w:ascii="宋体"/>
                <w:sz w:val="24"/>
                <w:szCs w:val="24"/>
              </w:rPr>
            </w:pPr>
            <w:r>
              <w:rPr>
                <w:rFonts w:hint="eastAsia" w:ascii="宋体"/>
                <w:sz w:val="24"/>
                <w:szCs w:val="24"/>
              </w:rPr>
              <w:t>回复：公司2025年实现营业收入13.90亿元，其中硅烷偶联剂实现营业收入11.59亿元，约占营业收入的83.35%，白炭黑实现营业收入1.56亿元，约占营业收入的11.25%，其他橡胶助剂实现营业收入0.23亿元，约占营业收入的1.69%。</w:t>
            </w:r>
          </w:p>
          <w:p w14:paraId="2CD089AD">
            <w:pPr>
              <w:spacing w:line="360" w:lineRule="auto"/>
              <w:ind w:firstLine="480" w:firstLineChars="200"/>
              <w:rPr>
                <w:rFonts w:ascii="宋体"/>
                <w:sz w:val="24"/>
                <w:szCs w:val="24"/>
              </w:rPr>
            </w:pPr>
            <w:r>
              <w:rPr>
                <w:rFonts w:hint="eastAsia" w:ascii="宋体"/>
                <w:sz w:val="24"/>
                <w:szCs w:val="24"/>
              </w:rPr>
              <w:t>传统产品现有产能规模：公司目前总产能十几万吨，产品覆盖含硫硅烷、氨基硅烷、酰氧基硅烷、环氧基硅烷、巯基硅烷、辛基硅烷、苯基硅烷、气相白炭黑、硅橡胶、气凝胶等多个产品品种，是全球功能性硅烷行业第一梯队企业。</w:t>
            </w:r>
          </w:p>
          <w:p w14:paraId="573E85B1">
            <w:pPr>
              <w:spacing w:line="360" w:lineRule="auto"/>
              <w:ind w:firstLine="480" w:firstLineChars="200"/>
              <w:rPr>
                <w:rFonts w:ascii="宋体"/>
                <w:sz w:val="24"/>
                <w:szCs w:val="24"/>
              </w:rPr>
            </w:pPr>
            <w:r>
              <w:rPr>
                <w:rFonts w:hint="eastAsia" w:ascii="宋体"/>
                <w:sz w:val="24"/>
                <w:szCs w:val="24"/>
              </w:rPr>
              <w:t>在建产能规划：公司泰国生产基地计划于2026年9月或四季度投产，将投建2.5万吨液体及1万吨固体功能性硅烷产能。</w:t>
            </w:r>
          </w:p>
          <w:p w14:paraId="149BBAF5">
            <w:pPr>
              <w:spacing w:line="360" w:lineRule="auto"/>
              <w:ind w:firstLine="480" w:firstLineChars="200"/>
              <w:rPr>
                <w:rFonts w:ascii="宋体"/>
                <w:sz w:val="24"/>
                <w:szCs w:val="24"/>
              </w:rPr>
            </w:pPr>
            <w:r>
              <w:rPr>
                <w:rFonts w:hint="eastAsia" w:ascii="宋体"/>
                <w:sz w:val="24"/>
                <w:szCs w:val="24"/>
              </w:rPr>
              <w:t>2、关于公司纳米硅新材料项目方面的布局情况介绍</w:t>
            </w:r>
          </w:p>
          <w:p w14:paraId="356012CF">
            <w:pPr>
              <w:spacing w:line="360" w:lineRule="auto"/>
              <w:ind w:firstLine="480" w:firstLineChars="200"/>
              <w:rPr>
                <w:rFonts w:ascii="宋体" w:hAnsi="宋体" w:cs="宋体"/>
                <w:sz w:val="24"/>
                <w:szCs w:val="24"/>
              </w:rPr>
            </w:pPr>
            <w:r>
              <w:rPr>
                <w:rFonts w:hint="eastAsia" w:ascii="宋体" w:hAnsi="宋体" w:cs="宋体"/>
                <w:sz w:val="24"/>
                <w:szCs w:val="24"/>
              </w:rPr>
              <w:t>回复：为加快公司发展，</w:t>
            </w:r>
            <w:r>
              <w:rPr>
                <w:rFonts w:ascii="宋体" w:hAnsi="宋体" w:cs="宋体"/>
                <w:sz w:val="24"/>
                <w:szCs w:val="24"/>
              </w:rPr>
              <w:t>围绕硅基材料产业链，瞄准新兴产业，做好战略规划和布局，积极拓展</w:t>
            </w:r>
            <w:r>
              <w:rPr>
                <w:rFonts w:hint="eastAsia" w:ascii="宋体" w:hAnsi="宋体" w:cs="宋体"/>
                <w:sz w:val="24"/>
                <w:szCs w:val="24"/>
              </w:rPr>
              <w:t>和打造</w:t>
            </w:r>
            <w:r>
              <w:rPr>
                <w:rFonts w:ascii="宋体" w:hAnsi="宋体" w:cs="宋体"/>
                <w:sz w:val="24"/>
                <w:szCs w:val="24"/>
              </w:rPr>
              <w:t>未来新的业务增长点</w:t>
            </w:r>
            <w:r>
              <w:rPr>
                <w:rFonts w:hint="eastAsia" w:ascii="宋体" w:hAnsi="宋体" w:cs="宋体"/>
                <w:sz w:val="24"/>
                <w:szCs w:val="24"/>
              </w:rPr>
              <w:t>。在此背景下，公司</w:t>
            </w:r>
            <w:r>
              <w:rPr>
                <w:rFonts w:ascii="宋体" w:hAnsi="宋体" w:cs="宋体"/>
                <w:sz w:val="24"/>
                <w:szCs w:val="24"/>
              </w:rPr>
              <w:t>在2025</w:t>
            </w:r>
            <w:r>
              <w:rPr>
                <w:rFonts w:hint="eastAsia" w:ascii="宋体" w:hAnsi="宋体" w:cs="宋体"/>
                <w:sz w:val="24"/>
                <w:szCs w:val="24"/>
              </w:rPr>
              <w:t>年与合作方共同开展了纳米硅材料制备的技术研发和试验工作，</w:t>
            </w:r>
            <w:r>
              <w:rPr>
                <w:rFonts w:ascii="宋体" w:hAnsi="宋体" w:cs="宋体"/>
                <w:sz w:val="24"/>
                <w:szCs w:val="24"/>
              </w:rPr>
              <w:t>寻求和探索一条具备性价比优势的商业化量产技术工艺路径，为公司拓展和切入新能源和半导体等新兴产业领域做好基础准备工作。目前，我司与合作方的纳米硅项目</w:t>
            </w:r>
            <w:r>
              <w:rPr>
                <w:rFonts w:hint="eastAsia" w:ascii="宋体" w:hAnsi="宋体" w:cs="宋体"/>
                <w:sz w:val="24"/>
                <w:szCs w:val="24"/>
              </w:rPr>
              <w:t>已经通气试车，反应设备运行良好稳定，已具备出粉条件，并达到了出粉状态，公司与合作方将继续推进研发试验工作，进一步优化工艺参数。</w:t>
            </w:r>
          </w:p>
          <w:p w14:paraId="41BE65D1">
            <w:pPr>
              <w:spacing w:line="360" w:lineRule="auto"/>
              <w:ind w:firstLine="480" w:firstLineChars="200"/>
              <w:rPr>
                <w:rFonts w:ascii="宋体"/>
                <w:sz w:val="24"/>
                <w:szCs w:val="24"/>
              </w:rPr>
            </w:pPr>
            <w:r>
              <w:rPr>
                <w:rFonts w:hint="eastAsia" w:ascii="宋体" w:hAnsi="宋体" w:cs="宋体"/>
                <w:sz w:val="24"/>
                <w:szCs w:val="24"/>
              </w:rPr>
              <w:t>公司与合作方采用的</w:t>
            </w:r>
            <w:r>
              <w:rPr>
                <w:rFonts w:ascii="宋体" w:hAnsi="宋体" w:cs="宋体"/>
                <w:sz w:val="24"/>
                <w:szCs w:val="24"/>
              </w:rPr>
              <w:t>技术路线</w:t>
            </w:r>
            <w:r>
              <w:rPr>
                <w:rFonts w:hint="eastAsia" w:ascii="宋体" w:hAnsi="宋体" w:cs="宋体"/>
                <w:sz w:val="24"/>
                <w:szCs w:val="24"/>
              </w:rPr>
              <w:t>制备的纳米硅材料，作为原料可应用于制备纳米硅碳负极材料，该工艺技术路径</w:t>
            </w:r>
            <w:r>
              <w:rPr>
                <w:rFonts w:ascii="宋体" w:hAnsi="宋体" w:cs="宋体"/>
                <w:sz w:val="24"/>
                <w:szCs w:val="24"/>
              </w:rPr>
              <w:t>不同于行业目前主流的</w:t>
            </w:r>
            <w:r>
              <w:rPr>
                <w:rFonts w:hint="eastAsia" w:ascii="宋体" w:hAnsi="宋体" w:cs="宋体"/>
                <w:sz w:val="24"/>
                <w:szCs w:val="24"/>
              </w:rPr>
              <w:t>CVD</w:t>
            </w:r>
            <w:r>
              <w:rPr>
                <w:rFonts w:ascii="宋体" w:hAnsi="宋体" w:cs="宋体"/>
                <w:sz w:val="24"/>
                <w:szCs w:val="24"/>
              </w:rPr>
              <w:t>工艺技术路线，创新性较强。</w:t>
            </w:r>
            <w:r>
              <w:rPr>
                <w:rFonts w:hint="eastAsia" w:ascii="宋体" w:hAnsi="宋体" w:cs="宋体"/>
                <w:sz w:val="24"/>
                <w:szCs w:val="24"/>
              </w:rPr>
              <w:t>相较于</w:t>
            </w:r>
            <w:r>
              <w:rPr>
                <w:rFonts w:ascii="宋体"/>
                <w:sz w:val="24"/>
                <w:szCs w:val="24"/>
              </w:rPr>
              <w:t xml:space="preserve"> CVD </w:t>
            </w:r>
            <w:r>
              <w:rPr>
                <w:rFonts w:hint="eastAsia" w:ascii="宋体"/>
                <w:sz w:val="24"/>
                <w:szCs w:val="24"/>
              </w:rPr>
              <w:t>工艺路线</w:t>
            </w:r>
            <w:r>
              <w:rPr>
                <w:rFonts w:ascii="宋体"/>
                <w:sz w:val="24"/>
                <w:szCs w:val="24"/>
              </w:rPr>
              <w:t>，</w:t>
            </w:r>
            <w:r>
              <w:rPr>
                <w:rFonts w:hint="eastAsia" w:ascii="宋体"/>
                <w:sz w:val="24"/>
                <w:szCs w:val="24"/>
              </w:rPr>
              <w:t>公司与合作方研发的纳米硅材料制备工艺拥有独立知识产权和技术专利，具有制备成本低、具备量产和规模化条件、产品一致性、均匀性好等特点，在膨胀率、倍率、首效和循环等性能方面具备优势。</w:t>
            </w:r>
          </w:p>
          <w:p w14:paraId="4054DBDE">
            <w:pPr>
              <w:spacing w:line="360" w:lineRule="auto"/>
              <w:ind w:firstLine="480" w:firstLineChars="200"/>
              <w:rPr>
                <w:rFonts w:ascii="宋体"/>
                <w:sz w:val="24"/>
                <w:szCs w:val="24"/>
              </w:rPr>
            </w:pPr>
            <w:r>
              <w:rPr>
                <w:rFonts w:hint="eastAsia" w:ascii="宋体"/>
                <w:sz w:val="24"/>
                <w:szCs w:val="24"/>
              </w:rPr>
              <w:t>后续公司将与合作方加快推进该项目的研发和试验工作，力争在2026年取得阶段性成果，为后面量产做好各项准备工作。</w:t>
            </w:r>
            <w:r>
              <w:rPr>
                <w:rFonts w:ascii="宋体" w:hAnsi="宋体" w:cs="宋体"/>
                <w:sz w:val="24"/>
                <w:szCs w:val="24"/>
              </w:rPr>
              <w:t>目前该项目的研发还处于中试阶段，未来该项目能否试验成功仍具挑战。</w:t>
            </w:r>
          </w:p>
          <w:p w14:paraId="12839E6E">
            <w:pPr>
              <w:spacing w:line="360" w:lineRule="auto"/>
              <w:ind w:firstLine="480" w:firstLineChars="200"/>
              <w:rPr>
                <w:rFonts w:ascii="宋体"/>
                <w:sz w:val="24"/>
                <w:szCs w:val="24"/>
              </w:rPr>
            </w:pPr>
            <w:r>
              <w:rPr>
                <w:rFonts w:hint="eastAsia" w:ascii="宋体"/>
                <w:sz w:val="24"/>
                <w:szCs w:val="24"/>
              </w:rPr>
              <w:t>3、请介绍下公司电子化学品业务布局、投产节奏与供需分析</w:t>
            </w:r>
          </w:p>
          <w:p w14:paraId="5E61A013">
            <w:pPr>
              <w:spacing w:line="360" w:lineRule="auto"/>
              <w:ind w:firstLine="480"/>
              <w:rPr>
                <w:rFonts w:ascii="宋体"/>
                <w:sz w:val="24"/>
                <w:szCs w:val="24"/>
              </w:rPr>
            </w:pPr>
            <w:r>
              <w:rPr>
                <w:rFonts w:hint="eastAsia" w:ascii="宋体"/>
                <w:sz w:val="24"/>
                <w:szCs w:val="24"/>
              </w:rPr>
              <w:t>回复：公司于2026年4月披露了调整可转债募投项目公告，按照公司产业布局和规划，公司产品未来将向高端和新兴产业转移，重点布局光纤级高纯四氯化硅和电子级正硅酸乙酯等新兴产业项目，以满足AI算力及半导体产业需求：</w:t>
            </w:r>
          </w:p>
          <w:p w14:paraId="6246E8FE">
            <w:pPr>
              <w:numPr>
                <w:ilvl w:val="0"/>
                <w:numId w:val="2"/>
              </w:numPr>
              <w:spacing w:line="360" w:lineRule="auto"/>
              <w:ind w:firstLine="480"/>
              <w:rPr>
                <w:rFonts w:ascii="宋体"/>
                <w:sz w:val="24"/>
                <w:szCs w:val="24"/>
              </w:rPr>
            </w:pPr>
            <w:r>
              <w:rPr>
                <w:rFonts w:hint="eastAsia" w:ascii="宋体"/>
                <w:sz w:val="24"/>
                <w:szCs w:val="24"/>
              </w:rPr>
              <w:t>光纤级四氯化硅（SiCl4）</w:t>
            </w:r>
          </w:p>
          <w:p w14:paraId="55654E49">
            <w:pPr>
              <w:spacing w:line="360" w:lineRule="auto"/>
              <w:ind w:firstLine="480"/>
              <w:rPr>
                <w:rFonts w:ascii="宋体"/>
                <w:sz w:val="24"/>
                <w:szCs w:val="24"/>
              </w:rPr>
            </w:pPr>
            <w:r>
              <w:rPr>
                <w:rFonts w:hint="eastAsia" w:ascii="宋体"/>
                <w:sz w:val="24"/>
                <w:szCs w:val="24"/>
              </w:rPr>
              <w:t>受AI算力中心及无人机等需求拉动，根据CRU Group（英国大宗商品咨询机构光纤光缆年度报告CRU Optical Fibre Report2025）以及券商分析师（中信、招商、国盛）通信行业深度研报预测，预计2026 年全球光纤产能达7.2-7.5亿公里，2027年达8-9亿公里。对应高纯四氯化硅需求旺盛，预计2026年缺口3.5-4万吨，2027年缺口5-6万吨。公司规划建设2万吨产能，性能对标9N级，单吨成本具备市场竞争力，按照目前9N 级市场价格测算，该项目达产后总体毛利率较好，能为公司贡献相应经营业绩。</w:t>
            </w:r>
          </w:p>
          <w:p w14:paraId="2A792395">
            <w:pPr>
              <w:spacing w:line="360" w:lineRule="auto"/>
              <w:ind w:firstLine="480"/>
              <w:rPr>
                <w:rFonts w:ascii="宋体"/>
                <w:sz w:val="24"/>
                <w:szCs w:val="24"/>
              </w:rPr>
            </w:pPr>
            <w:r>
              <w:rPr>
                <w:rFonts w:hint="eastAsia" w:ascii="宋体"/>
                <w:sz w:val="24"/>
                <w:szCs w:val="24"/>
              </w:rPr>
              <w:t>公司目前正在加紧编制相关政府审批的可研及环评、安评、能评等报告，力争在今年下半年全面开工建设，2027年实现投产运行。</w:t>
            </w:r>
          </w:p>
          <w:p w14:paraId="0456D589">
            <w:pPr>
              <w:numPr>
                <w:ilvl w:val="0"/>
                <w:numId w:val="2"/>
              </w:numPr>
              <w:spacing w:line="360" w:lineRule="auto"/>
              <w:ind w:firstLine="480"/>
              <w:rPr>
                <w:rFonts w:ascii="宋体"/>
                <w:sz w:val="24"/>
                <w:szCs w:val="24"/>
              </w:rPr>
            </w:pPr>
            <w:r>
              <w:rPr>
                <w:rFonts w:ascii="宋体"/>
                <w:sz w:val="24"/>
                <w:szCs w:val="24"/>
              </w:rPr>
              <w:t>电子级正硅酸乙酯（TEOS）</w:t>
            </w:r>
            <w:r>
              <w:rPr>
                <w:rFonts w:hint="eastAsia" w:ascii="宋体"/>
                <w:sz w:val="24"/>
                <w:szCs w:val="24"/>
              </w:rPr>
              <w:t>。</w:t>
            </w:r>
          </w:p>
          <w:p w14:paraId="124AAA69">
            <w:pPr>
              <w:spacing w:line="360" w:lineRule="auto"/>
              <w:ind w:firstLine="480" w:firstLineChars="200"/>
              <w:rPr>
                <w:rFonts w:ascii="宋体"/>
                <w:sz w:val="24"/>
                <w:szCs w:val="24"/>
              </w:rPr>
            </w:pPr>
            <w:r>
              <w:rPr>
                <w:rFonts w:ascii="宋体"/>
                <w:sz w:val="24"/>
                <w:szCs w:val="24"/>
              </w:rPr>
              <w:t>技术门槛与指标：主要用于半导体薄膜前驱体，对杂质控制要求极高（如硼磷含量小于0.1ppb，金属杂质总量小于10-30ppt），技术壁垒高。</w:t>
            </w:r>
          </w:p>
          <w:p w14:paraId="5578361D">
            <w:pPr>
              <w:spacing w:line="360" w:lineRule="auto"/>
              <w:ind w:firstLine="480"/>
              <w:rPr>
                <w:rFonts w:ascii="宋体"/>
                <w:sz w:val="24"/>
                <w:szCs w:val="24"/>
              </w:rPr>
            </w:pPr>
            <w:r>
              <w:rPr>
                <w:rFonts w:hint="eastAsia" w:ascii="宋体"/>
                <w:sz w:val="24"/>
                <w:szCs w:val="24"/>
              </w:rPr>
              <w:t>公司电子级正硅酸乙酯规划产能 5000 吨，</w:t>
            </w:r>
            <w:r>
              <w:rPr>
                <w:rFonts w:ascii="宋体"/>
                <w:sz w:val="24"/>
                <w:szCs w:val="24"/>
              </w:rPr>
              <w:t>目前正在送样测试。</w:t>
            </w:r>
            <w:r>
              <w:rPr>
                <w:rFonts w:hint="eastAsia" w:ascii="宋体"/>
                <w:sz w:val="24"/>
                <w:szCs w:val="24"/>
              </w:rPr>
              <w:t>不同纯度的产品单价、成本都不一样。按照不同纯度要求，以9N纯度为例，目前市场价格在15万/吨以内，按公司模拟成本进行测算，该项目达产后总体毛利率较好，能为公司贡献相应经营业绩。</w:t>
            </w:r>
          </w:p>
          <w:p w14:paraId="7FC0EAAC">
            <w:pPr>
              <w:spacing w:line="360" w:lineRule="auto"/>
              <w:ind w:firstLine="480"/>
              <w:rPr>
                <w:rFonts w:ascii="宋体"/>
                <w:sz w:val="24"/>
                <w:szCs w:val="24"/>
              </w:rPr>
            </w:pPr>
            <w:r>
              <w:rPr>
                <w:rFonts w:hint="eastAsia" w:ascii="宋体"/>
                <w:sz w:val="24"/>
                <w:szCs w:val="24"/>
              </w:rPr>
              <w:t>公司目前正在加紧编制相关政府审批的可研及环评、安评、能评等报告，力争在今年下半年全面开工建设，2027年实现投产运行。</w:t>
            </w:r>
          </w:p>
          <w:p w14:paraId="26F7B728">
            <w:pPr>
              <w:spacing w:line="360" w:lineRule="auto"/>
              <w:ind w:firstLine="480" w:firstLineChars="200"/>
              <w:rPr>
                <w:rFonts w:ascii="宋体"/>
                <w:sz w:val="24"/>
                <w:szCs w:val="24"/>
              </w:rPr>
            </w:pPr>
            <w:r>
              <w:rPr>
                <w:rFonts w:hint="eastAsia" w:ascii="宋体"/>
                <w:sz w:val="24"/>
                <w:szCs w:val="24"/>
              </w:rPr>
              <w:t>4、请介绍下公司二季度产品价格及主要经营情况。</w:t>
            </w:r>
          </w:p>
          <w:p w14:paraId="083A37F3">
            <w:pPr>
              <w:spacing w:line="360" w:lineRule="auto"/>
              <w:ind w:firstLine="480" w:firstLineChars="200"/>
              <w:rPr>
                <w:rFonts w:ascii="宋体"/>
                <w:sz w:val="24"/>
                <w:szCs w:val="24"/>
              </w:rPr>
            </w:pPr>
            <w:r>
              <w:rPr>
                <w:rFonts w:hint="eastAsia" w:ascii="宋体"/>
                <w:sz w:val="24"/>
                <w:szCs w:val="24"/>
              </w:rPr>
              <w:t>自</w:t>
            </w:r>
            <w:r>
              <w:rPr>
                <w:rFonts w:ascii="宋体"/>
                <w:sz w:val="24"/>
                <w:szCs w:val="24"/>
              </w:rPr>
              <w:t>2020年以来，国内一些主要的含硫硅烷的企业逐渐上市</w:t>
            </w:r>
            <w:r>
              <w:rPr>
                <w:rFonts w:hint="eastAsia" w:ascii="宋体"/>
                <w:sz w:val="24"/>
                <w:szCs w:val="24"/>
              </w:rPr>
              <w:t>并新建项目，扩大了产能</w:t>
            </w:r>
            <w:r>
              <w:rPr>
                <w:rFonts w:ascii="宋体"/>
                <w:sz w:val="24"/>
                <w:szCs w:val="24"/>
              </w:rPr>
              <w:t>。</w:t>
            </w:r>
            <w:r>
              <w:rPr>
                <w:rFonts w:hint="eastAsia" w:ascii="宋体"/>
                <w:sz w:val="24"/>
                <w:szCs w:val="24"/>
              </w:rPr>
              <w:t>同时，</w:t>
            </w:r>
            <w:r>
              <w:rPr>
                <w:rFonts w:ascii="宋体"/>
                <w:sz w:val="24"/>
                <w:szCs w:val="24"/>
              </w:rPr>
              <w:t>也有个别</w:t>
            </w:r>
            <w:r>
              <w:rPr>
                <w:rFonts w:hint="eastAsia" w:ascii="宋体"/>
                <w:sz w:val="24"/>
                <w:szCs w:val="24"/>
              </w:rPr>
              <w:t>新</w:t>
            </w:r>
            <w:r>
              <w:rPr>
                <w:rFonts w:ascii="宋体"/>
                <w:sz w:val="24"/>
                <w:szCs w:val="24"/>
              </w:rPr>
              <w:t>进入</w:t>
            </w:r>
            <w:r>
              <w:rPr>
                <w:rFonts w:hint="eastAsia" w:ascii="宋体"/>
                <w:sz w:val="24"/>
                <w:szCs w:val="24"/>
              </w:rPr>
              <w:t>含硫硅烷</w:t>
            </w:r>
            <w:r>
              <w:rPr>
                <w:rFonts w:ascii="宋体"/>
                <w:sz w:val="24"/>
                <w:szCs w:val="24"/>
              </w:rPr>
              <w:t>业务</w:t>
            </w:r>
            <w:r>
              <w:rPr>
                <w:rFonts w:hint="eastAsia" w:ascii="宋体"/>
                <w:sz w:val="24"/>
                <w:szCs w:val="24"/>
              </w:rPr>
              <w:t>的企业</w:t>
            </w:r>
            <w:r>
              <w:rPr>
                <w:rFonts w:ascii="宋体"/>
                <w:sz w:val="24"/>
                <w:szCs w:val="24"/>
              </w:rPr>
              <w:t>，比如山东的阳谷华泰，</w:t>
            </w:r>
            <w:r>
              <w:rPr>
                <w:rFonts w:hint="eastAsia" w:ascii="宋体"/>
                <w:sz w:val="24"/>
                <w:szCs w:val="24"/>
              </w:rPr>
              <w:t>三孚股份等</w:t>
            </w:r>
            <w:r>
              <w:rPr>
                <w:rFonts w:ascii="宋体"/>
                <w:sz w:val="24"/>
                <w:szCs w:val="24"/>
              </w:rPr>
              <w:t>导致整个传统产品的产能</w:t>
            </w:r>
            <w:r>
              <w:rPr>
                <w:rFonts w:hint="eastAsia" w:ascii="宋体"/>
                <w:sz w:val="24"/>
                <w:szCs w:val="24"/>
              </w:rPr>
              <w:t>在近几年释放较大，行业供需结构发生较大变化，导致近年来含硫</w:t>
            </w:r>
            <w:r>
              <w:rPr>
                <w:rFonts w:ascii="宋体"/>
                <w:sz w:val="24"/>
                <w:szCs w:val="24"/>
              </w:rPr>
              <w:t>硅烷价格</w:t>
            </w:r>
            <w:r>
              <w:rPr>
                <w:rFonts w:hint="eastAsia" w:ascii="宋体"/>
                <w:sz w:val="24"/>
                <w:szCs w:val="24"/>
              </w:rPr>
              <w:t>持续</w:t>
            </w:r>
            <w:r>
              <w:rPr>
                <w:rFonts w:ascii="宋体"/>
                <w:sz w:val="24"/>
                <w:szCs w:val="24"/>
              </w:rPr>
              <w:t>下滑</w:t>
            </w:r>
            <w:r>
              <w:rPr>
                <w:rFonts w:hint="eastAsia" w:ascii="宋体"/>
                <w:sz w:val="24"/>
                <w:szCs w:val="24"/>
              </w:rPr>
              <w:t>。从总体汽车行业来看，这几年</w:t>
            </w:r>
            <w:r>
              <w:rPr>
                <w:rFonts w:ascii="宋体"/>
                <w:sz w:val="24"/>
                <w:szCs w:val="24"/>
              </w:rPr>
              <w:t>中国的汽车产业发展的非常好，新能源车已经超越了传统燃油车，现在渗透率都很高，整个市场容量很高，中国汽车工业的发展带动了轮胎工业的发展，</w:t>
            </w:r>
            <w:r>
              <w:rPr>
                <w:rFonts w:hint="eastAsia" w:ascii="宋体"/>
                <w:sz w:val="24"/>
                <w:szCs w:val="24"/>
              </w:rPr>
              <w:t>而公司下游主要客户为</w:t>
            </w:r>
            <w:r>
              <w:rPr>
                <w:rFonts w:ascii="宋体"/>
                <w:sz w:val="24"/>
                <w:szCs w:val="24"/>
              </w:rPr>
              <w:t>轮胎</w:t>
            </w:r>
            <w:r>
              <w:rPr>
                <w:rFonts w:hint="eastAsia" w:ascii="宋体"/>
                <w:sz w:val="24"/>
                <w:szCs w:val="24"/>
              </w:rPr>
              <w:t>行业</w:t>
            </w:r>
            <w:r>
              <w:rPr>
                <w:rFonts w:ascii="宋体"/>
                <w:sz w:val="24"/>
                <w:szCs w:val="24"/>
              </w:rPr>
              <w:t>，</w:t>
            </w:r>
            <w:r>
              <w:rPr>
                <w:rFonts w:hint="eastAsia" w:ascii="宋体"/>
                <w:sz w:val="24"/>
                <w:szCs w:val="24"/>
              </w:rPr>
              <w:t>下游需求</w:t>
            </w:r>
            <w:r>
              <w:rPr>
                <w:rFonts w:ascii="宋体"/>
                <w:sz w:val="24"/>
                <w:szCs w:val="24"/>
              </w:rPr>
              <w:t>在</w:t>
            </w:r>
            <w:r>
              <w:rPr>
                <w:rFonts w:hint="eastAsia" w:ascii="宋体"/>
                <w:sz w:val="24"/>
                <w:szCs w:val="24"/>
              </w:rPr>
              <w:t>稳步增长</w:t>
            </w:r>
            <w:r>
              <w:rPr>
                <w:rFonts w:ascii="宋体"/>
                <w:sz w:val="24"/>
                <w:szCs w:val="24"/>
              </w:rPr>
              <w:t>。但由于</w:t>
            </w:r>
            <w:r>
              <w:rPr>
                <w:rFonts w:hint="eastAsia" w:ascii="宋体"/>
                <w:sz w:val="24"/>
                <w:szCs w:val="24"/>
              </w:rPr>
              <w:t>整个市场</w:t>
            </w:r>
            <w:r>
              <w:rPr>
                <w:rFonts w:ascii="宋体"/>
                <w:sz w:val="24"/>
                <w:szCs w:val="24"/>
              </w:rPr>
              <w:t>产能的布局相对较大，</w:t>
            </w:r>
            <w:r>
              <w:rPr>
                <w:rFonts w:hint="eastAsia" w:ascii="宋体"/>
                <w:sz w:val="24"/>
                <w:szCs w:val="24"/>
              </w:rPr>
              <w:t>导致</w:t>
            </w:r>
            <w:r>
              <w:rPr>
                <w:rFonts w:ascii="宋体"/>
                <w:sz w:val="24"/>
                <w:szCs w:val="24"/>
              </w:rPr>
              <w:t>这几年来</w:t>
            </w:r>
            <w:r>
              <w:rPr>
                <w:rFonts w:hint="eastAsia" w:ascii="宋体"/>
                <w:sz w:val="24"/>
                <w:szCs w:val="24"/>
              </w:rPr>
              <w:t>产品</w:t>
            </w:r>
            <w:r>
              <w:rPr>
                <w:rFonts w:ascii="宋体"/>
                <w:sz w:val="24"/>
                <w:szCs w:val="24"/>
              </w:rPr>
              <w:t>价格走低，同行业可比的上市公司</w:t>
            </w:r>
            <w:r>
              <w:rPr>
                <w:rFonts w:hint="eastAsia" w:ascii="宋体"/>
                <w:sz w:val="24"/>
                <w:szCs w:val="24"/>
              </w:rPr>
              <w:t>均遇到了相似的问题。</w:t>
            </w:r>
          </w:p>
          <w:p w14:paraId="3C812484">
            <w:pPr>
              <w:spacing w:line="360" w:lineRule="auto"/>
              <w:ind w:firstLine="480" w:firstLineChars="200"/>
              <w:rPr>
                <w:rFonts w:ascii="宋体"/>
                <w:sz w:val="24"/>
                <w:szCs w:val="24"/>
              </w:rPr>
            </w:pPr>
            <w:r>
              <w:rPr>
                <w:rFonts w:hint="eastAsia" w:ascii="宋体"/>
                <w:sz w:val="24"/>
                <w:szCs w:val="24"/>
              </w:rPr>
              <w:t>今年中东冲突</w:t>
            </w:r>
            <w:r>
              <w:rPr>
                <w:rFonts w:ascii="宋体"/>
                <w:sz w:val="24"/>
                <w:szCs w:val="24"/>
              </w:rPr>
              <w:t>以来，有一些原材料涨幅特别大，像主要原材料是氯丙烯</w:t>
            </w:r>
            <w:r>
              <w:rPr>
                <w:rFonts w:hint="eastAsia" w:ascii="宋体"/>
                <w:sz w:val="24"/>
                <w:szCs w:val="24"/>
              </w:rPr>
              <w:t>在</w:t>
            </w:r>
            <w:r>
              <w:rPr>
                <w:rFonts w:ascii="宋体"/>
                <w:sz w:val="24"/>
                <w:szCs w:val="24"/>
              </w:rPr>
              <w:t>几天时间</w:t>
            </w:r>
            <w:r>
              <w:rPr>
                <w:rFonts w:hint="eastAsia" w:ascii="宋体"/>
                <w:sz w:val="24"/>
                <w:szCs w:val="24"/>
              </w:rPr>
              <w:t>内提升</w:t>
            </w:r>
            <w:r>
              <w:rPr>
                <w:rFonts w:ascii="宋体"/>
                <w:sz w:val="24"/>
                <w:szCs w:val="24"/>
              </w:rPr>
              <w:t>了60%</w:t>
            </w:r>
            <w:r>
              <w:rPr>
                <w:rFonts w:hint="eastAsia" w:ascii="宋体"/>
                <w:sz w:val="24"/>
                <w:szCs w:val="24"/>
              </w:rPr>
              <w:t>左右</w:t>
            </w:r>
            <w:r>
              <w:rPr>
                <w:rFonts w:ascii="宋体"/>
                <w:sz w:val="24"/>
                <w:szCs w:val="24"/>
              </w:rPr>
              <w:t>，这个</w:t>
            </w:r>
            <w:r>
              <w:rPr>
                <w:rFonts w:hint="eastAsia" w:ascii="宋体"/>
                <w:sz w:val="24"/>
                <w:szCs w:val="24"/>
              </w:rPr>
              <w:t>变化</w:t>
            </w:r>
            <w:r>
              <w:rPr>
                <w:rFonts w:ascii="宋体"/>
                <w:sz w:val="24"/>
                <w:szCs w:val="24"/>
              </w:rPr>
              <w:t>对</w:t>
            </w:r>
            <w:r>
              <w:rPr>
                <w:rFonts w:hint="eastAsia" w:ascii="宋体"/>
                <w:sz w:val="24"/>
                <w:szCs w:val="24"/>
              </w:rPr>
              <w:t>公司</w:t>
            </w:r>
            <w:r>
              <w:rPr>
                <w:rFonts w:ascii="宋体"/>
                <w:sz w:val="24"/>
                <w:szCs w:val="24"/>
              </w:rPr>
              <w:t>来讲</w:t>
            </w:r>
            <w:r>
              <w:rPr>
                <w:rFonts w:hint="eastAsia" w:ascii="宋体"/>
                <w:sz w:val="24"/>
                <w:szCs w:val="24"/>
              </w:rPr>
              <w:t>需要将原材料上涨压力传导至下游，公司因此</w:t>
            </w:r>
            <w:r>
              <w:rPr>
                <w:rFonts w:ascii="宋体"/>
                <w:sz w:val="24"/>
                <w:szCs w:val="24"/>
              </w:rPr>
              <w:t>做了一些</w:t>
            </w:r>
            <w:r>
              <w:rPr>
                <w:rFonts w:hint="eastAsia" w:ascii="宋体"/>
                <w:sz w:val="24"/>
                <w:szCs w:val="24"/>
              </w:rPr>
              <w:t>产品价格的</w:t>
            </w:r>
            <w:r>
              <w:rPr>
                <w:rFonts w:ascii="宋体"/>
                <w:sz w:val="24"/>
                <w:szCs w:val="24"/>
              </w:rPr>
              <w:t>调整</w:t>
            </w:r>
            <w:r>
              <w:rPr>
                <w:rFonts w:hint="eastAsia" w:ascii="宋体"/>
                <w:sz w:val="24"/>
                <w:szCs w:val="24"/>
              </w:rPr>
              <w:t>，叠加产能利用率增加。具体经营情况后续关注公司披露的定期报告。</w:t>
            </w:r>
          </w:p>
          <w:p w14:paraId="4162C17B">
            <w:pPr>
              <w:spacing w:line="360" w:lineRule="auto"/>
              <w:ind w:left="-19" w:leftChars="-9" w:firstLine="436" w:firstLineChars="182"/>
              <w:rPr>
                <w:rFonts w:ascii="宋体"/>
                <w:sz w:val="24"/>
                <w:szCs w:val="24"/>
              </w:rPr>
            </w:pPr>
            <w:r>
              <w:rPr>
                <w:rFonts w:hint="eastAsia" w:ascii="宋体"/>
                <w:sz w:val="24"/>
                <w:szCs w:val="24"/>
              </w:rPr>
              <w:t>以上如涉及对行业的预测、公司发展战略规划等相关内容，不能视作公司或管理层对行业、公司发展或业绩的承诺和保证，敬请广大投资者注意投资风险。</w:t>
            </w:r>
          </w:p>
        </w:tc>
      </w:tr>
      <w:tr w14:paraId="69F2A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06" w:type="dxa"/>
            <w:vAlign w:val="center"/>
          </w:tcPr>
          <w:p w14:paraId="58E9AF34">
            <w:pPr>
              <w:spacing w:line="420" w:lineRule="exact"/>
              <w:rPr>
                <w:rFonts w:hAnsi="宋体"/>
                <w:bCs/>
                <w:iCs/>
                <w:color w:val="000000"/>
                <w:kern w:val="0"/>
                <w:sz w:val="24"/>
              </w:rPr>
            </w:pPr>
            <w:r>
              <w:rPr>
                <w:rFonts w:hint="eastAsia" w:hAnsi="宋体"/>
                <w:bCs/>
                <w:iCs/>
                <w:color w:val="000000"/>
                <w:kern w:val="0"/>
                <w:sz w:val="24"/>
              </w:rPr>
              <w:t>是否涉及应当披露重大信息</w:t>
            </w:r>
          </w:p>
        </w:tc>
        <w:tc>
          <w:tcPr>
            <w:tcW w:w="7191" w:type="dxa"/>
          </w:tcPr>
          <w:p w14:paraId="17F34033">
            <w:pPr>
              <w:spacing w:line="420" w:lineRule="exact"/>
              <w:rPr>
                <w:rFonts w:ascii="宋体" w:hAnsi="宋体"/>
                <w:sz w:val="24"/>
                <w:szCs w:val="24"/>
              </w:rPr>
            </w:pPr>
            <w:r>
              <w:rPr>
                <w:rFonts w:hint="eastAsia" w:ascii="宋体" w:hAnsi="宋体"/>
                <w:sz w:val="24"/>
                <w:szCs w:val="24"/>
              </w:rPr>
              <w:t>否</w:t>
            </w:r>
          </w:p>
        </w:tc>
      </w:tr>
      <w:tr w14:paraId="53301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06" w:type="dxa"/>
            <w:vAlign w:val="center"/>
          </w:tcPr>
          <w:p w14:paraId="1C8A1B58">
            <w:pPr>
              <w:spacing w:line="420" w:lineRule="exact"/>
              <w:rPr>
                <w:sz w:val="24"/>
                <w:szCs w:val="24"/>
              </w:rPr>
            </w:pPr>
            <w:r>
              <w:rPr>
                <w:rFonts w:hAnsi="宋体"/>
                <w:bCs/>
                <w:iCs/>
                <w:color w:val="000000"/>
                <w:kern w:val="0"/>
                <w:sz w:val="24"/>
              </w:rPr>
              <w:t>附件清单（如有）</w:t>
            </w:r>
          </w:p>
        </w:tc>
        <w:tc>
          <w:tcPr>
            <w:tcW w:w="7191" w:type="dxa"/>
          </w:tcPr>
          <w:p w14:paraId="7947D129">
            <w:pPr>
              <w:spacing w:line="420" w:lineRule="exact"/>
              <w:rPr>
                <w:rFonts w:ascii="宋体" w:hAnsi="宋体"/>
                <w:sz w:val="24"/>
                <w:szCs w:val="24"/>
              </w:rPr>
            </w:pPr>
            <w:r>
              <w:rPr>
                <w:rFonts w:hint="eastAsia" w:ascii="宋体" w:hAnsi="宋体"/>
                <w:sz w:val="24"/>
                <w:szCs w:val="24"/>
              </w:rPr>
              <w:t>无</w:t>
            </w:r>
          </w:p>
        </w:tc>
      </w:tr>
      <w:tr w14:paraId="5181C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806" w:type="dxa"/>
            <w:vAlign w:val="center"/>
          </w:tcPr>
          <w:p w14:paraId="77B1698D">
            <w:pPr>
              <w:spacing w:line="420" w:lineRule="exact"/>
              <w:rPr>
                <w:sz w:val="24"/>
                <w:szCs w:val="24"/>
              </w:rPr>
            </w:pPr>
            <w:r>
              <w:rPr>
                <w:rFonts w:hAnsi="宋体"/>
                <w:bCs/>
                <w:iCs/>
                <w:color w:val="000000"/>
                <w:kern w:val="0"/>
                <w:sz w:val="24"/>
              </w:rPr>
              <w:t>日期</w:t>
            </w:r>
          </w:p>
        </w:tc>
        <w:tc>
          <w:tcPr>
            <w:tcW w:w="7191" w:type="dxa"/>
          </w:tcPr>
          <w:p w14:paraId="6C2B3AF5">
            <w:pPr>
              <w:spacing w:line="420" w:lineRule="exact"/>
              <w:rPr>
                <w:rFonts w:ascii="宋体" w:hAnsi="宋体"/>
                <w:sz w:val="24"/>
                <w:szCs w:val="24"/>
              </w:rPr>
            </w:pPr>
            <w:r>
              <w:rPr>
                <w:bCs/>
                <w:iCs/>
                <w:color w:val="000000"/>
                <w:sz w:val="24"/>
              </w:rPr>
              <w:t>202</w:t>
            </w:r>
            <w:r>
              <w:rPr>
                <w:rFonts w:hint="eastAsia"/>
                <w:bCs/>
                <w:iCs/>
                <w:color w:val="000000"/>
                <w:sz w:val="24"/>
              </w:rPr>
              <w:t>6</w:t>
            </w:r>
            <w:r>
              <w:rPr>
                <w:bCs/>
                <w:iCs/>
                <w:color w:val="000000"/>
                <w:sz w:val="24"/>
              </w:rPr>
              <w:t>-</w:t>
            </w:r>
            <w:r>
              <w:rPr>
                <w:rFonts w:hint="eastAsia"/>
                <w:bCs/>
                <w:iCs/>
                <w:color w:val="000000"/>
                <w:sz w:val="24"/>
              </w:rPr>
              <w:t>6</w:t>
            </w:r>
            <w:r>
              <w:rPr>
                <w:bCs/>
                <w:iCs/>
                <w:color w:val="000000"/>
                <w:sz w:val="24"/>
              </w:rPr>
              <w:t>-</w:t>
            </w:r>
            <w:r>
              <w:rPr>
                <w:rFonts w:hint="eastAsia"/>
                <w:bCs/>
                <w:iCs/>
                <w:color w:val="000000"/>
                <w:sz w:val="24"/>
              </w:rPr>
              <w:t>3</w:t>
            </w:r>
          </w:p>
        </w:tc>
      </w:tr>
    </w:tbl>
    <w:p w14:paraId="7B10C7FF"/>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C54CA">
    <w:pPr>
      <w:pStyle w:val="4"/>
      <w:tabs>
        <w:tab w:val="clear" w:pos="4153"/>
      </w:tabs>
      <w:jc w:val="right"/>
    </w:pPr>
    <w:r>
      <w:rPr>
        <w:rFonts w:hint="eastAsia"/>
      </w:rPr>
      <w:t>江西宏柏新材料股份有限公司投资者关系活动记录表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E62DB"/>
    <w:multiLevelType w:val="singleLevel"/>
    <w:tmpl w:val="90BE62DB"/>
    <w:lvl w:ilvl="0" w:tentative="0">
      <w:start w:val="1"/>
      <w:numFmt w:val="decimal"/>
      <w:suff w:val="space"/>
      <w:lvlText w:val="（%1）"/>
      <w:lvlJc w:val="left"/>
    </w:lvl>
  </w:abstractNum>
  <w:abstractNum w:abstractNumId="1">
    <w:nsid w:val="39890B72"/>
    <w:multiLevelType w:val="singleLevel"/>
    <w:tmpl w:val="39890B7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WRjN2EwMWQ5NjhkYTE2ODY0NmMyM2ExNGZkYzcifQ=="/>
  </w:docVars>
  <w:rsids>
    <w:rsidRoot w:val="00B316B1"/>
    <w:rsid w:val="000C6C9E"/>
    <w:rsid w:val="001C5D68"/>
    <w:rsid w:val="00271841"/>
    <w:rsid w:val="002E0FAF"/>
    <w:rsid w:val="004204FC"/>
    <w:rsid w:val="004A2DD6"/>
    <w:rsid w:val="009644E8"/>
    <w:rsid w:val="00B316B1"/>
    <w:rsid w:val="00B6522A"/>
    <w:rsid w:val="00FB0870"/>
    <w:rsid w:val="021B7C9E"/>
    <w:rsid w:val="02223D56"/>
    <w:rsid w:val="025C1969"/>
    <w:rsid w:val="027D5F16"/>
    <w:rsid w:val="040E6340"/>
    <w:rsid w:val="04E34F82"/>
    <w:rsid w:val="052B6C09"/>
    <w:rsid w:val="076019D4"/>
    <w:rsid w:val="0A461F3C"/>
    <w:rsid w:val="0C292CEA"/>
    <w:rsid w:val="0C331791"/>
    <w:rsid w:val="0D9A21BB"/>
    <w:rsid w:val="1167079C"/>
    <w:rsid w:val="15B64A89"/>
    <w:rsid w:val="169C16C1"/>
    <w:rsid w:val="19F54DCA"/>
    <w:rsid w:val="1CB2496B"/>
    <w:rsid w:val="1D9E4A80"/>
    <w:rsid w:val="2110329F"/>
    <w:rsid w:val="234F5ED2"/>
    <w:rsid w:val="28DA737C"/>
    <w:rsid w:val="320538B9"/>
    <w:rsid w:val="329D20FC"/>
    <w:rsid w:val="38AF7616"/>
    <w:rsid w:val="398820C9"/>
    <w:rsid w:val="3C355E5F"/>
    <w:rsid w:val="3C70219D"/>
    <w:rsid w:val="41381FE7"/>
    <w:rsid w:val="43501A76"/>
    <w:rsid w:val="46CA7DDA"/>
    <w:rsid w:val="483B59A8"/>
    <w:rsid w:val="48445976"/>
    <w:rsid w:val="48B545A9"/>
    <w:rsid w:val="4C567AF8"/>
    <w:rsid w:val="4E7F1A6F"/>
    <w:rsid w:val="50C9564F"/>
    <w:rsid w:val="55A87341"/>
    <w:rsid w:val="56C43BFF"/>
    <w:rsid w:val="5A146C55"/>
    <w:rsid w:val="5BBD3DFF"/>
    <w:rsid w:val="5DBD4695"/>
    <w:rsid w:val="60890CBF"/>
    <w:rsid w:val="61B42C51"/>
    <w:rsid w:val="662C1E9B"/>
    <w:rsid w:val="670E1BEF"/>
    <w:rsid w:val="6E6D6747"/>
    <w:rsid w:val="705334E9"/>
    <w:rsid w:val="71E511AB"/>
    <w:rsid w:val="767153C3"/>
    <w:rsid w:val="786C4A1F"/>
    <w:rsid w:val="78FC4E8A"/>
    <w:rsid w:val="7C66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180" w:after="180"/>
    </w:p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nhideWhenUsed/>
    <w:qFormat/>
    <w:uiPriority w:val="99"/>
    <w:rPr>
      <w:color w:val="0563C1"/>
      <w:u w:val="single"/>
    </w:rPr>
  </w:style>
  <w:style w:type="paragraph" w:customStyle="1" w:styleId="9">
    <w:name w:val="_Style 6"/>
    <w:basedOn w:val="1"/>
    <w:qFormat/>
    <w:uiPriority w:val="34"/>
    <w:pPr>
      <w:ind w:firstLine="420" w:firstLineChars="200"/>
    </w:pPr>
  </w:style>
  <w:style w:type="paragraph" w:customStyle="1" w:styleId="10">
    <w:name w:val="Compact"/>
    <w:basedOn w:val="3"/>
    <w:qFormat/>
    <w:uiPriority w:val="0"/>
    <w:pPr>
      <w:spacing w:before="36" w:after="36"/>
    </w:pPr>
  </w:style>
  <w:style w:type="paragraph" w:customStyle="1" w:styleId="11">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2310</Words>
  <Characters>2483</Characters>
  <Lines>18</Lines>
  <Paragraphs>5</Paragraphs>
  <TotalTime>88</TotalTime>
  <ScaleCrop>false</ScaleCrop>
  <LinksUpToDate>false</LinksUpToDate>
  <CharactersWithSpaces>2562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HP</cp:lastModifiedBy>
  <dcterms:modified xsi:type="dcterms:W3CDTF">2026-06-03T06:30:47Z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BD17DA8A61A441F68E7CFEFD858D0E91_13</vt:lpwstr>
  </property>
  <property fmtid="{D5CDD505-2E9C-101B-9397-08002B2CF9AE}" pid="4" name="KSOTemplateDocerSaveRecord">
    <vt:lpwstr>eyJoZGlkIjoiOTc0YzA3NmE3OWEwNmRjNjJmNzA3NjI3MmQ1OTY0MDYiLCJ1c2VySWQiOiIyNTc0OTE2MjcifQ==</vt:lpwstr>
  </property>
</Properties>
</file>