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686D78">
      <w:pPr>
        <w:rPr>
          <w:rFonts w:ascii="宋体" w:hAnsi="宋体" w:eastAsia="宋体"/>
          <w:b/>
          <w:sz w:val="24"/>
          <w:szCs w:val="24"/>
        </w:rPr>
      </w:pPr>
      <w:r>
        <w:rPr>
          <w:rFonts w:hint="eastAsia" w:ascii="宋体" w:hAnsi="宋体" w:eastAsia="宋体"/>
          <w:b/>
          <w:sz w:val="24"/>
          <w:szCs w:val="24"/>
        </w:rPr>
        <w:t>证券代码：600330                                证券简称：天通股份</w:t>
      </w:r>
    </w:p>
    <w:p w14:paraId="35CC9AF4">
      <w:pPr>
        <w:rPr>
          <w:rFonts w:ascii="宋体" w:hAnsi="宋体" w:eastAsia="宋体"/>
          <w:sz w:val="24"/>
          <w:szCs w:val="24"/>
        </w:rPr>
      </w:pPr>
    </w:p>
    <w:p w14:paraId="398FB983">
      <w:pPr>
        <w:jc w:val="center"/>
        <w:rPr>
          <w:rFonts w:ascii="宋体" w:hAnsi="宋体" w:eastAsia="宋体"/>
          <w:b/>
          <w:sz w:val="36"/>
          <w:szCs w:val="36"/>
        </w:rPr>
      </w:pPr>
      <w:r>
        <w:rPr>
          <w:rFonts w:hint="eastAsia" w:ascii="宋体" w:hAnsi="宋体" w:eastAsia="宋体"/>
          <w:b/>
          <w:sz w:val="36"/>
          <w:szCs w:val="36"/>
        </w:rPr>
        <w:t>天通控股股份有限公司</w:t>
      </w:r>
    </w:p>
    <w:p w14:paraId="06EB13AD">
      <w:pPr>
        <w:jc w:val="center"/>
        <w:rPr>
          <w:rFonts w:ascii="宋体" w:hAnsi="宋体" w:eastAsia="宋体"/>
          <w:b/>
          <w:sz w:val="36"/>
          <w:szCs w:val="36"/>
        </w:rPr>
      </w:pPr>
      <w:r>
        <w:rPr>
          <w:rFonts w:hint="eastAsia" w:ascii="宋体" w:hAnsi="宋体" w:eastAsia="宋体"/>
          <w:b/>
          <w:sz w:val="36"/>
          <w:szCs w:val="36"/>
        </w:rPr>
        <w:t>投资者关系活动记录表</w:t>
      </w:r>
    </w:p>
    <w:p w14:paraId="2774413B">
      <w:pPr>
        <w:jc w:val="center"/>
        <w:rPr>
          <w:rFonts w:ascii="宋体" w:hAnsi="宋体" w:eastAsia="宋体"/>
          <w:b/>
          <w:sz w:val="36"/>
          <w:szCs w:val="36"/>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4"/>
        <w:gridCol w:w="6851"/>
      </w:tblGrid>
      <w:tr w14:paraId="68BCD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Borders>
              <w:top w:val="single" w:color="auto" w:sz="4" w:space="0"/>
              <w:left w:val="single" w:color="auto" w:sz="4" w:space="0"/>
              <w:bottom w:val="single" w:color="auto" w:sz="4" w:space="0"/>
              <w:right w:val="single" w:color="auto" w:sz="4" w:space="0"/>
            </w:tcBorders>
            <w:vAlign w:val="center"/>
          </w:tcPr>
          <w:p w14:paraId="70EB5050">
            <w:pPr>
              <w:spacing w:line="360" w:lineRule="auto"/>
              <w:jc w:val="center"/>
              <w:rPr>
                <w:rFonts w:ascii="黑体" w:hAnsi="黑体" w:eastAsia="黑体"/>
                <w:sz w:val="24"/>
                <w:szCs w:val="24"/>
              </w:rPr>
            </w:pPr>
            <w:r>
              <w:rPr>
                <w:rFonts w:hint="eastAsia" w:ascii="黑体" w:hAnsi="黑体" w:eastAsia="黑体"/>
                <w:sz w:val="24"/>
                <w:szCs w:val="24"/>
              </w:rPr>
              <w:t>投资者关系</w:t>
            </w:r>
          </w:p>
          <w:p w14:paraId="45CD350D">
            <w:pPr>
              <w:spacing w:line="360" w:lineRule="auto"/>
              <w:jc w:val="center"/>
              <w:rPr>
                <w:rFonts w:ascii="黑体" w:hAnsi="黑体" w:eastAsia="黑体"/>
                <w:sz w:val="24"/>
                <w:szCs w:val="24"/>
              </w:rPr>
            </w:pPr>
            <w:r>
              <w:rPr>
                <w:rFonts w:hint="eastAsia" w:ascii="黑体" w:hAnsi="黑体" w:eastAsia="黑体"/>
                <w:sz w:val="24"/>
                <w:szCs w:val="24"/>
              </w:rPr>
              <w:t>活动类别</w:t>
            </w:r>
          </w:p>
        </w:tc>
        <w:tc>
          <w:tcPr>
            <w:tcW w:w="6851" w:type="dxa"/>
            <w:tcBorders>
              <w:top w:val="single" w:color="auto" w:sz="4" w:space="0"/>
              <w:left w:val="single" w:color="auto" w:sz="4" w:space="0"/>
              <w:bottom w:val="single" w:color="auto" w:sz="4" w:space="0"/>
              <w:right w:val="single" w:color="auto" w:sz="4" w:space="0"/>
            </w:tcBorders>
            <w:vAlign w:val="center"/>
          </w:tcPr>
          <w:p w14:paraId="3A188E17">
            <w:pPr>
              <w:rPr>
                <w:rFonts w:ascii="宋体" w:hAnsi="宋体" w:eastAsia="宋体"/>
                <w:sz w:val="24"/>
                <w:szCs w:val="24"/>
              </w:rPr>
            </w:pPr>
            <w:r>
              <w:rPr>
                <w:rFonts w:hint="eastAsia" w:ascii="宋体" w:hAnsi="宋体" w:eastAsia="宋体"/>
                <w:sz w:val="24"/>
                <w:szCs w:val="24"/>
              </w:rPr>
              <w:t>现场调研</w:t>
            </w:r>
          </w:p>
        </w:tc>
      </w:tr>
      <w:tr w14:paraId="0E55C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Borders>
              <w:top w:val="single" w:color="auto" w:sz="4" w:space="0"/>
              <w:left w:val="single" w:color="auto" w:sz="4" w:space="0"/>
              <w:bottom w:val="single" w:color="auto" w:sz="4" w:space="0"/>
              <w:right w:val="single" w:color="auto" w:sz="4" w:space="0"/>
            </w:tcBorders>
            <w:vAlign w:val="center"/>
          </w:tcPr>
          <w:p w14:paraId="4A942FE8">
            <w:pPr>
              <w:spacing w:line="360" w:lineRule="auto"/>
              <w:jc w:val="center"/>
              <w:rPr>
                <w:rFonts w:ascii="黑体" w:hAnsi="黑体" w:eastAsia="黑体"/>
                <w:sz w:val="24"/>
                <w:szCs w:val="24"/>
              </w:rPr>
            </w:pPr>
            <w:r>
              <w:rPr>
                <w:rFonts w:hint="eastAsia" w:ascii="黑体" w:hAnsi="黑体" w:eastAsia="黑体"/>
                <w:sz w:val="24"/>
                <w:szCs w:val="24"/>
              </w:rPr>
              <w:t>参与单位名称及人员</w:t>
            </w:r>
          </w:p>
        </w:tc>
        <w:tc>
          <w:tcPr>
            <w:tcW w:w="6851" w:type="dxa"/>
            <w:tcBorders>
              <w:top w:val="single" w:color="auto" w:sz="4" w:space="0"/>
              <w:left w:val="single" w:color="auto" w:sz="4" w:space="0"/>
              <w:bottom w:val="single" w:color="auto" w:sz="4" w:space="0"/>
              <w:right w:val="single" w:color="auto" w:sz="4" w:space="0"/>
            </w:tcBorders>
          </w:tcPr>
          <w:p w14:paraId="7B345F0A">
            <w:pPr>
              <w:spacing w:line="360" w:lineRule="auto"/>
              <w:rPr>
                <w:rFonts w:ascii="宋体" w:hAnsi="宋体" w:eastAsia="宋体"/>
                <w:sz w:val="24"/>
                <w:szCs w:val="24"/>
              </w:rPr>
            </w:pPr>
            <w:r>
              <w:rPr>
                <w:rFonts w:hint="eastAsia" w:ascii="宋体" w:hAnsi="宋体" w:eastAsia="宋体"/>
                <w:bCs/>
                <w:sz w:val="24"/>
                <w:szCs w:val="24"/>
              </w:rPr>
              <w:t>中邮证券有限责任公司、山西证券股份股份有限公司、五牛（海南）私募基金管理合伙企业（有限合伙）、浙商证券股份有限公司、中再资产管理股份有限公司、上海证券有限责任公司、长城证券股份有限公司、清溪资产管理（上海）有限公司、华福证券股份有限公司（以上排名不分先后）</w:t>
            </w:r>
          </w:p>
        </w:tc>
      </w:tr>
      <w:tr w14:paraId="47C82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Borders>
              <w:top w:val="single" w:color="auto" w:sz="4" w:space="0"/>
              <w:left w:val="single" w:color="auto" w:sz="4" w:space="0"/>
              <w:bottom w:val="single" w:color="auto" w:sz="4" w:space="0"/>
              <w:right w:val="single" w:color="auto" w:sz="4" w:space="0"/>
            </w:tcBorders>
            <w:vAlign w:val="center"/>
          </w:tcPr>
          <w:p w14:paraId="36AE784C">
            <w:pPr>
              <w:jc w:val="center"/>
              <w:rPr>
                <w:rFonts w:ascii="黑体" w:hAnsi="黑体" w:eastAsia="黑体"/>
                <w:sz w:val="24"/>
                <w:szCs w:val="24"/>
              </w:rPr>
            </w:pPr>
            <w:r>
              <w:rPr>
                <w:rFonts w:hint="eastAsia" w:ascii="黑体" w:hAnsi="黑体" w:eastAsia="黑体"/>
                <w:sz w:val="24"/>
                <w:szCs w:val="24"/>
              </w:rPr>
              <w:t>时间</w:t>
            </w:r>
          </w:p>
        </w:tc>
        <w:tc>
          <w:tcPr>
            <w:tcW w:w="6851" w:type="dxa"/>
            <w:tcBorders>
              <w:top w:val="single" w:color="auto" w:sz="4" w:space="0"/>
              <w:left w:val="single" w:color="auto" w:sz="4" w:space="0"/>
              <w:bottom w:val="single" w:color="auto" w:sz="4" w:space="0"/>
              <w:right w:val="single" w:color="auto" w:sz="4" w:space="0"/>
            </w:tcBorders>
          </w:tcPr>
          <w:p w14:paraId="6C516D5E">
            <w:pPr>
              <w:spacing w:line="360" w:lineRule="auto"/>
              <w:rPr>
                <w:rFonts w:ascii="宋体" w:hAnsi="宋体" w:eastAsia="宋体"/>
                <w:sz w:val="24"/>
                <w:szCs w:val="24"/>
              </w:rPr>
            </w:pPr>
            <w:r>
              <w:rPr>
                <w:rFonts w:hint="eastAsia" w:ascii="宋体" w:hAnsi="宋体" w:eastAsia="宋体"/>
                <w:sz w:val="24"/>
                <w:szCs w:val="24"/>
              </w:rPr>
              <w:t>2026年6月3日14</w:t>
            </w:r>
            <w:r>
              <w:rPr>
                <w:rFonts w:ascii="宋体" w:hAnsi="宋体" w:eastAsia="宋体"/>
                <w:sz w:val="24"/>
                <w:szCs w:val="24"/>
              </w:rPr>
              <w:t>:</w:t>
            </w:r>
            <w:r>
              <w:rPr>
                <w:rFonts w:hint="eastAsia" w:ascii="宋体" w:hAnsi="宋体" w:eastAsia="宋体"/>
                <w:sz w:val="24"/>
                <w:szCs w:val="24"/>
              </w:rPr>
              <w:t>0</w:t>
            </w:r>
            <w:r>
              <w:rPr>
                <w:rFonts w:ascii="宋体" w:hAnsi="宋体" w:eastAsia="宋体"/>
                <w:sz w:val="24"/>
                <w:szCs w:val="24"/>
              </w:rPr>
              <w:t>0</w:t>
            </w:r>
          </w:p>
        </w:tc>
      </w:tr>
      <w:tr w14:paraId="0E142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Borders>
              <w:top w:val="single" w:color="auto" w:sz="4" w:space="0"/>
              <w:left w:val="single" w:color="auto" w:sz="4" w:space="0"/>
              <w:bottom w:val="single" w:color="auto" w:sz="4" w:space="0"/>
              <w:right w:val="single" w:color="auto" w:sz="4" w:space="0"/>
            </w:tcBorders>
            <w:vAlign w:val="center"/>
          </w:tcPr>
          <w:p w14:paraId="0B8E3224">
            <w:pPr>
              <w:jc w:val="center"/>
              <w:rPr>
                <w:rFonts w:ascii="黑体" w:hAnsi="黑体" w:eastAsia="黑体"/>
                <w:sz w:val="24"/>
                <w:szCs w:val="24"/>
              </w:rPr>
            </w:pPr>
            <w:r>
              <w:rPr>
                <w:rFonts w:hint="eastAsia" w:ascii="黑体" w:hAnsi="黑体" w:eastAsia="黑体"/>
                <w:sz w:val="24"/>
                <w:szCs w:val="24"/>
              </w:rPr>
              <w:t>地点</w:t>
            </w:r>
          </w:p>
        </w:tc>
        <w:tc>
          <w:tcPr>
            <w:tcW w:w="6851" w:type="dxa"/>
            <w:tcBorders>
              <w:top w:val="single" w:color="auto" w:sz="4" w:space="0"/>
              <w:left w:val="single" w:color="auto" w:sz="4" w:space="0"/>
              <w:bottom w:val="single" w:color="auto" w:sz="4" w:space="0"/>
              <w:right w:val="single" w:color="auto" w:sz="4" w:space="0"/>
            </w:tcBorders>
          </w:tcPr>
          <w:p w14:paraId="03269549">
            <w:pPr>
              <w:spacing w:line="360" w:lineRule="auto"/>
              <w:rPr>
                <w:rFonts w:ascii="宋体" w:hAnsi="宋体" w:eastAsia="宋体"/>
                <w:sz w:val="24"/>
                <w:szCs w:val="24"/>
              </w:rPr>
            </w:pPr>
            <w:r>
              <w:rPr>
                <w:rFonts w:hint="eastAsia" w:ascii="宋体" w:hAnsi="宋体" w:eastAsia="宋体"/>
                <w:sz w:val="24"/>
                <w:szCs w:val="24"/>
              </w:rPr>
              <w:t>上海市徐汇区古美陆1658号6C幢3楼</w:t>
            </w:r>
          </w:p>
        </w:tc>
      </w:tr>
      <w:tr w14:paraId="5C235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Borders>
              <w:top w:val="single" w:color="auto" w:sz="4" w:space="0"/>
              <w:left w:val="single" w:color="auto" w:sz="4" w:space="0"/>
              <w:bottom w:val="single" w:color="auto" w:sz="4" w:space="0"/>
              <w:right w:val="single" w:color="auto" w:sz="4" w:space="0"/>
            </w:tcBorders>
            <w:vAlign w:val="center"/>
          </w:tcPr>
          <w:p w14:paraId="07E4B661">
            <w:pPr>
              <w:jc w:val="center"/>
              <w:rPr>
                <w:rFonts w:ascii="黑体" w:hAnsi="黑体" w:eastAsia="黑体"/>
                <w:sz w:val="24"/>
                <w:szCs w:val="24"/>
              </w:rPr>
            </w:pPr>
            <w:r>
              <w:rPr>
                <w:rFonts w:hint="eastAsia" w:ascii="黑体" w:hAnsi="黑体" w:eastAsia="黑体"/>
                <w:sz w:val="24"/>
                <w:szCs w:val="24"/>
              </w:rPr>
              <w:t>公司接待人员</w:t>
            </w:r>
          </w:p>
        </w:tc>
        <w:tc>
          <w:tcPr>
            <w:tcW w:w="6851" w:type="dxa"/>
            <w:tcBorders>
              <w:top w:val="single" w:color="auto" w:sz="4" w:space="0"/>
              <w:left w:val="single" w:color="auto" w:sz="4" w:space="0"/>
              <w:bottom w:val="single" w:color="auto" w:sz="4" w:space="0"/>
              <w:right w:val="single" w:color="auto" w:sz="4" w:space="0"/>
            </w:tcBorders>
          </w:tcPr>
          <w:p w14:paraId="15C5CFE5">
            <w:pPr>
              <w:tabs>
                <w:tab w:val="left" w:pos="2180"/>
              </w:tabs>
              <w:spacing w:line="360" w:lineRule="auto"/>
              <w:rPr>
                <w:rFonts w:ascii="宋体" w:hAnsi="宋体" w:eastAsia="宋体"/>
                <w:bCs/>
                <w:sz w:val="24"/>
                <w:szCs w:val="24"/>
              </w:rPr>
            </w:pPr>
            <w:r>
              <w:rPr>
                <w:rFonts w:hint="eastAsia" w:ascii="宋体" w:hAnsi="宋体" w:eastAsia="宋体"/>
                <w:bCs/>
                <w:sz w:val="24"/>
                <w:szCs w:val="24"/>
              </w:rPr>
              <w:t>董事长：郑晓彬</w:t>
            </w:r>
          </w:p>
          <w:p w14:paraId="6F6400D6">
            <w:pPr>
              <w:spacing w:line="360" w:lineRule="auto"/>
              <w:rPr>
                <w:rFonts w:ascii="宋体" w:hAnsi="宋体" w:eastAsia="宋体"/>
                <w:sz w:val="24"/>
                <w:szCs w:val="24"/>
              </w:rPr>
            </w:pPr>
            <w:r>
              <w:rPr>
                <w:rFonts w:hint="eastAsia" w:ascii="宋体" w:hAnsi="宋体" w:eastAsia="宋体"/>
                <w:sz w:val="24"/>
                <w:szCs w:val="24"/>
              </w:rPr>
              <w:t>投资者关系管理：姚天恒</w:t>
            </w:r>
          </w:p>
        </w:tc>
      </w:tr>
      <w:tr w14:paraId="11039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Borders>
              <w:top w:val="single" w:color="auto" w:sz="4" w:space="0"/>
              <w:left w:val="single" w:color="auto" w:sz="4" w:space="0"/>
              <w:bottom w:val="single" w:color="auto" w:sz="4" w:space="0"/>
              <w:right w:val="single" w:color="auto" w:sz="4" w:space="0"/>
            </w:tcBorders>
            <w:vAlign w:val="center"/>
          </w:tcPr>
          <w:p w14:paraId="5740A3B0">
            <w:pPr>
              <w:spacing w:line="360" w:lineRule="auto"/>
              <w:jc w:val="center"/>
              <w:rPr>
                <w:rFonts w:ascii="黑体" w:hAnsi="黑体" w:eastAsia="黑体"/>
                <w:sz w:val="24"/>
                <w:szCs w:val="24"/>
              </w:rPr>
            </w:pPr>
            <w:r>
              <w:rPr>
                <w:rFonts w:hint="eastAsia" w:ascii="黑体" w:hAnsi="黑体" w:eastAsia="黑体"/>
                <w:sz w:val="24"/>
                <w:szCs w:val="24"/>
              </w:rPr>
              <w:t>投资者关系</w:t>
            </w:r>
          </w:p>
          <w:p w14:paraId="2D3B21D3">
            <w:pPr>
              <w:spacing w:line="360" w:lineRule="auto"/>
              <w:jc w:val="center"/>
              <w:rPr>
                <w:rFonts w:ascii="黑体" w:hAnsi="黑体" w:eastAsia="黑体"/>
                <w:sz w:val="24"/>
                <w:szCs w:val="24"/>
              </w:rPr>
            </w:pPr>
            <w:r>
              <w:rPr>
                <w:rFonts w:hint="eastAsia" w:ascii="黑体" w:hAnsi="黑体" w:eastAsia="黑体"/>
                <w:sz w:val="24"/>
                <w:szCs w:val="24"/>
              </w:rPr>
              <w:t>活动主要</w:t>
            </w:r>
          </w:p>
          <w:p w14:paraId="64475CBC">
            <w:pPr>
              <w:spacing w:line="360" w:lineRule="auto"/>
              <w:jc w:val="center"/>
              <w:rPr>
                <w:rFonts w:ascii="黑体" w:hAnsi="黑体" w:eastAsia="黑体"/>
                <w:sz w:val="24"/>
                <w:szCs w:val="24"/>
              </w:rPr>
            </w:pPr>
            <w:r>
              <w:rPr>
                <w:rFonts w:hint="eastAsia" w:ascii="黑体" w:hAnsi="黑体" w:eastAsia="黑体"/>
                <w:sz w:val="24"/>
                <w:szCs w:val="24"/>
              </w:rPr>
              <w:t>内容介绍</w:t>
            </w:r>
          </w:p>
        </w:tc>
        <w:tc>
          <w:tcPr>
            <w:tcW w:w="6851" w:type="dxa"/>
            <w:tcBorders>
              <w:top w:val="single" w:color="auto" w:sz="4" w:space="0"/>
              <w:left w:val="single" w:color="auto" w:sz="4" w:space="0"/>
              <w:bottom w:val="single" w:color="auto" w:sz="4" w:space="0"/>
              <w:right w:val="single" w:color="auto" w:sz="4" w:space="0"/>
            </w:tcBorders>
          </w:tcPr>
          <w:p w14:paraId="2490F987">
            <w:pPr>
              <w:widowControl/>
              <w:numPr>
                <w:ilvl w:val="0"/>
                <w:numId w:val="1"/>
              </w:numPr>
              <w:spacing w:line="360" w:lineRule="auto"/>
              <w:rPr>
                <w:rFonts w:ascii="宋体" w:hAnsi="宋体" w:eastAsia="宋体"/>
                <w:b/>
                <w:bCs/>
                <w:sz w:val="24"/>
                <w:szCs w:val="24"/>
              </w:rPr>
            </w:pPr>
            <w:r>
              <w:rPr>
                <w:rFonts w:hint="eastAsia" w:ascii="宋体" w:hAnsi="宋体" w:eastAsia="宋体"/>
                <w:b/>
                <w:bCs/>
                <w:sz w:val="24"/>
                <w:szCs w:val="24"/>
              </w:rPr>
              <w:t>公司发展介绍</w:t>
            </w:r>
          </w:p>
          <w:p w14:paraId="3EF5B41F">
            <w:pPr>
              <w:widowControl/>
              <w:spacing w:line="360" w:lineRule="auto"/>
              <w:ind w:firstLine="480" w:firstLineChars="200"/>
              <w:rPr>
                <w:rFonts w:ascii="宋体" w:hAnsi="宋体" w:eastAsia="宋体"/>
                <w:bCs/>
                <w:sz w:val="24"/>
                <w:szCs w:val="24"/>
              </w:rPr>
            </w:pPr>
            <w:r>
              <w:rPr>
                <w:rFonts w:hint="eastAsia" w:ascii="宋体" w:hAnsi="宋体" w:eastAsia="宋体"/>
                <w:bCs/>
                <w:sz w:val="24"/>
                <w:szCs w:val="24"/>
              </w:rPr>
              <w:t>天通控股股份有限公司创办于1984年，于2001年1月18日在上海证券交易所上市，拥有多家控股公司和参股公司，‌是国内首家由自然人直接控股的上市公司。公司将软磁、蓝宝石以及铌酸锂晶体等电子材料作为核心业务，将晶体和粉体智能设备作为支撑业务。公司产品广泛应用于汽车电子、数据中心及服务器、新能源、工业医疗、无线应用等领域。公司生产基地和业务中心分布在海宁、上海、安徽六安、宁夏银川、江苏徐州等多个区域。</w:t>
            </w:r>
          </w:p>
          <w:p w14:paraId="1DDB7E04">
            <w:pPr>
              <w:widowControl/>
              <w:spacing w:line="360" w:lineRule="auto"/>
              <w:ind w:firstLine="480" w:firstLineChars="200"/>
              <w:rPr>
                <w:rFonts w:ascii="宋体" w:hAnsi="宋体" w:eastAsia="宋体"/>
                <w:bCs/>
                <w:sz w:val="24"/>
                <w:szCs w:val="24"/>
              </w:rPr>
            </w:pPr>
            <w:r>
              <w:rPr>
                <w:rFonts w:hint="eastAsia" w:ascii="宋体" w:hAnsi="宋体" w:eastAsia="宋体"/>
                <w:bCs/>
                <w:sz w:val="24"/>
                <w:szCs w:val="24"/>
              </w:rPr>
              <w:t>其中，公司主业软磁</w:t>
            </w:r>
            <w:r>
              <w:rPr>
                <w:rFonts w:ascii="宋体" w:hAnsi="宋体" w:eastAsia="宋体"/>
                <w:bCs/>
                <w:sz w:val="24"/>
                <w:szCs w:val="24"/>
              </w:rPr>
              <w:t>‌材料‌</w:t>
            </w:r>
            <w:r>
              <w:rPr>
                <w:rFonts w:hint="eastAsia" w:ascii="宋体" w:hAnsi="宋体" w:eastAsia="宋体"/>
                <w:bCs/>
                <w:sz w:val="24"/>
                <w:szCs w:val="24"/>
              </w:rPr>
              <w:t>目前</w:t>
            </w:r>
            <w:r>
              <w:rPr>
                <w:rFonts w:ascii="宋体" w:hAnsi="宋体" w:eastAsia="宋体"/>
                <w:bCs/>
                <w:sz w:val="24"/>
                <w:szCs w:val="24"/>
              </w:rPr>
              <w:t>产能</w:t>
            </w:r>
            <w:r>
              <w:rPr>
                <w:rFonts w:hint="eastAsia" w:ascii="宋体" w:hAnsi="宋体" w:eastAsia="宋体"/>
                <w:bCs/>
                <w:sz w:val="24"/>
                <w:szCs w:val="24"/>
              </w:rPr>
              <w:t>位于行业前列</w:t>
            </w:r>
            <w:r>
              <w:rPr>
                <w:rFonts w:ascii="宋体" w:hAnsi="宋体" w:eastAsia="宋体"/>
                <w:bCs/>
                <w:sz w:val="24"/>
                <w:szCs w:val="24"/>
              </w:rPr>
              <w:t>，</w:t>
            </w:r>
            <w:r>
              <w:rPr>
                <w:rFonts w:hint="eastAsia" w:ascii="宋体" w:hAnsi="宋体" w:eastAsia="宋体"/>
                <w:bCs/>
                <w:sz w:val="24"/>
                <w:szCs w:val="24"/>
              </w:rPr>
              <w:t>是</w:t>
            </w:r>
            <w:r>
              <w:rPr>
                <w:rFonts w:ascii="宋体" w:hAnsi="宋体" w:eastAsia="宋体"/>
                <w:bCs/>
                <w:sz w:val="24"/>
                <w:szCs w:val="24"/>
              </w:rPr>
              <w:t>国家软磁铁氧体标准制定单位之一</w:t>
            </w:r>
            <w:r>
              <w:rPr>
                <w:rFonts w:hint="eastAsia" w:ascii="宋体" w:hAnsi="宋体" w:eastAsia="宋体"/>
                <w:bCs/>
                <w:sz w:val="24"/>
                <w:szCs w:val="24"/>
              </w:rPr>
              <w:t>。</w:t>
            </w:r>
            <w:r>
              <w:rPr>
                <w:rFonts w:ascii="宋体" w:hAnsi="宋体" w:eastAsia="宋体"/>
                <w:bCs/>
                <w:sz w:val="24"/>
                <w:szCs w:val="24"/>
              </w:rPr>
              <w:t>‌压电晶体‌</w:t>
            </w:r>
            <w:r>
              <w:rPr>
                <w:rFonts w:hint="eastAsia" w:ascii="宋体" w:hAnsi="宋体" w:eastAsia="宋体"/>
                <w:bCs/>
                <w:sz w:val="24"/>
                <w:szCs w:val="24"/>
              </w:rPr>
              <w:t>材料</w:t>
            </w:r>
            <w:r>
              <w:rPr>
                <w:rFonts w:ascii="宋体" w:hAnsi="宋体" w:eastAsia="宋体"/>
                <w:bCs/>
                <w:sz w:val="24"/>
                <w:szCs w:val="24"/>
              </w:rPr>
              <w:t>突破国外垄断，8英寸铌酸锂量产填补国内空白，</w:t>
            </w:r>
            <w:r>
              <w:rPr>
                <w:rFonts w:hint="eastAsia" w:ascii="宋体" w:hAnsi="宋体" w:eastAsia="宋体"/>
                <w:bCs/>
                <w:sz w:val="24"/>
                <w:szCs w:val="24"/>
              </w:rPr>
              <w:t>是光通信</w:t>
            </w:r>
            <w:r>
              <w:rPr>
                <w:rFonts w:ascii="宋体" w:hAnsi="宋体" w:eastAsia="宋体"/>
                <w:bCs/>
                <w:sz w:val="24"/>
                <w:szCs w:val="24"/>
              </w:rPr>
              <w:t>CPO关键光学组件</w:t>
            </w:r>
            <w:r>
              <w:rPr>
                <w:rFonts w:hint="eastAsia" w:ascii="宋体" w:hAnsi="宋体" w:eastAsia="宋体"/>
                <w:bCs/>
                <w:sz w:val="24"/>
                <w:szCs w:val="24"/>
              </w:rPr>
              <w:t>的重要</w:t>
            </w:r>
            <w:r>
              <w:rPr>
                <w:rFonts w:ascii="宋体" w:hAnsi="宋体" w:eastAsia="宋体"/>
                <w:bCs/>
                <w:sz w:val="24"/>
                <w:szCs w:val="24"/>
              </w:rPr>
              <w:t>基础</w:t>
            </w:r>
            <w:r>
              <w:rPr>
                <w:rFonts w:hint="eastAsia" w:ascii="宋体" w:hAnsi="宋体" w:eastAsia="宋体"/>
                <w:bCs/>
                <w:sz w:val="24"/>
                <w:szCs w:val="24"/>
              </w:rPr>
              <w:t>材料</w:t>
            </w:r>
            <w:r>
              <w:rPr>
                <w:rFonts w:hint="eastAsia" w:ascii="宋体" w:hAnsi="宋体" w:eastAsia="宋体"/>
                <w:bCs/>
                <w:sz w:val="24"/>
                <w:szCs w:val="24"/>
                <w:lang w:val="en-US" w:eastAsia="zh-CN"/>
              </w:rPr>
              <w:t>之一。但公司不生产光模块，请大家注意投资风险</w:t>
            </w:r>
            <w:r>
              <w:rPr>
                <w:rFonts w:hint="eastAsia" w:ascii="宋体" w:hAnsi="宋体" w:eastAsia="宋体"/>
                <w:bCs/>
                <w:sz w:val="24"/>
                <w:szCs w:val="24"/>
              </w:rPr>
              <w:t>。</w:t>
            </w:r>
          </w:p>
          <w:p w14:paraId="1877B96A">
            <w:pPr>
              <w:widowControl/>
              <w:spacing w:line="360" w:lineRule="auto"/>
              <w:rPr>
                <w:rFonts w:ascii="宋体" w:hAnsi="宋体" w:eastAsia="宋体"/>
                <w:b/>
                <w:bCs/>
                <w:sz w:val="24"/>
                <w:szCs w:val="24"/>
              </w:rPr>
            </w:pPr>
            <w:r>
              <w:rPr>
                <w:rFonts w:hint="eastAsia" w:ascii="宋体" w:hAnsi="宋体" w:eastAsia="宋体"/>
                <w:b/>
                <w:bCs/>
                <w:sz w:val="24"/>
                <w:szCs w:val="24"/>
              </w:rPr>
              <w:t>二、问答：</w:t>
            </w:r>
          </w:p>
          <w:p w14:paraId="46DCE4A0">
            <w:pPr>
              <w:widowControl/>
              <w:spacing w:line="360" w:lineRule="auto"/>
              <w:rPr>
                <w:rFonts w:ascii="宋体" w:hAnsi="宋体" w:eastAsia="宋体"/>
                <w:b/>
                <w:bCs/>
                <w:sz w:val="24"/>
                <w:szCs w:val="24"/>
              </w:rPr>
            </w:pPr>
            <w:r>
              <w:rPr>
                <w:rFonts w:hint="eastAsia" w:ascii="宋体" w:hAnsi="宋体" w:eastAsia="宋体"/>
                <w:b/>
                <w:bCs/>
                <w:sz w:val="24"/>
                <w:szCs w:val="24"/>
              </w:rPr>
              <w:t>1、贵司软磁材料在数据中心方面是否有相关应用？</w:t>
            </w:r>
          </w:p>
          <w:p w14:paraId="76E282C7">
            <w:pPr>
              <w:widowControl/>
              <w:spacing w:line="360" w:lineRule="auto"/>
              <w:rPr>
                <w:rFonts w:hint="default" w:ascii="宋体" w:hAnsi="宋体" w:eastAsia="宋体"/>
                <w:sz w:val="24"/>
                <w:szCs w:val="24"/>
                <w:lang w:val="en-US" w:eastAsia="zh-CN"/>
              </w:rPr>
            </w:pPr>
            <w:r>
              <w:rPr>
                <w:rFonts w:hint="eastAsia" w:ascii="宋体" w:hAnsi="宋体" w:eastAsia="宋体"/>
                <w:sz w:val="24"/>
                <w:szCs w:val="24"/>
              </w:rPr>
              <w:t>软磁材料在数据中心存在相关应用。主要应用包括算力服务器电源模块、CPU/GPU芯片电感、光模块电感等。</w:t>
            </w:r>
            <w:r>
              <w:rPr>
                <w:rFonts w:hint="eastAsia" w:ascii="宋体" w:hAnsi="宋体" w:eastAsia="宋体"/>
                <w:sz w:val="24"/>
                <w:szCs w:val="24"/>
                <w:lang w:val="en-US" w:eastAsia="zh-CN"/>
              </w:rPr>
              <w:t>但我司软磁材料在数据中心行业应用的营收占比较小，当前主要应用还在新能源汽车、电力储能、消费电子、工业电子等领域。</w:t>
            </w:r>
          </w:p>
          <w:p w14:paraId="2DAA18B8">
            <w:pPr>
              <w:widowControl/>
              <w:spacing w:line="360" w:lineRule="auto"/>
              <w:rPr>
                <w:rFonts w:ascii="宋体" w:hAnsi="宋体" w:eastAsia="宋体"/>
                <w:sz w:val="24"/>
                <w:szCs w:val="24"/>
              </w:rPr>
            </w:pPr>
            <w:r>
              <w:rPr>
                <w:rFonts w:hint="eastAsia" w:ascii="宋体" w:hAnsi="宋体" w:eastAsia="宋体"/>
                <w:b/>
                <w:bCs/>
                <w:sz w:val="24"/>
                <w:szCs w:val="24"/>
              </w:rPr>
              <w:t>2、介绍一下铌酸锂材料在光模块中的应用趋势如何？</w:t>
            </w:r>
            <w:bookmarkStart w:id="0" w:name="_GoBack"/>
            <w:bookmarkEnd w:id="0"/>
          </w:p>
          <w:p w14:paraId="5A2E3F2B">
            <w:pPr>
              <w:widowControl/>
              <w:spacing w:line="360" w:lineRule="auto"/>
              <w:rPr>
                <w:rFonts w:ascii="宋体" w:hAnsi="宋体" w:eastAsia="宋体"/>
                <w:sz w:val="24"/>
                <w:szCs w:val="24"/>
              </w:rPr>
            </w:pPr>
            <w:r>
              <w:rPr>
                <w:rFonts w:hint="eastAsia" w:ascii="宋体" w:hAnsi="宋体" w:eastAsia="宋体"/>
                <w:sz w:val="24"/>
                <w:szCs w:val="24"/>
              </w:rPr>
              <w:t>铌酸锂晶体材料下游应用在“光进铜退”光通信领域产业技术变革中预期受益。数据中心对于算力密度、时延要求、功耗散热等材料性能要求越来越高。而铌酸锂晶体材料相较于硅光等其他材料来说显示出优异的性能优势。根据产业调研，3.2T及以上的高速率光模块中调制调节器采用铌酸锂材料的技术路线预期将成为下游客户的主流方案。</w:t>
            </w:r>
          </w:p>
          <w:p w14:paraId="68834C0E">
            <w:pPr>
              <w:widowControl/>
              <w:spacing w:line="360" w:lineRule="auto"/>
              <w:rPr>
                <w:rFonts w:ascii="宋体" w:hAnsi="宋体" w:eastAsia="宋体"/>
                <w:b/>
                <w:bCs/>
                <w:sz w:val="24"/>
                <w:szCs w:val="24"/>
              </w:rPr>
            </w:pPr>
            <w:r>
              <w:rPr>
                <w:rFonts w:hint="eastAsia" w:ascii="宋体" w:hAnsi="宋体" w:eastAsia="宋体"/>
                <w:b/>
                <w:bCs/>
                <w:sz w:val="24"/>
                <w:szCs w:val="24"/>
              </w:rPr>
              <w:t>3、能否简要介绍贵司的压电晶圆业务的工艺流程？</w:t>
            </w:r>
          </w:p>
          <w:p w14:paraId="52406DDC">
            <w:pPr>
              <w:widowControl/>
              <w:spacing w:line="360" w:lineRule="auto"/>
              <w:rPr>
                <w:rFonts w:hint="default" w:ascii="宋体" w:hAnsi="宋体" w:eastAsia="宋体"/>
                <w:sz w:val="24"/>
                <w:szCs w:val="24"/>
                <w:lang w:val="en-US" w:eastAsia="zh-CN"/>
              </w:rPr>
            </w:pPr>
            <w:r>
              <w:rPr>
                <w:rFonts w:hint="eastAsia" w:ascii="宋体" w:hAnsi="宋体" w:eastAsia="宋体"/>
                <w:sz w:val="24"/>
                <w:szCs w:val="24"/>
              </w:rPr>
              <w:t>压电晶圆工艺流程主要涉及晶体生长，晶棒加工，切片，研磨，抛光等工艺环节</w:t>
            </w:r>
            <w:r>
              <w:rPr>
                <w:rFonts w:hint="eastAsia" w:ascii="宋体" w:hAnsi="宋体" w:eastAsia="宋体"/>
                <w:sz w:val="24"/>
                <w:szCs w:val="24"/>
                <w:lang w:eastAsia="zh-CN"/>
              </w:rPr>
              <w:t>。</w:t>
            </w:r>
            <w:r>
              <w:rPr>
                <w:rFonts w:hint="eastAsia" w:ascii="宋体" w:hAnsi="宋体" w:eastAsia="宋体"/>
                <w:sz w:val="24"/>
                <w:szCs w:val="24"/>
                <w:lang w:val="en-US" w:eastAsia="zh-CN"/>
              </w:rPr>
              <w:t>此外，压电</w:t>
            </w:r>
            <w:r>
              <w:rPr>
                <w:rFonts w:hint="eastAsia" w:ascii="宋体" w:hAnsi="宋体" w:eastAsia="宋体"/>
                <w:sz w:val="24"/>
                <w:szCs w:val="24"/>
              </w:rPr>
              <w:t>异质</w:t>
            </w:r>
            <w:r>
              <w:rPr>
                <w:rFonts w:hint="eastAsia" w:ascii="宋体" w:hAnsi="宋体" w:eastAsia="宋体"/>
                <w:sz w:val="24"/>
                <w:szCs w:val="24"/>
                <w:lang w:val="en-US" w:eastAsia="zh-CN"/>
              </w:rPr>
              <w:t>晶圆的</w:t>
            </w:r>
            <w:r>
              <w:rPr>
                <w:rFonts w:hint="eastAsia" w:ascii="宋体" w:hAnsi="宋体" w:eastAsia="宋体"/>
                <w:sz w:val="24"/>
                <w:szCs w:val="24"/>
              </w:rPr>
              <w:t>异质集成</w:t>
            </w:r>
            <w:r>
              <w:rPr>
                <w:rFonts w:hint="eastAsia" w:ascii="宋体" w:hAnsi="宋体" w:eastAsia="宋体"/>
                <w:sz w:val="24"/>
                <w:szCs w:val="24"/>
                <w:lang w:val="en-US" w:eastAsia="zh-CN"/>
              </w:rPr>
              <w:t>键合工艺也在有序调试优化中。</w:t>
            </w:r>
          </w:p>
          <w:p w14:paraId="57A12B1E">
            <w:pPr>
              <w:widowControl/>
              <w:spacing w:line="360" w:lineRule="auto"/>
              <w:rPr>
                <w:rFonts w:ascii="宋体" w:hAnsi="宋体" w:eastAsia="宋体"/>
                <w:b/>
                <w:bCs/>
                <w:sz w:val="24"/>
                <w:szCs w:val="24"/>
              </w:rPr>
            </w:pPr>
            <w:r>
              <w:rPr>
                <w:rFonts w:hint="eastAsia" w:ascii="宋体" w:hAnsi="宋体" w:eastAsia="宋体"/>
                <w:b/>
                <w:bCs/>
                <w:sz w:val="24"/>
                <w:szCs w:val="24"/>
              </w:rPr>
              <w:t>4、贵司的压电晶体材料业务未来的产能规划如何？</w:t>
            </w:r>
          </w:p>
          <w:p w14:paraId="0657FA3D">
            <w:pPr>
              <w:widowControl/>
              <w:spacing w:line="360" w:lineRule="auto"/>
              <w:rPr>
                <w:rFonts w:ascii="宋体" w:hAnsi="宋体" w:eastAsia="宋体"/>
                <w:sz w:val="24"/>
                <w:szCs w:val="24"/>
              </w:rPr>
            </w:pPr>
            <w:r>
              <w:rPr>
                <w:rFonts w:hint="eastAsia" w:ascii="宋体" w:hAnsi="宋体" w:eastAsia="宋体"/>
                <w:sz w:val="24"/>
                <w:szCs w:val="24"/>
              </w:rPr>
              <w:t>根据2025年12月30日发布的募投项目调整公告，公司计划于2029年12月实现168万片的压电晶圆产能以及42万片压电异质晶圆，合计210万片。</w:t>
            </w:r>
          </w:p>
          <w:p w14:paraId="3B57851F">
            <w:pPr>
              <w:widowControl/>
              <w:spacing w:line="360" w:lineRule="auto"/>
              <w:rPr>
                <w:rFonts w:ascii="宋体" w:hAnsi="宋体" w:eastAsia="宋体"/>
                <w:b/>
                <w:bCs/>
                <w:sz w:val="24"/>
                <w:szCs w:val="24"/>
              </w:rPr>
            </w:pPr>
            <w:r>
              <w:rPr>
                <w:rFonts w:hint="eastAsia" w:ascii="宋体" w:hAnsi="宋体" w:eastAsia="宋体"/>
                <w:b/>
                <w:bCs/>
                <w:sz w:val="24"/>
                <w:szCs w:val="24"/>
              </w:rPr>
              <w:t>5、能否简要阐述一下贵司压电异质晶圆进展如何？</w:t>
            </w:r>
          </w:p>
          <w:p w14:paraId="1DDDEC81">
            <w:pPr>
              <w:widowControl/>
              <w:spacing w:line="360" w:lineRule="auto"/>
              <w:rPr>
                <w:rFonts w:ascii="宋体" w:hAnsi="宋体" w:eastAsia="宋体"/>
                <w:sz w:val="24"/>
                <w:szCs w:val="24"/>
              </w:rPr>
            </w:pPr>
            <w:r>
              <w:rPr>
                <w:rFonts w:hint="eastAsia" w:ascii="宋体" w:hAnsi="宋体" w:eastAsia="宋体"/>
                <w:sz w:val="24"/>
                <w:szCs w:val="24"/>
              </w:rPr>
              <w:t>我司与青禾晶元合作，共同构建从“铌酸锂单晶-铌酸锂晶片-异质集成装备-铌酸锂异质薄膜晶圆”的全产业链技术壁垒，异质集成工艺设备逐步到位，产能也将逐步释放</w:t>
            </w:r>
            <w:r>
              <w:rPr>
                <w:rFonts w:ascii="宋体" w:hAnsi="宋体" w:eastAsia="宋体"/>
                <w:sz w:val="24"/>
                <w:szCs w:val="24"/>
              </w:rPr>
              <w:t>。</w:t>
            </w:r>
          </w:p>
          <w:p w14:paraId="14D46FD2">
            <w:pPr>
              <w:widowControl/>
              <w:spacing w:line="360" w:lineRule="auto"/>
              <w:rPr>
                <w:rFonts w:ascii="宋体" w:hAnsi="宋体" w:eastAsia="宋体"/>
                <w:b/>
                <w:bCs/>
                <w:sz w:val="24"/>
                <w:szCs w:val="24"/>
              </w:rPr>
            </w:pPr>
            <w:r>
              <w:rPr>
                <w:rFonts w:hint="eastAsia" w:ascii="宋体" w:hAnsi="宋体" w:eastAsia="宋体"/>
                <w:b/>
                <w:bCs/>
                <w:sz w:val="24"/>
                <w:szCs w:val="24"/>
              </w:rPr>
              <w:t>6、贵司是否有拓展海外市场的业务举措？</w:t>
            </w:r>
          </w:p>
          <w:p w14:paraId="1D687366">
            <w:pPr>
              <w:widowControl/>
              <w:spacing w:line="360" w:lineRule="auto"/>
              <w:rPr>
                <w:rFonts w:ascii="宋体" w:hAnsi="宋体" w:eastAsia="宋体"/>
                <w:bCs/>
                <w:sz w:val="24"/>
                <w:szCs w:val="24"/>
              </w:rPr>
            </w:pPr>
            <w:r>
              <w:rPr>
                <w:rFonts w:hint="eastAsia" w:ascii="宋体" w:hAnsi="宋体" w:eastAsia="宋体"/>
                <w:sz w:val="24"/>
                <w:szCs w:val="24"/>
              </w:rPr>
              <w:t>我司软磁材料、蓝宝石材料、压电晶体材料等业务涉及的消费电子、电力电子、数据中心等下游应用领域在海外存在较大的市场潜力。因此，我司接下来也将在海外市场重点布局，与相关行业头部厂商建立商业联系。</w:t>
            </w:r>
            <w:r>
              <w:rPr>
                <w:rFonts w:ascii="宋体" w:hAnsi="宋体" w:eastAsia="宋体"/>
                <w:sz w:val="24"/>
                <w:szCs w:val="24"/>
              </w:rPr>
              <w:t>‌</w:t>
            </w:r>
          </w:p>
        </w:tc>
      </w:tr>
    </w:tbl>
    <w:p w14:paraId="2C870782"/>
    <w:sectPr>
      <w:footerReference r:id="rId3" w:type="default"/>
      <w:pgSz w:w="11906" w:h="16838"/>
      <w:pgMar w:top="1440" w:right="1800" w:bottom="141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3768659"/>
    </w:sdtPr>
    <w:sdtContent>
      <w:p w14:paraId="709F5044">
        <w:pPr>
          <w:pStyle w:val="4"/>
          <w:jc w:val="center"/>
        </w:pPr>
        <w:r>
          <w:fldChar w:fldCharType="begin"/>
        </w:r>
        <w:r>
          <w:instrText xml:space="preserve">PAGE   \* MERGEFORMAT</w:instrText>
        </w:r>
        <w:r>
          <w:fldChar w:fldCharType="separate"/>
        </w:r>
        <w:r>
          <w:rPr>
            <w:lang w:val="zh-CN"/>
          </w:rPr>
          <w:t>1</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AC4549"/>
    <w:multiLevelType w:val="singleLevel"/>
    <w:tmpl w:val="7FAC454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M1OTI4NjM5ZGIwODMyOGY4ZTIyODRhZDgyYzYzYzYifQ=="/>
  </w:docVars>
  <w:rsids>
    <w:rsidRoot w:val="00620F4C"/>
    <w:rsid w:val="000143F5"/>
    <w:rsid w:val="000156BD"/>
    <w:rsid w:val="00021E96"/>
    <w:rsid w:val="00022DF7"/>
    <w:rsid w:val="00053342"/>
    <w:rsid w:val="00066D40"/>
    <w:rsid w:val="00083FC9"/>
    <w:rsid w:val="000B2337"/>
    <w:rsid w:val="000C67A2"/>
    <w:rsid w:val="000E24D4"/>
    <w:rsid w:val="001542EC"/>
    <w:rsid w:val="001B61AA"/>
    <w:rsid w:val="001C37DC"/>
    <w:rsid w:val="00217652"/>
    <w:rsid w:val="00247BF9"/>
    <w:rsid w:val="00282A76"/>
    <w:rsid w:val="002911ED"/>
    <w:rsid w:val="002F1EFF"/>
    <w:rsid w:val="00303C6C"/>
    <w:rsid w:val="00303E26"/>
    <w:rsid w:val="003400A2"/>
    <w:rsid w:val="00376193"/>
    <w:rsid w:val="003F335E"/>
    <w:rsid w:val="004016F0"/>
    <w:rsid w:val="00435EBC"/>
    <w:rsid w:val="0044710E"/>
    <w:rsid w:val="00474AD8"/>
    <w:rsid w:val="00496F15"/>
    <w:rsid w:val="004B4E23"/>
    <w:rsid w:val="004B52DD"/>
    <w:rsid w:val="00534905"/>
    <w:rsid w:val="00542E25"/>
    <w:rsid w:val="0057316F"/>
    <w:rsid w:val="005C7F90"/>
    <w:rsid w:val="00612C13"/>
    <w:rsid w:val="00620F4C"/>
    <w:rsid w:val="00623AD4"/>
    <w:rsid w:val="006258EC"/>
    <w:rsid w:val="00686A25"/>
    <w:rsid w:val="006A3F3E"/>
    <w:rsid w:val="006A4A53"/>
    <w:rsid w:val="006C51E6"/>
    <w:rsid w:val="00700B0A"/>
    <w:rsid w:val="00703770"/>
    <w:rsid w:val="00706DF4"/>
    <w:rsid w:val="00707043"/>
    <w:rsid w:val="00707948"/>
    <w:rsid w:val="007130E2"/>
    <w:rsid w:val="0074787A"/>
    <w:rsid w:val="0077051D"/>
    <w:rsid w:val="00773064"/>
    <w:rsid w:val="007A4B53"/>
    <w:rsid w:val="008014E9"/>
    <w:rsid w:val="00837582"/>
    <w:rsid w:val="008403F4"/>
    <w:rsid w:val="00853EC1"/>
    <w:rsid w:val="008A4D37"/>
    <w:rsid w:val="008B4908"/>
    <w:rsid w:val="008C3390"/>
    <w:rsid w:val="0090263D"/>
    <w:rsid w:val="00954221"/>
    <w:rsid w:val="009560C5"/>
    <w:rsid w:val="00960A31"/>
    <w:rsid w:val="00974E57"/>
    <w:rsid w:val="009A252B"/>
    <w:rsid w:val="009A3633"/>
    <w:rsid w:val="009B396E"/>
    <w:rsid w:val="009B7ACE"/>
    <w:rsid w:val="009E47A8"/>
    <w:rsid w:val="009F473B"/>
    <w:rsid w:val="00A203E6"/>
    <w:rsid w:val="00A46E1B"/>
    <w:rsid w:val="00A67F23"/>
    <w:rsid w:val="00A710C3"/>
    <w:rsid w:val="00AA1C21"/>
    <w:rsid w:val="00AB1CC0"/>
    <w:rsid w:val="00AC67ED"/>
    <w:rsid w:val="00B25EE5"/>
    <w:rsid w:val="00B27D13"/>
    <w:rsid w:val="00B50D16"/>
    <w:rsid w:val="00B54B00"/>
    <w:rsid w:val="00B553C5"/>
    <w:rsid w:val="00B7229B"/>
    <w:rsid w:val="00BC39E1"/>
    <w:rsid w:val="00BF1E6C"/>
    <w:rsid w:val="00C03440"/>
    <w:rsid w:val="00C40EB3"/>
    <w:rsid w:val="00C47B19"/>
    <w:rsid w:val="00C56FB2"/>
    <w:rsid w:val="00C75DFA"/>
    <w:rsid w:val="00C86501"/>
    <w:rsid w:val="00C951D8"/>
    <w:rsid w:val="00CF7AA3"/>
    <w:rsid w:val="00D41572"/>
    <w:rsid w:val="00D76D73"/>
    <w:rsid w:val="00D9773D"/>
    <w:rsid w:val="00DA28E1"/>
    <w:rsid w:val="00DB1867"/>
    <w:rsid w:val="00E61AB0"/>
    <w:rsid w:val="00E66847"/>
    <w:rsid w:val="00EE1267"/>
    <w:rsid w:val="00F22778"/>
    <w:rsid w:val="00F4611B"/>
    <w:rsid w:val="00F64B64"/>
    <w:rsid w:val="00F65F89"/>
    <w:rsid w:val="00FA313D"/>
    <w:rsid w:val="00FD53BF"/>
    <w:rsid w:val="01983917"/>
    <w:rsid w:val="03470D4F"/>
    <w:rsid w:val="05234976"/>
    <w:rsid w:val="07FE64E8"/>
    <w:rsid w:val="0C910EF3"/>
    <w:rsid w:val="133753CF"/>
    <w:rsid w:val="13F9748D"/>
    <w:rsid w:val="197965E9"/>
    <w:rsid w:val="1CB86E26"/>
    <w:rsid w:val="1F6B2F25"/>
    <w:rsid w:val="205C3779"/>
    <w:rsid w:val="22155592"/>
    <w:rsid w:val="2C266948"/>
    <w:rsid w:val="2DA84E0C"/>
    <w:rsid w:val="34BF1262"/>
    <w:rsid w:val="35C26E3F"/>
    <w:rsid w:val="3E3F7C53"/>
    <w:rsid w:val="44192D7A"/>
    <w:rsid w:val="4C010411"/>
    <w:rsid w:val="52EB7765"/>
    <w:rsid w:val="539C3039"/>
    <w:rsid w:val="53CD413B"/>
    <w:rsid w:val="579834B6"/>
    <w:rsid w:val="5CE62548"/>
    <w:rsid w:val="5FF60440"/>
    <w:rsid w:val="622A5268"/>
    <w:rsid w:val="636D27E5"/>
    <w:rsid w:val="65FF111F"/>
    <w:rsid w:val="66682803"/>
    <w:rsid w:val="668E290E"/>
    <w:rsid w:val="66FC740E"/>
    <w:rsid w:val="673B667C"/>
    <w:rsid w:val="67492634"/>
    <w:rsid w:val="68BA6BF1"/>
    <w:rsid w:val="68BE2CB7"/>
    <w:rsid w:val="6B824366"/>
    <w:rsid w:val="6B9A5940"/>
    <w:rsid w:val="7304702D"/>
    <w:rsid w:val="73F46752"/>
    <w:rsid w:val="7B756426"/>
    <w:rsid w:val="7B950F36"/>
    <w:rsid w:val="7D1067FA"/>
    <w:rsid w:val="7E5A08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5"/>
    <w:semiHidden/>
    <w:unhideWhenUsed/>
    <w:uiPriority w:val="99"/>
    <w:pPr>
      <w:jc w:val="left"/>
    </w:pPr>
  </w:style>
  <w:style w:type="paragraph" w:styleId="3">
    <w:name w:val="Balloon Text"/>
    <w:basedOn w:val="1"/>
    <w:link w:val="13"/>
    <w:autoRedefine/>
    <w:semiHidden/>
    <w:unhideWhenUsed/>
    <w:qFormat/>
    <w:uiPriority w:val="99"/>
    <w:rPr>
      <w:sz w:val="18"/>
      <w:szCs w:val="18"/>
    </w:rPr>
  </w:style>
  <w:style w:type="paragraph" w:styleId="4">
    <w:name w:val="footer"/>
    <w:basedOn w:val="1"/>
    <w:link w:val="12"/>
    <w:autoRedefine/>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semiHidden/>
    <w:unhideWhenUsed/>
    <w:uiPriority w:val="99"/>
    <w:rPr>
      <w:b/>
      <w:bCs/>
    </w:rPr>
  </w:style>
  <w:style w:type="table" w:styleId="8">
    <w:name w:val="Table Grid"/>
    <w:basedOn w:val="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uiPriority w:val="99"/>
    <w:rPr>
      <w:sz w:val="21"/>
      <w:szCs w:val="21"/>
    </w:rPr>
  </w:style>
  <w:style w:type="character" w:customStyle="1" w:styleId="11">
    <w:name w:val="页眉 字符"/>
    <w:basedOn w:val="9"/>
    <w:link w:val="5"/>
    <w:autoRedefine/>
    <w:qFormat/>
    <w:uiPriority w:val="99"/>
    <w:rPr>
      <w:sz w:val="18"/>
      <w:szCs w:val="18"/>
    </w:rPr>
  </w:style>
  <w:style w:type="character" w:customStyle="1" w:styleId="12">
    <w:name w:val="页脚 字符"/>
    <w:basedOn w:val="9"/>
    <w:link w:val="4"/>
    <w:autoRedefine/>
    <w:qFormat/>
    <w:uiPriority w:val="99"/>
    <w:rPr>
      <w:sz w:val="18"/>
      <w:szCs w:val="18"/>
    </w:rPr>
  </w:style>
  <w:style w:type="character" w:customStyle="1" w:styleId="13">
    <w:name w:val="批注框文本 字符"/>
    <w:basedOn w:val="9"/>
    <w:link w:val="3"/>
    <w:autoRedefine/>
    <w:semiHidden/>
    <w:qFormat/>
    <w:uiPriority w:val="99"/>
    <w:rPr>
      <w:sz w:val="18"/>
      <w:szCs w:val="18"/>
    </w:rPr>
  </w:style>
  <w:style w:type="paragraph" w:styleId="14">
    <w:name w:val="List Paragraph"/>
    <w:basedOn w:val="1"/>
    <w:autoRedefine/>
    <w:qFormat/>
    <w:uiPriority w:val="34"/>
    <w:pPr>
      <w:ind w:firstLine="420" w:firstLineChars="200"/>
    </w:pPr>
  </w:style>
  <w:style w:type="character" w:customStyle="1" w:styleId="15">
    <w:name w:val="批注文字 字符"/>
    <w:basedOn w:val="9"/>
    <w:link w:val="2"/>
    <w:semiHidden/>
    <w:uiPriority w:val="99"/>
    <w:rPr>
      <w:rFonts w:asciiTheme="minorHAnsi" w:hAnsiTheme="minorHAnsi" w:eastAsiaTheme="minorEastAsia" w:cstheme="minorBidi"/>
      <w:kern w:val="2"/>
      <w:sz w:val="21"/>
      <w:szCs w:val="22"/>
    </w:rPr>
  </w:style>
  <w:style w:type="character" w:customStyle="1" w:styleId="16">
    <w:name w:val="批注主题 字符"/>
    <w:basedOn w:val="15"/>
    <w:link w:val="6"/>
    <w:semiHidden/>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1144</Words>
  <Characters>1192</Characters>
  <Lines>9</Lines>
  <Paragraphs>2</Paragraphs>
  <TotalTime>19</TotalTime>
  <ScaleCrop>false</ScaleCrop>
  <LinksUpToDate>false</LinksUpToDate>
  <CharactersWithSpaces>1224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2024-11-05T02:03:00Z</dcterms:created>
  <dc:creator>吴建美</dc:creator>
  <cp:lastModifiedBy>姚天恒</cp:lastModifiedBy>
  <cp:lastPrinted>2023-07-03T06:00:00Z</cp:lastPrinted>
  <dcterms:modified xsi:type="dcterms:W3CDTF">2026-06-03T23:38:22Z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B0449566488A473C9A599FD2B2CD1033_13</vt:lpwstr>
  </property>
  <property fmtid="{D5CDD505-2E9C-101B-9397-08002B2CF9AE}" pid="4" name="KSOTemplateDocerSaveRecord">
    <vt:lpwstr>eyJoZGlkIjoiNTM1OTI4NjM5ZGIwODMyOGY4ZTIyODRhZDgyYzYzYzYiLCJ1c2VySWQiOiIzODQ2NzQxODcifQ==</vt:lpwstr>
  </property>
</Properties>
</file>