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5B52CC">
      <w:pPr>
        <w:spacing w:before="156" w:beforeLines="50" w:after="156" w:afterLines="50" w:line="400" w:lineRule="exact"/>
        <w:rPr>
          <w:bCs/>
          <w:iCs/>
          <w:color w:val="000000"/>
          <w:sz w:val="24"/>
        </w:rPr>
      </w:pPr>
      <w:r>
        <w:rPr>
          <w:bCs/>
          <w:iCs/>
          <w:color w:val="000000"/>
          <w:sz w:val="24"/>
        </w:rPr>
        <w:t>证券代码：600405                                    证券简称：动力源</w:t>
      </w:r>
    </w:p>
    <w:p w14:paraId="7447D8C3">
      <w:pPr>
        <w:spacing w:before="156" w:beforeLines="50" w:after="156" w:afterLines="50" w:line="400" w:lineRule="exact"/>
        <w:jc w:val="center"/>
        <w:rPr>
          <w:b/>
          <w:bCs/>
          <w:iCs/>
          <w:color w:val="000000"/>
          <w:sz w:val="32"/>
          <w:szCs w:val="32"/>
        </w:rPr>
      </w:pPr>
      <w:r>
        <w:rPr>
          <w:b/>
          <w:bCs/>
          <w:iCs/>
          <w:color w:val="000000"/>
          <w:sz w:val="32"/>
          <w:szCs w:val="32"/>
        </w:rPr>
        <w:t>北京动力源科技股份有限公司</w:t>
      </w:r>
    </w:p>
    <w:p w14:paraId="5C055540">
      <w:pPr>
        <w:spacing w:before="156" w:beforeLines="50" w:after="156" w:afterLines="50" w:line="400" w:lineRule="exact"/>
        <w:jc w:val="center"/>
        <w:rPr>
          <w:b/>
          <w:bCs/>
          <w:iCs/>
          <w:color w:val="000000"/>
          <w:sz w:val="32"/>
          <w:szCs w:val="32"/>
        </w:rPr>
      </w:pPr>
      <w:r>
        <w:rPr>
          <w:b/>
          <w:bCs/>
          <w:iCs/>
          <w:color w:val="000000"/>
          <w:sz w:val="32"/>
          <w:szCs w:val="32"/>
        </w:rPr>
        <w:t>投资者关系活动记录表</w:t>
      </w:r>
    </w:p>
    <w:p w14:paraId="04109CF9">
      <w:pPr>
        <w:spacing w:line="400" w:lineRule="exact"/>
        <w:rPr>
          <w:rFonts w:hint="eastAsia" w:eastAsia="宋体"/>
          <w:bCs/>
          <w:iCs/>
          <w:color w:val="000000"/>
          <w:sz w:val="24"/>
          <w:lang w:val="en-US" w:eastAsia="zh-CN"/>
        </w:rPr>
      </w:pPr>
      <w:r>
        <w:rPr>
          <w:bCs/>
          <w:iCs/>
          <w:color w:val="000000"/>
          <w:sz w:val="24"/>
        </w:rPr>
        <w:t xml:space="preserve">                                                      编号</w:t>
      </w:r>
      <w:r>
        <w:rPr>
          <w:rFonts w:hint="eastAsia"/>
          <w:bCs/>
          <w:iCs/>
          <w:color w:val="000000"/>
          <w:sz w:val="24"/>
          <w:lang w:eastAsia="zh-CN"/>
        </w:rPr>
        <w:t>：</w:t>
      </w:r>
      <w:r>
        <w:rPr>
          <w:bCs/>
          <w:iCs/>
          <w:color w:val="000000"/>
          <w:sz w:val="24"/>
        </w:rPr>
        <w:t>202</w:t>
      </w:r>
      <w:r>
        <w:rPr>
          <w:rFonts w:hint="eastAsia"/>
          <w:bCs/>
          <w:iCs/>
          <w:color w:val="000000"/>
          <w:sz w:val="24"/>
          <w:lang w:val="en-US" w:eastAsia="zh-CN"/>
        </w:rPr>
        <w:t>6</w:t>
      </w:r>
      <w:r>
        <w:rPr>
          <w:bCs/>
          <w:iCs/>
          <w:color w:val="000000"/>
          <w:sz w:val="24"/>
        </w:rPr>
        <w:t>-00</w:t>
      </w:r>
      <w:r>
        <w:rPr>
          <w:rFonts w:hint="eastAsia"/>
          <w:bCs/>
          <w:iCs/>
          <w:color w:val="000000"/>
          <w:sz w:val="24"/>
          <w:lang w:val="en-US" w:eastAsia="zh-CN"/>
        </w:rPr>
        <w:t>1</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8"/>
        <w:gridCol w:w="6614"/>
      </w:tblGrid>
      <w:tr w14:paraId="46D91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8" w:hRule="atLeast"/>
        </w:trPr>
        <w:tc>
          <w:tcPr>
            <w:tcW w:w="190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A70CF13">
            <w:pPr>
              <w:spacing w:line="480" w:lineRule="atLeast"/>
              <w:jc w:val="center"/>
              <w:rPr>
                <w:bCs/>
                <w:iCs/>
                <w:color w:val="000000"/>
                <w:sz w:val="24"/>
              </w:rPr>
            </w:pPr>
            <w:r>
              <w:rPr>
                <w:bCs/>
                <w:iCs/>
                <w:color w:val="000000"/>
                <w:sz w:val="24"/>
              </w:rPr>
              <w:t>投资者关系</w:t>
            </w:r>
          </w:p>
          <w:p w14:paraId="2C493A8D">
            <w:pPr>
              <w:spacing w:line="480" w:lineRule="atLeast"/>
              <w:jc w:val="center"/>
              <w:rPr>
                <w:bCs/>
                <w:iCs/>
                <w:color w:val="000000"/>
                <w:sz w:val="24"/>
              </w:rPr>
            </w:pPr>
            <w:r>
              <w:rPr>
                <w:bCs/>
                <w:iCs/>
                <w:color w:val="000000"/>
                <w:sz w:val="24"/>
              </w:rPr>
              <w:t>活动类别</w:t>
            </w:r>
          </w:p>
        </w:tc>
        <w:tc>
          <w:tcPr>
            <w:tcW w:w="6614"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20665EAF">
            <w:pPr>
              <w:spacing w:line="480" w:lineRule="atLeast"/>
              <w:rPr>
                <w:bCs/>
                <w:iCs/>
                <w:color w:val="000000"/>
                <w:sz w:val="24"/>
                <w:szCs w:val="24"/>
              </w:rPr>
            </w:pPr>
            <w:r>
              <w:rPr>
                <w:bCs/>
                <w:iCs/>
                <w:color w:val="000000"/>
                <w:sz w:val="24"/>
                <w:szCs w:val="24"/>
              </w:rPr>
              <w:t>□</w:t>
            </w:r>
            <w:r>
              <w:rPr>
                <w:color w:val="000000"/>
                <w:sz w:val="24"/>
                <w:szCs w:val="24"/>
              </w:rPr>
              <w:t xml:space="preserve">特定对象调研          </w:t>
            </w:r>
            <w:r>
              <w:rPr>
                <w:bCs/>
                <w:iCs/>
                <w:color w:val="000000"/>
                <w:sz w:val="24"/>
                <w:szCs w:val="24"/>
              </w:rPr>
              <w:t>□</w:t>
            </w:r>
            <w:r>
              <w:rPr>
                <w:color w:val="000000"/>
                <w:sz w:val="24"/>
                <w:szCs w:val="24"/>
              </w:rPr>
              <w:t>分析师会议</w:t>
            </w:r>
          </w:p>
          <w:p w14:paraId="73C77B36">
            <w:pPr>
              <w:spacing w:line="480" w:lineRule="atLeast"/>
              <w:rPr>
                <w:bCs/>
                <w:iCs/>
                <w:color w:val="000000"/>
                <w:sz w:val="24"/>
                <w:szCs w:val="24"/>
              </w:rPr>
            </w:pPr>
            <w:r>
              <w:rPr>
                <w:bCs/>
                <w:iCs/>
                <w:color w:val="000000"/>
                <w:sz w:val="24"/>
                <w:szCs w:val="24"/>
              </w:rPr>
              <w:t>□</w:t>
            </w:r>
            <w:r>
              <w:rPr>
                <w:color w:val="000000"/>
                <w:sz w:val="24"/>
                <w:szCs w:val="24"/>
              </w:rPr>
              <w:t xml:space="preserve">媒体采访              </w:t>
            </w:r>
            <w:r>
              <w:rPr>
                <w:bCs/>
                <w:iCs/>
                <w:color w:val="000000"/>
                <w:sz w:val="24"/>
                <w:szCs w:val="24"/>
              </w:rPr>
              <w:t>√</w:t>
            </w:r>
            <w:r>
              <w:rPr>
                <w:color w:val="000000"/>
                <w:sz w:val="24"/>
                <w:szCs w:val="24"/>
              </w:rPr>
              <w:t>业绩说明会</w:t>
            </w:r>
          </w:p>
          <w:p w14:paraId="213CBCC3">
            <w:pPr>
              <w:spacing w:line="480" w:lineRule="atLeast"/>
              <w:rPr>
                <w:bCs/>
                <w:iCs/>
                <w:color w:val="000000"/>
                <w:sz w:val="24"/>
                <w:szCs w:val="24"/>
              </w:rPr>
            </w:pPr>
            <w:r>
              <w:rPr>
                <w:bCs/>
                <w:iCs/>
                <w:color w:val="000000"/>
                <w:sz w:val="24"/>
                <w:szCs w:val="24"/>
              </w:rPr>
              <w:t>□</w:t>
            </w:r>
            <w:r>
              <w:rPr>
                <w:color w:val="000000"/>
                <w:sz w:val="24"/>
                <w:szCs w:val="24"/>
              </w:rPr>
              <w:t xml:space="preserve">新闻发布会            </w:t>
            </w:r>
            <w:r>
              <w:rPr>
                <w:bCs/>
                <w:iCs/>
                <w:color w:val="000000"/>
                <w:sz w:val="24"/>
                <w:szCs w:val="24"/>
              </w:rPr>
              <w:t>□</w:t>
            </w:r>
            <w:r>
              <w:rPr>
                <w:color w:val="000000"/>
                <w:sz w:val="24"/>
                <w:szCs w:val="24"/>
              </w:rPr>
              <w:t>路演活动</w:t>
            </w:r>
          </w:p>
          <w:p w14:paraId="0C44092F">
            <w:pPr>
              <w:tabs>
                <w:tab w:val="center" w:pos="2912"/>
              </w:tabs>
              <w:spacing w:line="480" w:lineRule="atLeast"/>
              <w:rPr>
                <w:bCs/>
                <w:iCs/>
                <w:color w:val="000000"/>
                <w:sz w:val="24"/>
                <w:szCs w:val="24"/>
              </w:rPr>
            </w:pPr>
            <w:r>
              <w:rPr>
                <w:bCs/>
                <w:iCs/>
                <w:color w:val="000000"/>
                <w:sz w:val="24"/>
                <w:szCs w:val="24"/>
              </w:rPr>
              <w:t>□</w:t>
            </w:r>
            <w:r>
              <w:rPr>
                <w:color w:val="000000"/>
                <w:sz w:val="24"/>
                <w:szCs w:val="24"/>
              </w:rPr>
              <w:t>现场参观</w:t>
            </w:r>
            <w:r>
              <w:rPr>
                <w:bCs/>
                <w:iCs/>
                <w:color w:val="000000"/>
                <w:sz w:val="24"/>
                <w:szCs w:val="24"/>
              </w:rPr>
              <w:tab/>
            </w:r>
            <w:r>
              <w:rPr>
                <w:bCs/>
                <w:iCs/>
                <w:color w:val="000000"/>
                <w:sz w:val="24"/>
                <w:szCs w:val="24"/>
              </w:rPr>
              <w:t xml:space="preserve">              □</w:t>
            </w:r>
            <w:r>
              <w:rPr>
                <w:color w:val="000000"/>
                <w:sz w:val="24"/>
                <w:szCs w:val="24"/>
              </w:rPr>
              <w:t>其他 （</w:t>
            </w:r>
            <w:r>
              <w:rPr>
                <w:color w:val="000000"/>
                <w:sz w:val="24"/>
                <w:szCs w:val="24"/>
                <w:u w:val="single"/>
              </w:rPr>
              <w:t xml:space="preserve">               </w:t>
            </w:r>
            <w:r>
              <w:rPr>
                <w:color w:val="000000"/>
                <w:sz w:val="24"/>
                <w:szCs w:val="24"/>
              </w:rPr>
              <w:t>）</w:t>
            </w:r>
          </w:p>
        </w:tc>
      </w:tr>
      <w:tr w14:paraId="3374F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190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343C3C2">
            <w:pPr>
              <w:spacing w:line="480" w:lineRule="atLeast"/>
              <w:jc w:val="center"/>
              <w:rPr>
                <w:bCs/>
                <w:iCs/>
                <w:color w:val="000000"/>
                <w:sz w:val="24"/>
              </w:rPr>
            </w:pPr>
            <w:r>
              <w:rPr>
                <w:iCs/>
                <w:color w:val="000000"/>
                <w:sz w:val="24"/>
              </w:rPr>
              <w:t>参与单位名称</w:t>
            </w:r>
          </w:p>
        </w:tc>
        <w:tc>
          <w:tcPr>
            <w:tcW w:w="661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5C00EB8">
            <w:pPr>
              <w:spacing w:line="480" w:lineRule="atLeast"/>
              <w:rPr>
                <w:bCs/>
                <w:iCs/>
                <w:color w:val="000000"/>
                <w:sz w:val="24"/>
              </w:rPr>
            </w:pPr>
            <w:r>
              <w:rPr>
                <w:bCs/>
                <w:iCs/>
                <w:color w:val="000000"/>
                <w:sz w:val="24"/>
              </w:rPr>
              <w:t>全体投资者均可通过网络互动的方式参加本次说明会</w:t>
            </w:r>
          </w:p>
        </w:tc>
      </w:tr>
      <w:tr w14:paraId="1139C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190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8A3DFE2">
            <w:pPr>
              <w:spacing w:line="480" w:lineRule="atLeast"/>
              <w:jc w:val="center"/>
              <w:rPr>
                <w:bCs/>
                <w:iCs/>
                <w:color w:val="000000"/>
                <w:sz w:val="24"/>
              </w:rPr>
            </w:pPr>
            <w:r>
              <w:rPr>
                <w:bCs/>
                <w:iCs/>
                <w:color w:val="000000"/>
                <w:sz w:val="24"/>
              </w:rPr>
              <w:t>时  间</w:t>
            </w:r>
          </w:p>
        </w:tc>
        <w:tc>
          <w:tcPr>
            <w:tcW w:w="6614"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4455B71A">
            <w:pPr>
              <w:spacing w:line="480" w:lineRule="atLeast"/>
              <w:rPr>
                <w:bCs/>
                <w:iCs/>
                <w:color w:val="000000"/>
                <w:sz w:val="24"/>
              </w:rPr>
            </w:pPr>
            <w:r>
              <w:rPr>
                <w:bCs/>
                <w:iCs/>
                <w:color w:val="000000"/>
                <w:sz w:val="24"/>
              </w:rPr>
              <w:t xml:space="preserve"> 202</w:t>
            </w:r>
            <w:r>
              <w:rPr>
                <w:rFonts w:hint="eastAsia"/>
                <w:bCs/>
                <w:iCs/>
                <w:color w:val="000000"/>
                <w:sz w:val="24"/>
                <w:lang w:val="en-US" w:eastAsia="zh-CN"/>
              </w:rPr>
              <w:t>6</w:t>
            </w:r>
            <w:r>
              <w:rPr>
                <w:bCs/>
                <w:iCs/>
                <w:color w:val="000000"/>
                <w:sz w:val="24"/>
              </w:rPr>
              <w:t>年</w:t>
            </w:r>
            <w:r>
              <w:rPr>
                <w:rFonts w:hint="eastAsia"/>
                <w:bCs/>
                <w:iCs/>
                <w:color w:val="000000"/>
                <w:sz w:val="24"/>
                <w:lang w:val="en-US" w:eastAsia="zh-CN"/>
              </w:rPr>
              <w:t>6</w:t>
            </w:r>
            <w:r>
              <w:rPr>
                <w:bCs/>
                <w:iCs/>
                <w:color w:val="000000"/>
                <w:sz w:val="24"/>
              </w:rPr>
              <w:t>月</w:t>
            </w:r>
            <w:r>
              <w:rPr>
                <w:rFonts w:hint="eastAsia"/>
                <w:bCs/>
                <w:iCs/>
                <w:color w:val="000000"/>
                <w:sz w:val="24"/>
                <w:lang w:val="en-US" w:eastAsia="zh-CN"/>
              </w:rPr>
              <w:t>5</w:t>
            </w:r>
            <w:r>
              <w:rPr>
                <w:bCs/>
                <w:iCs/>
                <w:color w:val="000000"/>
                <w:sz w:val="24"/>
              </w:rPr>
              <w:t>日 10:00-11:00</w:t>
            </w:r>
          </w:p>
        </w:tc>
      </w:tr>
      <w:tr w14:paraId="5CE84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190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29D278D">
            <w:pPr>
              <w:spacing w:line="480" w:lineRule="atLeast"/>
              <w:jc w:val="center"/>
              <w:rPr>
                <w:bCs/>
                <w:iCs/>
                <w:color w:val="000000"/>
                <w:sz w:val="24"/>
              </w:rPr>
            </w:pPr>
            <w:r>
              <w:rPr>
                <w:bCs/>
                <w:iCs/>
                <w:color w:val="000000"/>
                <w:sz w:val="24"/>
              </w:rPr>
              <w:t>地  点</w:t>
            </w:r>
          </w:p>
        </w:tc>
        <w:tc>
          <w:tcPr>
            <w:tcW w:w="6614"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07BACB19">
            <w:pPr>
              <w:spacing w:line="480" w:lineRule="atLeast"/>
              <w:rPr>
                <w:bCs/>
                <w:iCs/>
                <w:color w:val="000000"/>
                <w:sz w:val="24"/>
              </w:rPr>
            </w:pPr>
            <w:r>
              <w:rPr>
                <w:bCs/>
                <w:iCs/>
                <w:color w:val="000000"/>
                <w:sz w:val="24"/>
              </w:rPr>
              <w:t>上海证券交易所“上证路演中心平台”（</w:t>
            </w:r>
            <w:r>
              <w:rPr>
                <w:color w:val="000000"/>
              </w:rPr>
              <w:t>roadshow.sseinfo.com</w:t>
            </w:r>
            <w:r>
              <w:rPr>
                <w:bCs/>
                <w:iCs/>
                <w:color w:val="000000"/>
                <w:sz w:val="24"/>
              </w:rPr>
              <w:t>）</w:t>
            </w:r>
          </w:p>
          <w:p w14:paraId="6B7F74C7">
            <w:pPr>
              <w:spacing w:line="480" w:lineRule="atLeast"/>
              <w:rPr>
                <w:bCs/>
                <w:iCs/>
                <w:color w:val="000000"/>
                <w:sz w:val="24"/>
              </w:rPr>
            </w:pPr>
            <w:r>
              <w:rPr>
                <w:rFonts w:hint="eastAsia"/>
                <w:bCs/>
                <w:iCs/>
                <w:color w:val="000000"/>
                <w:sz w:val="24"/>
              </w:rPr>
              <w:t>视频录播+网络文字互动</w:t>
            </w:r>
          </w:p>
        </w:tc>
      </w:tr>
      <w:tr w14:paraId="16450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5" w:hRule="atLeast"/>
        </w:trPr>
        <w:tc>
          <w:tcPr>
            <w:tcW w:w="190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72011D8">
            <w:pPr>
              <w:spacing w:line="480" w:lineRule="atLeast"/>
              <w:jc w:val="center"/>
              <w:rPr>
                <w:bCs/>
                <w:iCs/>
                <w:color w:val="000000"/>
                <w:sz w:val="24"/>
              </w:rPr>
            </w:pPr>
            <w:r>
              <w:rPr>
                <w:bCs/>
                <w:iCs/>
                <w:color w:val="000000"/>
                <w:sz w:val="24"/>
              </w:rPr>
              <w:t>上市公司</w:t>
            </w:r>
          </w:p>
          <w:p w14:paraId="4FB1B1C8">
            <w:pPr>
              <w:spacing w:line="480" w:lineRule="atLeast"/>
              <w:jc w:val="center"/>
              <w:rPr>
                <w:bCs/>
                <w:iCs/>
                <w:color w:val="000000"/>
                <w:sz w:val="24"/>
              </w:rPr>
            </w:pPr>
            <w:r>
              <w:rPr>
                <w:bCs/>
                <w:iCs/>
                <w:color w:val="000000"/>
                <w:sz w:val="24"/>
              </w:rPr>
              <w:t>接待人员姓名</w:t>
            </w:r>
          </w:p>
        </w:tc>
        <w:tc>
          <w:tcPr>
            <w:tcW w:w="6614"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1DDBCC6C">
            <w:pPr>
              <w:adjustRightInd w:val="0"/>
              <w:snapToGrid w:val="0"/>
              <w:spacing w:line="360" w:lineRule="auto"/>
              <w:ind w:firstLine="480" w:firstLineChars="200"/>
              <w:jc w:val="left"/>
              <w:rPr>
                <w:sz w:val="24"/>
                <w:szCs w:val="24"/>
              </w:rPr>
            </w:pPr>
            <w:r>
              <w:rPr>
                <w:rFonts w:hint="eastAsia"/>
                <w:sz w:val="24"/>
                <w:szCs w:val="24"/>
              </w:rPr>
              <w:t>董事长</w:t>
            </w:r>
            <w:r>
              <w:rPr>
                <w:sz w:val="24"/>
                <w:szCs w:val="24"/>
              </w:rPr>
              <w:t>：</w:t>
            </w:r>
            <w:r>
              <w:rPr>
                <w:rFonts w:hint="eastAsia"/>
                <w:sz w:val="24"/>
                <w:szCs w:val="24"/>
              </w:rPr>
              <w:t>阳兵</w:t>
            </w:r>
          </w:p>
          <w:p w14:paraId="793FCAF1">
            <w:pPr>
              <w:adjustRightInd w:val="0"/>
              <w:snapToGrid w:val="0"/>
              <w:spacing w:line="360" w:lineRule="auto"/>
              <w:ind w:firstLine="480" w:firstLineChars="200"/>
              <w:jc w:val="left"/>
              <w:rPr>
                <w:sz w:val="24"/>
                <w:szCs w:val="24"/>
              </w:rPr>
            </w:pPr>
            <w:r>
              <w:rPr>
                <w:rFonts w:hint="eastAsia"/>
                <w:sz w:val="24"/>
                <w:szCs w:val="24"/>
              </w:rPr>
              <w:t>董事、总经理：何昕</w:t>
            </w:r>
          </w:p>
          <w:p w14:paraId="00B93B3F">
            <w:pPr>
              <w:adjustRightInd w:val="0"/>
              <w:snapToGrid w:val="0"/>
              <w:spacing w:line="360" w:lineRule="auto"/>
              <w:ind w:firstLine="480" w:firstLineChars="200"/>
              <w:jc w:val="left"/>
              <w:rPr>
                <w:sz w:val="24"/>
                <w:szCs w:val="24"/>
              </w:rPr>
            </w:pPr>
            <w:r>
              <w:rPr>
                <w:rFonts w:hint="eastAsia"/>
                <w:sz w:val="24"/>
                <w:szCs w:val="24"/>
              </w:rPr>
              <w:t>财务总监、</w:t>
            </w:r>
            <w:r>
              <w:rPr>
                <w:sz w:val="24"/>
                <w:szCs w:val="24"/>
              </w:rPr>
              <w:t>董事会秘书</w:t>
            </w:r>
            <w:r>
              <w:rPr>
                <w:rFonts w:hint="eastAsia"/>
                <w:sz w:val="24"/>
                <w:szCs w:val="24"/>
              </w:rPr>
              <w:t>：胡一元</w:t>
            </w:r>
          </w:p>
          <w:p w14:paraId="43728726">
            <w:pPr>
              <w:adjustRightInd w:val="0"/>
              <w:snapToGrid w:val="0"/>
              <w:spacing w:line="360" w:lineRule="auto"/>
              <w:ind w:firstLine="480" w:firstLineChars="200"/>
              <w:jc w:val="left"/>
              <w:rPr>
                <w:rFonts w:hint="eastAsia"/>
                <w:sz w:val="24"/>
                <w:szCs w:val="24"/>
              </w:rPr>
            </w:pPr>
            <w:r>
              <w:rPr>
                <w:rFonts w:hint="eastAsia"/>
                <w:sz w:val="24"/>
                <w:szCs w:val="24"/>
              </w:rPr>
              <w:t>独立董事</w:t>
            </w:r>
            <w:r>
              <w:rPr>
                <w:sz w:val="24"/>
                <w:szCs w:val="24"/>
              </w:rPr>
              <w:t>：许国</w:t>
            </w:r>
            <w:r>
              <w:rPr>
                <w:rFonts w:hint="eastAsia"/>
                <w:sz w:val="24"/>
                <w:szCs w:val="24"/>
              </w:rPr>
              <w:t>艺</w:t>
            </w:r>
          </w:p>
          <w:p w14:paraId="39A9DD1D">
            <w:pPr>
              <w:adjustRightInd w:val="0"/>
              <w:snapToGrid w:val="0"/>
              <w:spacing w:line="360" w:lineRule="auto"/>
              <w:ind w:firstLine="480" w:firstLineChars="200"/>
              <w:jc w:val="left"/>
              <w:rPr>
                <w:rFonts w:hint="eastAsia"/>
                <w:sz w:val="24"/>
                <w:szCs w:val="24"/>
              </w:rPr>
            </w:pPr>
            <w:r>
              <w:rPr>
                <w:rFonts w:hint="eastAsia"/>
                <w:sz w:val="24"/>
                <w:szCs w:val="24"/>
              </w:rPr>
              <w:t>市场营销中心总监：崔巍</w:t>
            </w:r>
          </w:p>
          <w:p w14:paraId="1DCC8B2C">
            <w:pPr>
              <w:adjustRightInd w:val="0"/>
              <w:snapToGrid w:val="0"/>
              <w:spacing w:line="360" w:lineRule="auto"/>
              <w:ind w:firstLine="480" w:firstLineChars="200"/>
              <w:jc w:val="left"/>
              <w:rPr>
                <w:rFonts w:hint="eastAsia"/>
                <w:sz w:val="24"/>
                <w:szCs w:val="24"/>
              </w:rPr>
            </w:pPr>
            <w:r>
              <w:rPr>
                <w:rFonts w:hint="eastAsia"/>
                <w:sz w:val="24"/>
                <w:szCs w:val="24"/>
              </w:rPr>
              <w:t>北京氢沐科技有限责任公司总经理：葛炳东</w:t>
            </w:r>
          </w:p>
        </w:tc>
      </w:tr>
      <w:tr w14:paraId="2262E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1" w:hRule="atLeast"/>
        </w:trPr>
        <w:tc>
          <w:tcPr>
            <w:tcW w:w="190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FBFC2D8">
            <w:pPr>
              <w:spacing w:line="480" w:lineRule="atLeast"/>
              <w:jc w:val="center"/>
              <w:rPr>
                <w:bCs/>
                <w:iCs/>
                <w:color w:val="000000"/>
                <w:sz w:val="24"/>
              </w:rPr>
            </w:pPr>
            <w:r>
              <w:rPr>
                <w:bCs/>
                <w:iCs/>
                <w:color w:val="000000"/>
                <w:sz w:val="24"/>
              </w:rPr>
              <w:t>投资者关系活动主要内容介绍</w:t>
            </w:r>
          </w:p>
        </w:tc>
        <w:tc>
          <w:tcPr>
            <w:tcW w:w="661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D6C336A">
            <w:pPr>
              <w:spacing w:line="360" w:lineRule="auto"/>
              <w:ind w:firstLine="480" w:firstLineChars="200"/>
              <w:jc w:val="left"/>
              <w:rPr>
                <w:bCs/>
                <w:iCs/>
                <w:color w:val="000000"/>
                <w:sz w:val="24"/>
              </w:rPr>
            </w:pPr>
            <w:r>
              <w:rPr>
                <w:bCs/>
                <w:iCs/>
                <w:color w:val="000000"/>
                <w:sz w:val="24"/>
              </w:rPr>
              <w:t>在本次业绩说明会上，公司就投资者关心的问题给予了答复，并对相关问题进行了梳理，主要问题及答复如下：</w:t>
            </w:r>
          </w:p>
          <w:p w14:paraId="769AA9D5">
            <w:pPr>
              <w:spacing w:line="360" w:lineRule="auto"/>
              <w:ind w:firstLine="480" w:firstLineChars="200"/>
              <w:rPr>
                <w:bCs/>
                <w:iCs/>
                <w:color w:val="000000"/>
                <w:sz w:val="24"/>
                <w:rPrChange w:id="0" w:author="李嘉欣" w:date="2026-06-05T14:49:11Z">
                  <w:rPr>
                    <w:bCs/>
                    <w:iCs/>
                    <w:color w:val="000000"/>
                    <w:sz w:val="24"/>
                  </w:rPr>
                </w:rPrChange>
              </w:rPr>
            </w:pPr>
            <w:r>
              <w:rPr>
                <w:bCs/>
                <w:iCs/>
                <w:color w:val="000000"/>
                <w:sz w:val="24"/>
                <w:rPrChange w:id="1" w:author="李嘉欣" w:date="2026-06-05T14:49:11Z">
                  <w:rPr>
                    <w:bCs/>
                    <w:iCs/>
                    <w:color w:val="000000"/>
                    <w:sz w:val="24"/>
                  </w:rPr>
                </w:rPrChange>
              </w:rPr>
              <w:t>1、</w:t>
            </w:r>
            <w:r>
              <w:rPr>
                <w:rFonts w:hint="eastAsia"/>
                <w:bCs/>
                <w:iCs/>
                <w:color w:val="000000"/>
                <w:sz w:val="24"/>
                <w:rPrChange w:id="2" w:author="李嘉欣" w:date="2026-06-05T14:49:11Z">
                  <w:rPr>
                    <w:rFonts w:hint="eastAsia"/>
                    <w:bCs/>
                    <w:iCs/>
                    <w:color w:val="000000"/>
                    <w:sz w:val="24"/>
                  </w:rPr>
                </w:rPrChange>
              </w:rPr>
              <w:t>公司今年有望摆脱亏损现状吗</w:t>
            </w:r>
            <w:r>
              <w:rPr>
                <w:bCs/>
                <w:iCs/>
                <w:color w:val="000000"/>
                <w:sz w:val="24"/>
                <w:rPrChange w:id="3" w:author="李嘉欣" w:date="2026-06-05T14:49:11Z">
                  <w:rPr>
                    <w:bCs/>
                    <w:iCs/>
                    <w:color w:val="000000"/>
                    <w:sz w:val="24"/>
                  </w:rPr>
                </w:rPrChange>
              </w:rPr>
              <w:t>？</w:t>
            </w:r>
          </w:p>
          <w:p w14:paraId="5AFC3B98">
            <w:pPr>
              <w:spacing w:line="360" w:lineRule="auto"/>
              <w:ind w:firstLine="480" w:firstLineChars="200"/>
              <w:rPr>
                <w:rFonts w:hint="eastAsia"/>
                <w:bCs/>
                <w:iCs/>
                <w:color w:val="000000"/>
                <w:sz w:val="24"/>
                <w:rPrChange w:id="4" w:author="李嘉欣" w:date="2026-06-05T14:49:11Z">
                  <w:rPr>
                    <w:rFonts w:hint="eastAsia"/>
                    <w:bCs/>
                    <w:iCs/>
                    <w:color w:val="000000"/>
                    <w:sz w:val="24"/>
                  </w:rPr>
                </w:rPrChange>
              </w:rPr>
            </w:pPr>
            <w:r>
              <w:rPr>
                <w:rFonts w:hint="eastAsia"/>
                <w:bCs/>
                <w:iCs/>
                <w:color w:val="000000"/>
                <w:sz w:val="24"/>
                <w:rPrChange w:id="5" w:author="李嘉欣" w:date="2026-06-05T14:49:11Z">
                  <w:rPr>
                    <w:rFonts w:hint="eastAsia"/>
                    <w:bCs/>
                    <w:iCs/>
                    <w:color w:val="000000"/>
                    <w:sz w:val="24"/>
                  </w:rPr>
                </w:rPrChange>
              </w:rPr>
              <w:t>答：尊敬的投资者您好，公司目前正通过优化资产负债结构、拓展配套电源市场、提升内部运营效率等措施改善经营状况，但能否实现扭亏取决于宏观经济环境、市场情况等多种因素，存在不确定性。感谢您对公司的关注。</w:t>
            </w:r>
          </w:p>
          <w:p w14:paraId="7246371B">
            <w:pPr>
              <w:spacing w:line="360" w:lineRule="auto"/>
              <w:ind w:firstLine="480" w:firstLineChars="200"/>
              <w:rPr>
                <w:rFonts w:hint="eastAsia"/>
                <w:bCs/>
                <w:iCs/>
                <w:color w:val="000000"/>
                <w:sz w:val="24"/>
                <w:rPrChange w:id="6" w:author="李嘉欣" w:date="2026-06-05T14:49:11Z">
                  <w:rPr>
                    <w:rFonts w:hint="eastAsia"/>
                    <w:bCs/>
                    <w:iCs/>
                    <w:color w:val="000000"/>
                    <w:sz w:val="24"/>
                  </w:rPr>
                </w:rPrChange>
              </w:rPr>
            </w:pPr>
            <w:r>
              <w:rPr>
                <w:rFonts w:hint="eastAsia"/>
                <w:bCs/>
                <w:iCs/>
                <w:color w:val="000000"/>
                <w:sz w:val="24"/>
                <w:rPrChange w:id="7" w:author="李嘉欣" w:date="2026-06-05T14:49:11Z">
                  <w:rPr>
                    <w:rFonts w:hint="eastAsia"/>
                    <w:bCs/>
                    <w:iCs/>
                    <w:color w:val="000000"/>
                    <w:sz w:val="24"/>
                  </w:rPr>
                </w:rPrChange>
              </w:rPr>
              <w:t>2、2025 年公司资产负债率接近 96%、经营现金流大额为负、应收账款占营收比重超 85%，叠加海外受限拖累出口营收下滑，请问 2026 年具体落地哪些融资、回款、降负债举措？有无明确时间表实现经营性现金流转正、改善高负债压力？</w:t>
            </w:r>
          </w:p>
          <w:p w14:paraId="0F7F317E">
            <w:pPr>
              <w:spacing w:line="360" w:lineRule="auto"/>
              <w:ind w:firstLine="480" w:firstLineChars="200"/>
              <w:jc w:val="left"/>
              <w:rPr>
                <w:rFonts w:hint="eastAsia"/>
                <w:bCs/>
                <w:iCs/>
                <w:color w:val="000000"/>
                <w:sz w:val="24"/>
                <w:rPrChange w:id="8" w:author="李嘉欣" w:date="2026-06-05T14:49:11Z">
                  <w:rPr>
                    <w:rFonts w:hint="eastAsia"/>
                    <w:bCs/>
                    <w:iCs/>
                    <w:color w:val="000000"/>
                    <w:sz w:val="24"/>
                  </w:rPr>
                </w:rPrChange>
              </w:rPr>
            </w:pPr>
            <w:r>
              <w:rPr>
                <w:rFonts w:hint="eastAsia"/>
                <w:bCs/>
                <w:iCs/>
                <w:color w:val="000000"/>
                <w:sz w:val="24"/>
                <w:rPrChange w:id="9" w:author="李嘉欣" w:date="2026-06-05T14:49:11Z">
                  <w:rPr>
                    <w:rFonts w:hint="eastAsia"/>
                    <w:bCs/>
                    <w:iCs/>
                    <w:color w:val="000000"/>
                    <w:sz w:val="24"/>
                  </w:rPr>
                </w:rPrChange>
              </w:rPr>
              <w:t xml:space="preserve">答：尊敬的投资者您好，针对2026年资产负债率及现金流改善问题，公司已采取以下措施：  </w:t>
            </w:r>
          </w:p>
          <w:p w14:paraId="69553A44">
            <w:pPr>
              <w:spacing w:line="360" w:lineRule="auto"/>
              <w:ind w:firstLine="480" w:firstLineChars="200"/>
              <w:jc w:val="left"/>
              <w:rPr>
                <w:rFonts w:hint="eastAsia"/>
                <w:bCs/>
                <w:iCs/>
                <w:color w:val="000000"/>
                <w:sz w:val="24"/>
                <w:rPrChange w:id="10" w:author="李嘉欣" w:date="2026-06-05T14:49:11Z">
                  <w:rPr>
                    <w:rFonts w:hint="eastAsia"/>
                    <w:bCs/>
                    <w:iCs/>
                    <w:color w:val="000000"/>
                    <w:sz w:val="24"/>
                  </w:rPr>
                </w:rPrChange>
              </w:rPr>
            </w:pPr>
            <w:r>
              <w:rPr>
                <w:rFonts w:hint="eastAsia"/>
                <w:bCs/>
                <w:iCs/>
                <w:color w:val="000000"/>
                <w:sz w:val="24"/>
                <w:rPrChange w:id="11" w:author="李嘉欣" w:date="2026-06-05T14:49:11Z">
                  <w:rPr>
                    <w:rFonts w:hint="eastAsia"/>
                    <w:bCs/>
                    <w:iCs/>
                    <w:color w:val="000000"/>
                    <w:sz w:val="24"/>
                  </w:rPr>
                </w:rPrChange>
              </w:rPr>
              <w:t>1. 融资举措：通过拓宽融资渠道重建银企合作，恢复银行授信；统筹盘活现有资源优化资产负债结构；2. 回款管理：构建全流程回款管控体系，强化信用风险控制，对逾期款项实施“一户一策”清收方案，必要时采取法律手段；3.增收拓业举措：针对海外受限、出口营收下滑的现状，公司同步推进市场与业务结构双向优化。一方面深耕国内市场，挖掘存量客户增量需求，拓展优质新客户、新合作渠道，落地高毛利、高周转订单，对冲海外业务下滑缺口；另一方面公司聚焦核心主营业务，优化产品结构、提升产品竞争力，持续提升整体营收规模与盈利质量，为现金流改善、负债压降提供核心业绩支撑。</w:t>
            </w:r>
          </w:p>
          <w:p w14:paraId="1BBDEB13">
            <w:pPr>
              <w:spacing w:line="360" w:lineRule="auto"/>
              <w:ind w:firstLine="480" w:firstLineChars="200"/>
              <w:jc w:val="left"/>
              <w:rPr>
                <w:rFonts w:hint="eastAsia"/>
                <w:bCs/>
                <w:iCs/>
                <w:color w:val="000000"/>
                <w:sz w:val="24"/>
                <w:rPrChange w:id="12" w:author="李嘉欣" w:date="2026-06-05T14:49:11Z">
                  <w:rPr>
                    <w:rFonts w:hint="eastAsia"/>
                    <w:bCs/>
                    <w:iCs/>
                    <w:color w:val="000000"/>
                    <w:sz w:val="24"/>
                  </w:rPr>
                </w:rPrChange>
              </w:rPr>
            </w:pPr>
            <w:r>
              <w:rPr>
                <w:rFonts w:hint="eastAsia"/>
                <w:bCs/>
                <w:iCs/>
                <w:color w:val="000000"/>
                <w:sz w:val="24"/>
                <w:rPrChange w:id="13" w:author="李嘉欣" w:date="2026-06-05T14:49:11Z">
                  <w:rPr>
                    <w:rFonts w:hint="eastAsia"/>
                    <w:bCs/>
                    <w:iCs/>
                    <w:color w:val="000000"/>
                    <w:sz w:val="24"/>
                  </w:rPr>
                </w:rPrChange>
              </w:rPr>
              <w:t>经营性现金流转正将基于上述措施执行效果及业务结构调整进度确定，公司将严格履行信息披露义务。感谢您对公司的关注！</w:t>
            </w:r>
          </w:p>
          <w:p w14:paraId="7F56291A">
            <w:pPr>
              <w:numPr>
                <w:ilvl w:val="0"/>
                <w:numId w:val="0"/>
              </w:numPr>
              <w:spacing w:before="0" w:beforeLines="0" w:line="360" w:lineRule="auto"/>
              <w:ind w:firstLine="480" w:firstLineChars="200"/>
              <w:rPr>
                <w:rFonts w:hint="eastAsia"/>
                <w:iCs/>
                <w:color w:val="000000"/>
                <w:sz w:val="24"/>
                <w:rPrChange w:id="14" w:author="李嘉欣" w:date="2026-06-05T14:49:11Z">
                  <w:rPr>
                    <w:rFonts w:hint="eastAsia"/>
                    <w:iCs/>
                    <w:color w:val="000000"/>
                    <w:sz w:val="24"/>
                  </w:rPr>
                </w:rPrChange>
              </w:rPr>
            </w:pPr>
            <w:r>
              <w:rPr>
                <w:rFonts w:hint="eastAsia"/>
                <w:iCs/>
                <w:color w:val="000000"/>
                <w:sz w:val="24"/>
                <w:lang w:val="en-US" w:eastAsia="zh-CN"/>
                <w:rPrChange w:id="15" w:author="李嘉欣" w:date="2026-06-05T14:49:11Z">
                  <w:rPr>
                    <w:rFonts w:hint="eastAsia"/>
                    <w:iCs/>
                    <w:color w:val="000000"/>
                    <w:sz w:val="24"/>
                    <w:lang w:val="en-US" w:eastAsia="zh-CN"/>
                  </w:rPr>
                </w:rPrChange>
              </w:rPr>
              <w:t>3、</w:t>
            </w:r>
            <w:r>
              <w:rPr>
                <w:rFonts w:hint="eastAsia"/>
                <w:iCs/>
                <w:color w:val="000000"/>
                <w:sz w:val="24"/>
                <w:rPrChange w:id="16" w:author="李嘉欣" w:date="2026-06-05T14:49:11Z">
                  <w:rPr>
                    <w:rFonts w:hint="eastAsia"/>
                    <w:iCs/>
                    <w:color w:val="000000"/>
                    <w:sz w:val="24"/>
                  </w:rPr>
                </w:rPrChange>
              </w:rPr>
              <w:t>公司今年如果业绩继续亏损</w:t>
            </w:r>
            <w:r>
              <w:rPr>
                <w:rFonts w:hint="eastAsia"/>
                <w:iCs/>
                <w:color w:val="000000"/>
                <w:sz w:val="24"/>
                <w:lang w:eastAsia="zh-CN"/>
                <w:rPrChange w:id="17" w:author="李嘉欣" w:date="2026-06-05T14:49:11Z">
                  <w:rPr>
                    <w:rFonts w:hint="eastAsia"/>
                    <w:iCs/>
                    <w:color w:val="000000"/>
                    <w:sz w:val="24"/>
                    <w:lang w:eastAsia="zh-CN"/>
                  </w:rPr>
                </w:rPrChange>
              </w:rPr>
              <w:t>，</w:t>
            </w:r>
            <w:r>
              <w:rPr>
                <w:rFonts w:hint="eastAsia"/>
                <w:iCs/>
                <w:color w:val="000000"/>
                <w:sz w:val="24"/>
                <w:rPrChange w:id="18" w:author="李嘉欣" w:date="2026-06-05T14:49:11Z">
                  <w:rPr>
                    <w:rFonts w:hint="eastAsia"/>
                    <w:iCs/>
                    <w:color w:val="000000"/>
                    <w:sz w:val="24"/>
                  </w:rPr>
                </w:rPrChange>
              </w:rPr>
              <w:t>就有退市风险了</w:t>
            </w:r>
            <w:r>
              <w:rPr>
                <w:rFonts w:hint="eastAsia"/>
                <w:iCs/>
                <w:color w:val="000000"/>
                <w:sz w:val="24"/>
                <w:lang w:eastAsia="zh-CN"/>
                <w:rPrChange w:id="19" w:author="李嘉欣" w:date="2026-06-05T14:49:11Z">
                  <w:rPr>
                    <w:rFonts w:hint="eastAsia"/>
                    <w:iCs/>
                    <w:color w:val="000000"/>
                    <w:sz w:val="24"/>
                    <w:lang w:eastAsia="zh-CN"/>
                  </w:rPr>
                </w:rPrChange>
              </w:rPr>
              <w:t>。</w:t>
            </w:r>
            <w:r>
              <w:rPr>
                <w:rFonts w:hint="eastAsia"/>
                <w:iCs/>
                <w:color w:val="000000"/>
                <w:sz w:val="24"/>
                <w:rPrChange w:id="20" w:author="李嘉欣" w:date="2026-06-05T14:49:11Z">
                  <w:rPr>
                    <w:rFonts w:hint="eastAsia"/>
                    <w:iCs/>
                    <w:color w:val="000000"/>
                    <w:sz w:val="24"/>
                  </w:rPr>
                </w:rPrChange>
              </w:rPr>
              <w:t>请问公司今年有扭亏为盈的可能性吗</w:t>
            </w:r>
            <w:r>
              <w:rPr>
                <w:rFonts w:hint="eastAsia"/>
                <w:iCs/>
                <w:color w:val="000000"/>
                <w:sz w:val="24"/>
                <w:lang w:eastAsia="zh-CN"/>
                <w:rPrChange w:id="21" w:author="李嘉欣" w:date="2026-06-05T14:49:11Z">
                  <w:rPr>
                    <w:rFonts w:hint="eastAsia"/>
                    <w:iCs/>
                    <w:color w:val="000000"/>
                    <w:sz w:val="24"/>
                    <w:lang w:eastAsia="zh-CN"/>
                  </w:rPr>
                </w:rPrChange>
              </w:rPr>
              <w:t>？</w:t>
            </w:r>
            <w:r>
              <w:rPr>
                <w:rFonts w:hint="eastAsia"/>
                <w:iCs/>
                <w:color w:val="000000"/>
                <w:sz w:val="24"/>
                <w:rPrChange w:id="22" w:author="李嘉欣" w:date="2026-06-05T14:49:11Z">
                  <w:rPr>
                    <w:rFonts w:hint="eastAsia"/>
                    <w:iCs/>
                    <w:color w:val="000000"/>
                    <w:sz w:val="24"/>
                  </w:rPr>
                </w:rPrChange>
              </w:rPr>
              <w:t>另</w:t>
            </w:r>
            <w:r>
              <w:rPr>
                <w:rFonts w:hint="eastAsia"/>
                <w:iCs/>
                <w:color w:val="000000"/>
                <w:sz w:val="24"/>
                <w:lang w:val="en-US" w:eastAsia="zh-CN"/>
                <w:rPrChange w:id="23" w:author="李嘉欣" w:date="2026-06-05T14:49:11Z">
                  <w:rPr>
                    <w:rFonts w:hint="eastAsia"/>
                    <w:iCs/>
                    <w:color w:val="000000"/>
                    <w:sz w:val="24"/>
                    <w:lang w:val="en-US" w:eastAsia="zh-CN"/>
                  </w:rPr>
                </w:rPrChange>
              </w:rPr>
              <w:t>公司</w:t>
            </w:r>
            <w:r>
              <w:rPr>
                <w:rFonts w:hint="eastAsia"/>
                <w:iCs/>
                <w:color w:val="000000"/>
                <w:sz w:val="24"/>
                <w:rPrChange w:id="24" w:author="李嘉欣" w:date="2026-06-05T14:49:11Z">
                  <w:rPr>
                    <w:rFonts w:hint="eastAsia"/>
                    <w:iCs/>
                    <w:color w:val="000000"/>
                    <w:sz w:val="24"/>
                  </w:rPr>
                </w:rPrChange>
              </w:rPr>
              <w:t>募集资金已有几年了</w:t>
            </w:r>
            <w:r>
              <w:rPr>
                <w:rFonts w:hint="eastAsia"/>
                <w:iCs/>
                <w:color w:val="000000"/>
                <w:sz w:val="24"/>
                <w:lang w:eastAsia="zh-CN"/>
                <w:rPrChange w:id="25" w:author="李嘉欣" w:date="2026-06-05T14:49:11Z">
                  <w:rPr>
                    <w:rFonts w:hint="eastAsia"/>
                    <w:iCs/>
                    <w:color w:val="000000"/>
                    <w:sz w:val="24"/>
                    <w:lang w:eastAsia="zh-CN"/>
                  </w:rPr>
                </w:rPrChange>
              </w:rPr>
              <w:t>，</w:t>
            </w:r>
            <w:r>
              <w:rPr>
                <w:rFonts w:hint="eastAsia"/>
                <w:iCs/>
                <w:color w:val="000000"/>
                <w:sz w:val="24"/>
                <w:rPrChange w:id="26" w:author="李嘉欣" w:date="2026-06-05T14:49:11Z">
                  <w:rPr>
                    <w:rFonts w:hint="eastAsia"/>
                    <w:iCs/>
                    <w:color w:val="000000"/>
                    <w:sz w:val="24"/>
                  </w:rPr>
                </w:rPrChange>
              </w:rPr>
              <w:t>怎么没见产生效益</w:t>
            </w:r>
            <w:r>
              <w:rPr>
                <w:rFonts w:hint="eastAsia"/>
                <w:iCs/>
                <w:color w:val="000000"/>
                <w:sz w:val="24"/>
                <w:lang w:eastAsia="zh-CN"/>
                <w:rPrChange w:id="27" w:author="李嘉欣" w:date="2026-06-05T14:49:11Z">
                  <w:rPr>
                    <w:rFonts w:hint="eastAsia"/>
                    <w:iCs/>
                    <w:color w:val="000000"/>
                    <w:sz w:val="24"/>
                    <w:lang w:eastAsia="zh-CN"/>
                  </w:rPr>
                </w:rPrChange>
              </w:rPr>
              <w:t>，</w:t>
            </w:r>
            <w:r>
              <w:rPr>
                <w:rFonts w:hint="eastAsia"/>
                <w:iCs/>
                <w:color w:val="000000"/>
                <w:sz w:val="24"/>
                <w:rPrChange w:id="28" w:author="李嘉欣" w:date="2026-06-05T14:49:11Z">
                  <w:rPr>
                    <w:rFonts w:hint="eastAsia"/>
                    <w:iCs/>
                    <w:color w:val="000000"/>
                    <w:sz w:val="24"/>
                  </w:rPr>
                </w:rPrChange>
              </w:rPr>
              <w:t>反而越亏越大？</w:t>
            </w:r>
          </w:p>
          <w:p w14:paraId="1FCC062A">
            <w:pPr>
              <w:spacing w:line="360" w:lineRule="auto"/>
              <w:ind w:firstLine="480" w:firstLineChars="200"/>
              <w:rPr>
                <w:rFonts w:hint="eastAsia"/>
                <w:bCs/>
                <w:iCs/>
                <w:color w:val="000000"/>
                <w:sz w:val="24"/>
                <w:rPrChange w:id="29" w:author="李嘉欣" w:date="2026-06-05T14:49:11Z">
                  <w:rPr>
                    <w:rFonts w:hint="eastAsia"/>
                    <w:bCs/>
                    <w:iCs/>
                    <w:color w:val="000000"/>
                    <w:sz w:val="24"/>
                  </w:rPr>
                </w:rPrChange>
              </w:rPr>
            </w:pPr>
            <w:r>
              <w:rPr>
                <w:bCs/>
                <w:iCs/>
                <w:color w:val="000000"/>
                <w:sz w:val="24"/>
                <w:rPrChange w:id="30" w:author="李嘉欣" w:date="2026-06-05T14:49:11Z">
                  <w:rPr>
                    <w:bCs/>
                    <w:iCs/>
                    <w:color w:val="000000"/>
                    <w:sz w:val="24"/>
                  </w:rPr>
                </w:rPrChange>
              </w:rPr>
              <w:t>答：</w:t>
            </w:r>
            <w:r>
              <w:rPr>
                <w:rFonts w:hint="eastAsia"/>
                <w:bCs/>
                <w:iCs/>
                <w:color w:val="000000"/>
                <w:sz w:val="24"/>
                <w:rPrChange w:id="31" w:author="李嘉欣" w:date="2026-06-05T14:49:11Z">
                  <w:rPr>
                    <w:rFonts w:hint="eastAsia"/>
                    <w:bCs/>
                    <w:iCs/>
                    <w:color w:val="000000"/>
                    <w:sz w:val="24"/>
                  </w:rPr>
                </w:rPrChange>
              </w:rPr>
              <w:t>尊敬的投资者您好！关于业绩扭亏问题，公司已采取多项措施：在数据通信领域加强营销力度，扩大新产品销售；在新能源业务推进氢能电源多元化应用；在绿色出行领域推广充换电业务</w:t>
            </w:r>
            <w:bookmarkStart w:id="0" w:name="_GoBack"/>
            <w:bookmarkEnd w:id="0"/>
            <w:r>
              <w:rPr>
                <w:rFonts w:hint="eastAsia"/>
                <w:bCs/>
                <w:iCs/>
                <w:color w:val="000000"/>
                <w:sz w:val="24"/>
                <w:rPrChange w:id="31" w:author="李嘉欣" w:date="2026-06-05T14:49:11Z">
                  <w:rPr>
                    <w:rFonts w:hint="eastAsia"/>
                    <w:bCs/>
                    <w:iCs/>
                    <w:color w:val="000000"/>
                    <w:sz w:val="24"/>
                  </w:rPr>
                </w:rPrChange>
              </w:rPr>
              <w:t>。同时通过优化组织架构、降本增效改善经营状况。募集资金使用严格按《募集资金管理制度》执行，专户存储并签订监管协议，具体存放情况可查阅公司定期报告。公司将持续聚焦主业提升经营质量，具体业绩情况请关注公司公告。感谢您对公司的关注！</w:t>
            </w:r>
          </w:p>
          <w:p w14:paraId="0F96D200">
            <w:pPr>
              <w:numPr>
                <w:ilvl w:val="0"/>
                <w:numId w:val="0"/>
              </w:numPr>
              <w:spacing w:before="0" w:beforeLines="0" w:line="360" w:lineRule="auto"/>
              <w:ind w:firstLine="480" w:firstLineChars="200"/>
              <w:rPr>
                <w:rFonts w:hint="eastAsia"/>
                <w:iCs/>
                <w:color w:val="000000"/>
                <w:sz w:val="24"/>
                <w:rPrChange w:id="32" w:author="李嘉欣" w:date="2026-06-05T14:49:11Z">
                  <w:rPr>
                    <w:rFonts w:hint="eastAsia"/>
                    <w:iCs/>
                    <w:color w:val="000000"/>
                    <w:sz w:val="24"/>
                  </w:rPr>
                </w:rPrChange>
              </w:rPr>
            </w:pPr>
            <w:r>
              <w:rPr>
                <w:rFonts w:hint="eastAsia"/>
                <w:iCs/>
                <w:color w:val="000000"/>
                <w:sz w:val="24"/>
                <w:lang w:val="en-US" w:eastAsia="zh-CN"/>
                <w:rPrChange w:id="33" w:author="李嘉欣" w:date="2026-06-05T14:49:11Z">
                  <w:rPr>
                    <w:rFonts w:hint="eastAsia"/>
                    <w:iCs/>
                    <w:color w:val="000000"/>
                    <w:sz w:val="24"/>
                    <w:lang w:val="en-US" w:eastAsia="zh-CN"/>
                  </w:rPr>
                </w:rPrChange>
              </w:rPr>
              <w:t>4、</w:t>
            </w:r>
            <w:r>
              <w:rPr>
                <w:rFonts w:hint="eastAsia"/>
                <w:iCs/>
                <w:color w:val="000000"/>
                <w:sz w:val="24"/>
                <w:rPrChange w:id="34" w:author="李嘉欣" w:date="2026-06-05T14:49:11Z">
                  <w:rPr>
                    <w:rFonts w:hint="eastAsia"/>
                    <w:iCs/>
                    <w:color w:val="000000"/>
                    <w:sz w:val="24"/>
                  </w:rPr>
                </w:rPrChange>
              </w:rPr>
              <w:t>公司液冷超充、智算数据中心电源、氢能 DC/DC 已完成技术落地，2025 年亏损虽小幅收窄但未扭亏，请问三大主业 2026 年订单目标、收入拆分指引，全液冷超充与 AI 服务器电源何时规模化放量兑现利润、扭转全年亏损局面？</w:t>
            </w:r>
          </w:p>
          <w:p w14:paraId="3D68E4BC">
            <w:pPr>
              <w:spacing w:line="360" w:lineRule="auto"/>
              <w:ind w:firstLine="480" w:firstLineChars="200"/>
              <w:rPr>
                <w:color w:val="000000"/>
              </w:rPr>
            </w:pPr>
            <w:r>
              <w:rPr>
                <w:bCs/>
                <w:iCs/>
                <w:color w:val="000000"/>
                <w:sz w:val="24"/>
                <w:rPrChange w:id="35" w:author="李嘉欣" w:date="2026-06-05T14:49:11Z">
                  <w:rPr>
                    <w:bCs/>
                    <w:iCs/>
                    <w:color w:val="000000"/>
                    <w:sz w:val="24"/>
                  </w:rPr>
                </w:rPrChange>
              </w:rPr>
              <w:t>答：</w:t>
            </w:r>
            <w:r>
              <w:rPr>
                <w:rFonts w:hint="eastAsia"/>
                <w:bCs/>
                <w:iCs/>
                <w:color w:val="000000"/>
                <w:sz w:val="24"/>
                <w:rPrChange w:id="36" w:author="李嘉欣" w:date="2026-06-05T14:49:11Z">
                  <w:rPr>
                    <w:rFonts w:hint="eastAsia"/>
                    <w:bCs/>
                    <w:iCs/>
                    <w:color w:val="000000"/>
                    <w:sz w:val="24"/>
                  </w:rPr>
                </w:rPrChange>
              </w:rPr>
              <w:t>尊敬的投资者您好！根据公司已披露信息，全液冷超充业务方面，公司已与多家充电桩企业形成一定批量液冷充电模块配套业绩，并荣获"2025中国十大光储充解决方案奖"，光储充一体化方案正加速市场推广；AI服务器电源领域，公司SPS系列48V整机柜服务器电源产品已应用于液冷服务器场景，但目前行业尚未大规模运用。关于2026年具体订单目标及收入拆分等未披露事项，请以公司后续公告为准。感谢您对公司的关注！</w:t>
            </w:r>
          </w:p>
        </w:tc>
      </w:tr>
      <w:tr w14:paraId="60E01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190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BAEB1F9">
            <w:pPr>
              <w:spacing w:line="480" w:lineRule="atLeast"/>
              <w:jc w:val="center"/>
              <w:rPr>
                <w:bCs/>
                <w:iCs/>
                <w:color w:val="000000"/>
                <w:sz w:val="24"/>
              </w:rPr>
            </w:pPr>
            <w:r>
              <w:rPr>
                <w:bCs/>
                <w:iCs/>
                <w:color w:val="000000"/>
                <w:sz w:val="24"/>
              </w:rPr>
              <w:t>附件清单（如有）</w:t>
            </w:r>
          </w:p>
        </w:tc>
        <w:tc>
          <w:tcPr>
            <w:tcW w:w="6614"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193C9598">
            <w:pPr>
              <w:spacing w:line="480" w:lineRule="atLeast"/>
              <w:rPr>
                <w:bCs/>
                <w:iCs/>
                <w:color w:val="000000"/>
                <w:sz w:val="24"/>
              </w:rPr>
            </w:pPr>
            <w:r>
              <w:rPr>
                <w:bCs/>
                <w:iCs/>
                <w:color w:val="000000"/>
                <w:sz w:val="24"/>
              </w:rPr>
              <w:t xml:space="preserve"> 无</w:t>
            </w:r>
          </w:p>
        </w:tc>
      </w:tr>
      <w:tr w14:paraId="1D357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190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4E9FB79">
            <w:pPr>
              <w:spacing w:line="480" w:lineRule="atLeast"/>
              <w:jc w:val="center"/>
              <w:rPr>
                <w:bCs/>
                <w:iCs/>
                <w:color w:val="000000"/>
                <w:sz w:val="24"/>
              </w:rPr>
            </w:pPr>
            <w:r>
              <w:rPr>
                <w:bCs/>
                <w:iCs/>
                <w:color w:val="000000"/>
                <w:sz w:val="24"/>
              </w:rPr>
              <w:t>日  期</w:t>
            </w:r>
          </w:p>
        </w:tc>
        <w:tc>
          <w:tcPr>
            <w:tcW w:w="6614"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4A7866E6">
            <w:pPr>
              <w:spacing w:line="480" w:lineRule="atLeast"/>
              <w:rPr>
                <w:bCs/>
                <w:iCs/>
                <w:color w:val="000000"/>
                <w:sz w:val="24"/>
              </w:rPr>
            </w:pPr>
            <w:r>
              <w:rPr>
                <w:bCs/>
                <w:iCs/>
                <w:color w:val="000000"/>
                <w:sz w:val="24"/>
              </w:rPr>
              <w:t>202</w:t>
            </w:r>
            <w:r>
              <w:rPr>
                <w:rFonts w:hint="eastAsia"/>
                <w:bCs/>
                <w:iCs/>
                <w:color w:val="000000"/>
                <w:sz w:val="24"/>
                <w:lang w:val="en-US" w:eastAsia="zh-CN"/>
              </w:rPr>
              <w:t>6</w:t>
            </w:r>
            <w:r>
              <w:rPr>
                <w:bCs/>
                <w:iCs/>
                <w:color w:val="000000"/>
                <w:sz w:val="24"/>
              </w:rPr>
              <w:t>年</w:t>
            </w:r>
            <w:r>
              <w:rPr>
                <w:rFonts w:hint="eastAsia"/>
                <w:bCs/>
                <w:iCs/>
                <w:color w:val="000000"/>
                <w:sz w:val="24"/>
                <w:lang w:val="en-US" w:eastAsia="zh-CN"/>
              </w:rPr>
              <w:t>6</w:t>
            </w:r>
            <w:r>
              <w:rPr>
                <w:bCs/>
                <w:iCs/>
                <w:color w:val="000000"/>
                <w:sz w:val="24"/>
              </w:rPr>
              <w:t>月</w:t>
            </w:r>
            <w:r>
              <w:rPr>
                <w:rFonts w:hint="eastAsia"/>
                <w:bCs/>
                <w:iCs/>
                <w:color w:val="000000"/>
                <w:sz w:val="24"/>
                <w:lang w:val="en-US" w:eastAsia="zh-CN"/>
              </w:rPr>
              <w:t>5</w:t>
            </w:r>
            <w:r>
              <w:rPr>
                <w:bCs/>
                <w:iCs/>
                <w:color w:val="000000"/>
                <w:sz w:val="24"/>
              </w:rPr>
              <w:t>日</w:t>
            </w:r>
          </w:p>
        </w:tc>
      </w:tr>
    </w:tbl>
    <w:p w14:paraId="0B8C3207">
      <w:pPr>
        <w:rPr>
          <w:szCs w:val="24"/>
        </w:rPr>
      </w:pPr>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67EFCC">
    <w:pPr>
      <w:pStyle w:val="9"/>
      <w:framePr w:wrap="auto" w:vAnchor="text" w:hAnchor="margin" w:xAlign="center" w:y="1"/>
      <w:rPr>
        <w:rStyle w:val="14"/>
      </w:rPr>
    </w:pPr>
    <w:r>
      <w:fldChar w:fldCharType="begin"/>
    </w:r>
    <w:r>
      <w:rPr>
        <w:rStyle w:val="14"/>
      </w:rPr>
      <w:instrText xml:space="preserve">PAGE  </w:instrText>
    </w:r>
    <w:r>
      <w:fldChar w:fldCharType="separate"/>
    </w:r>
    <w:r>
      <w:rPr>
        <w:rStyle w:val="14"/>
      </w:rPr>
      <w:t>1</w:t>
    </w:r>
    <w:r>
      <w:fldChar w:fldCharType="end"/>
    </w:r>
  </w:p>
  <w:p w14:paraId="71485C7C">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47D7E4">
    <w:pPr>
      <w:pStyle w:val="10"/>
      <w:pBdr>
        <w:bottom w:val="none" w:color="auto" w:sz="0" w:space="0"/>
      </w:pBdr>
      <w:jc w:val="both"/>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李嘉欣">
    <w15:presenceInfo w15:providerId="WPS Office" w15:userId="153576695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hyphenationZone w:val="360"/>
  <w:drawingGridVerticalSpacing w:val="156"/>
  <w:displayHorizontalDrawingGridEvery w:val="1"/>
  <w:displayVerticalDrawingGridEvery w:val="1"/>
  <w:noPunctuationKerning w:val="1"/>
  <w:characterSpacingControl w:val="compressPunctuation"/>
  <w:noLineBreaksAfter w:lang="zh-CN" w:val="([{·‘“〈《「『【〔〖（．［｛￡￥"/>
  <w:noLineBreaksBefore w:lang="zh-CN" w:val="!),.:;?]}¨·ˇˉ―‖’”…∶、。〃々〉》」』】〕〗！＂＇），．：；？］｀｜｝～￠"/>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MxMjYyODIyZWM4ODA1ZTA5N2QyNDY5NGE5YWExZjgifQ=="/>
  </w:docVars>
  <w:rsids>
    <w:rsidRoot w:val="00172A27"/>
    <w:rsid w:val="0003702E"/>
    <w:rsid w:val="000843FC"/>
    <w:rsid w:val="00085C28"/>
    <w:rsid w:val="000B2EB8"/>
    <w:rsid w:val="000C69BE"/>
    <w:rsid w:val="000F709F"/>
    <w:rsid w:val="00122ABD"/>
    <w:rsid w:val="00164F8F"/>
    <w:rsid w:val="00182895"/>
    <w:rsid w:val="00247194"/>
    <w:rsid w:val="002550FA"/>
    <w:rsid w:val="002765DC"/>
    <w:rsid w:val="0029148B"/>
    <w:rsid w:val="0029187F"/>
    <w:rsid w:val="002A3AC0"/>
    <w:rsid w:val="002B7EBC"/>
    <w:rsid w:val="002F211D"/>
    <w:rsid w:val="00316376"/>
    <w:rsid w:val="003308C6"/>
    <w:rsid w:val="00374CDC"/>
    <w:rsid w:val="00420A04"/>
    <w:rsid w:val="004263EF"/>
    <w:rsid w:val="004445DF"/>
    <w:rsid w:val="0048262C"/>
    <w:rsid w:val="004B66EB"/>
    <w:rsid w:val="004F2312"/>
    <w:rsid w:val="005226F5"/>
    <w:rsid w:val="00527315"/>
    <w:rsid w:val="00570B3E"/>
    <w:rsid w:val="005A7FCD"/>
    <w:rsid w:val="005B1A58"/>
    <w:rsid w:val="0064639C"/>
    <w:rsid w:val="006953E1"/>
    <w:rsid w:val="006A0C93"/>
    <w:rsid w:val="00740683"/>
    <w:rsid w:val="007446FD"/>
    <w:rsid w:val="0074576B"/>
    <w:rsid w:val="007519B7"/>
    <w:rsid w:val="00752C5D"/>
    <w:rsid w:val="007B36C0"/>
    <w:rsid w:val="007C0AD6"/>
    <w:rsid w:val="007D0B16"/>
    <w:rsid w:val="00831902"/>
    <w:rsid w:val="00836CF0"/>
    <w:rsid w:val="00837FDF"/>
    <w:rsid w:val="008465DA"/>
    <w:rsid w:val="008A7882"/>
    <w:rsid w:val="008B05F4"/>
    <w:rsid w:val="00947CB6"/>
    <w:rsid w:val="00993660"/>
    <w:rsid w:val="009C1F3E"/>
    <w:rsid w:val="009D04F8"/>
    <w:rsid w:val="00A261F7"/>
    <w:rsid w:val="00A47039"/>
    <w:rsid w:val="00A82B26"/>
    <w:rsid w:val="00A868FB"/>
    <w:rsid w:val="00AA369C"/>
    <w:rsid w:val="00B23468"/>
    <w:rsid w:val="00B3471B"/>
    <w:rsid w:val="00B370D6"/>
    <w:rsid w:val="00B535ED"/>
    <w:rsid w:val="00BE5A3C"/>
    <w:rsid w:val="00C51BFD"/>
    <w:rsid w:val="00C75FC8"/>
    <w:rsid w:val="00C96F38"/>
    <w:rsid w:val="00CB2F42"/>
    <w:rsid w:val="00CD0011"/>
    <w:rsid w:val="00CF2335"/>
    <w:rsid w:val="00D01DA0"/>
    <w:rsid w:val="00D45768"/>
    <w:rsid w:val="00D97124"/>
    <w:rsid w:val="00E171DE"/>
    <w:rsid w:val="00E3713E"/>
    <w:rsid w:val="00E464BC"/>
    <w:rsid w:val="00E511D3"/>
    <w:rsid w:val="00E72B90"/>
    <w:rsid w:val="00E8569D"/>
    <w:rsid w:val="00ED4CBE"/>
    <w:rsid w:val="00EE7D8B"/>
    <w:rsid w:val="00F13DE6"/>
    <w:rsid w:val="00F1658B"/>
    <w:rsid w:val="00F33D54"/>
    <w:rsid w:val="00F423AC"/>
    <w:rsid w:val="00F7156D"/>
    <w:rsid w:val="00FA34A4"/>
    <w:rsid w:val="00FD052D"/>
    <w:rsid w:val="00FD5729"/>
    <w:rsid w:val="00FF0379"/>
    <w:rsid w:val="06771F57"/>
    <w:rsid w:val="1A15645A"/>
    <w:rsid w:val="20C50F4E"/>
    <w:rsid w:val="21D12DC2"/>
    <w:rsid w:val="2EDB747C"/>
    <w:rsid w:val="37AF4BEA"/>
    <w:rsid w:val="3E054AFF"/>
    <w:rsid w:val="3FD37D17"/>
    <w:rsid w:val="3FF357C9"/>
    <w:rsid w:val="50AB12FB"/>
    <w:rsid w:val="56652F35"/>
    <w:rsid w:val="5AF02E5A"/>
    <w:rsid w:val="628A74DB"/>
    <w:rsid w:val="64113277"/>
    <w:rsid w:val="6A4E7F61"/>
    <w:rsid w:val="7B75471C"/>
    <w:rsid w:val="7DA37C8F"/>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nhideWhenUsed="0" w:uiPriority="0" w:semiHidden="0" w:name="annotation text"/>
    <w:lsdException w:unhideWhenUsed="0" w:uiPriority="0" w:semiHidden="0"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nhideWhenUsed="0" w:uiPriority="0" w:semiHidden="0"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nhideWhenUsed="0" w:uiPriority="0" w:semiHidden="0" w:name="Document Map"/>
    <w:lsdException w:uiPriority="99" w:name="Plain Text"/>
    <w:lsdException w:uiPriority="99" w:name="E-mail Signature"/>
    <w:lsdException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link w:val="16"/>
    <w:qFormat/>
    <w:uiPriority w:val="0"/>
    <w:pPr>
      <w:keepNext/>
      <w:keepLines/>
      <w:spacing w:before="340" w:beforeLines="0" w:after="330" w:afterLines="0" w:line="578" w:lineRule="auto"/>
      <w:outlineLvl w:val="0"/>
    </w:pPr>
    <w:rPr>
      <w:b/>
      <w:bCs/>
      <w:kern w:val="44"/>
      <w:sz w:val="44"/>
      <w:szCs w:val="44"/>
    </w:rPr>
  </w:style>
  <w:style w:type="paragraph" w:styleId="3">
    <w:name w:val="heading 3"/>
    <w:basedOn w:val="1"/>
    <w:next w:val="1"/>
    <w:link w:val="17"/>
    <w:qFormat/>
    <w:uiPriority w:val="0"/>
    <w:pPr>
      <w:keepNext/>
      <w:keepLines/>
      <w:spacing w:before="260" w:beforeLines="0" w:after="260" w:afterLines="0" w:line="416" w:lineRule="auto"/>
      <w:outlineLvl w:val="2"/>
    </w:pPr>
    <w:rPr>
      <w:b/>
      <w:bCs/>
      <w:kern w:val="0"/>
      <w:sz w:val="32"/>
      <w:szCs w:val="32"/>
    </w:rPr>
  </w:style>
  <w:style w:type="character" w:default="1" w:styleId="13">
    <w:name w:val="Default Paragraph Font"/>
    <w:uiPriority w:val="0"/>
  </w:style>
  <w:style w:type="table" w:default="1" w:styleId="12">
    <w:name w:val="Normal Table"/>
    <w:unhideWhenUsed/>
    <w:uiPriority w:val="99"/>
    <w:tblPr>
      <w:tblCellMar>
        <w:top w:w="0" w:type="dxa"/>
        <w:left w:w="108" w:type="dxa"/>
        <w:bottom w:w="0" w:type="dxa"/>
        <w:right w:w="108" w:type="dxa"/>
      </w:tblCellMar>
    </w:tblPr>
  </w:style>
  <w:style w:type="paragraph" w:styleId="4">
    <w:name w:val="Document Map"/>
    <w:basedOn w:val="1"/>
    <w:link w:val="18"/>
    <w:uiPriority w:val="0"/>
    <w:pPr>
      <w:shd w:val="clear" w:color="auto" w:fill="000080"/>
    </w:pPr>
    <w:rPr>
      <w:kern w:val="0"/>
      <w:sz w:val="2"/>
      <w:szCs w:val="2"/>
    </w:rPr>
  </w:style>
  <w:style w:type="paragraph" w:styleId="5">
    <w:name w:val="annotation text"/>
    <w:basedOn w:val="1"/>
    <w:link w:val="19"/>
    <w:uiPriority w:val="0"/>
    <w:pPr>
      <w:jc w:val="left"/>
    </w:pPr>
    <w:rPr>
      <w:kern w:val="2"/>
      <w:sz w:val="21"/>
    </w:rPr>
  </w:style>
  <w:style w:type="paragraph" w:styleId="6">
    <w:name w:val="Body Text Indent"/>
    <w:basedOn w:val="1"/>
    <w:link w:val="20"/>
    <w:uiPriority w:val="0"/>
    <w:pPr>
      <w:spacing w:line="240" w:lineRule="atLeast"/>
      <w:ind w:left="420"/>
    </w:pPr>
    <w:rPr>
      <w:kern w:val="0"/>
    </w:rPr>
  </w:style>
  <w:style w:type="paragraph" w:styleId="7">
    <w:name w:val="Date"/>
    <w:basedOn w:val="1"/>
    <w:next w:val="1"/>
    <w:link w:val="21"/>
    <w:uiPriority w:val="0"/>
    <w:pPr>
      <w:ind w:left="100" w:leftChars="2500"/>
    </w:pPr>
  </w:style>
  <w:style w:type="paragraph" w:styleId="8">
    <w:name w:val="Balloon Text"/>
    <w:basedOn w:val="1"/>
    <w:link w:val="22"/>
    <w:uiPriority w:val="0"/>
    <w:rPr>
      <w:kern w:val="0"/>
      <w:sz w:val="2"/>
      <w:szCs w:val="2"/>
    </w:rPr>
  </w:style>
  <w:style w:type="paragraph" w:styleId="9">
    <w:name w:val="footer"/>
    <w:basedOn w:val="1"/>
    <w:link w:val="23"/>
    <w:uiPriority w:val="0"/>
    <w:pPr>
      <w:tabs>
        <w:tab w:val="center" w:pos="4153"/>
        <w:tab w:val="right" w:pos="8306"/>
      </w:tabs>
      <w:snapToGrid w:val="0"/>
      <w:jc w:val="left"/>
    </w:pPr>
    <w:rPr>
      <w:kern w:val="0"/>
      <w:sz w:val="18"/>
      <w:szCs w:val="18"/>
    </w:rPr>
  </w:style>
  <w:style w:type="paragraph" w:styleId="10">
    <w:name w:val="header"/>
    <w:basedOn w:val="1"/>
    <w:link w:val="24"/>
    <w:uiPriority w:val="0"/>
    <w:pPr>
      <w:pBdr>
        <w:bottom w:val="single" w:color="auto" w:sz="6" w:space="1"/>
      </w:pBdr>
      <w:tabs>
        <w:tab w:val="center" w:pos="4153"/>
        <w:tab w:val="right" w:pos="8306"/>
      </w:tabs>
      <w:snapToGrid w:val="0"/>
      <w:jc w:val="center"/>
    </w:pPr>
    <w:rPr>
      <w:kern w:val="0"/>
      <w:sz w:val="18"/>
      <w:szCs w:val="18"/>
    </w:rPr>
  </w:style>
  <w:style w:type="paragraph" w:styleId="11">
    <w:name w:val="Normal (Web)"/>
    <w:basedOn w:val="1"/>
    <w:uiPriority w:val="0"/>
    <w:pPr>
      <w:widowControl/>
      <w:spacing w:before="100" w:beforeLines="0" w:beforeAutospacing="1" w:after="100" w:afterLines="0" w:afterAutospacing="1"/>
      <w:jc w:val="left"/>
    </w:pPr>
    <w:rPr>
      <w:rFonts w:ascii="宋体" w:hAnsi="宋体" w:cs="宋体"/>
      <w:kern w:val="0"/>
      <w:sz w:val="24"/>
      <w:szCs w:val="24"/>
    </w:rPr>
  </w:style>
  <w:style w:type="character" w:styleId="14">
    <w:name w:val="page number"/>
    <w:uiPriority w:val="0"/>
  </w:style>
  <w:style w:type="character" w:styleId="15">
    <w:name w:val="Hyperlink"/>
    <w:uiPriority w:val="0"/>
    <w:rPr>
      <w:color w:val="0000FF"/>
      <w:u w:val="single"/>
    </w:rPr>
  </w:style>
  <w:style w:type="character" w:customStyle="1" w:styleId="16">
    <w:name w:val="标题 1 字符"/>
    <w:link w:val="2"/>
    <w:uiPriority w:val="0"/>
    <w:rPr>
      <w:b/>
      <w:bCs/>
      <w:kern w:val="44"/>
      <w:sz w:val="44"/>
      <w:szCs w:val="44"/>
    </w:rPr>
  </w:style>
  <w:style w:type="character" w:customStyle="1" w:styleId="17">
    <w:name w:val="标题 3 字符"/>
    <w:link w:val="3"/>
    <w:uiPriority w:val="0"/>
    <w:rPr>
      <w:b/>
      <w:bCs/>
      <w:sz w:val="32"/>
      <w:szCs w:val="32"/>
    </w:rPr>
  </w:style>
  <w:style w:type="character" w:customStyle="1" w:styleId="18">
    <w:name w:val="文档结构图 字符"/>
    <w:link w:val="4"/>
    <w:uiPriority w:val="0"/>
    <w:rPr>
      <w:sz w:val="2"/>
      <w:szCs w:val="2"/>
    </w:rPr>
  </w:style>
  <w:style w:type="character" w:customStyle="1" w:styleId="19">
    <w:name w:val="批注文字 字符"/>
    <w:link w:val="5"/>
    <w:uiPriority w:val="0"/>
    <w:rPr>
      <w:kern w:val="2"/>
      <w:sz w:val="21"/>
    </w:rPr>
  </w:style>
  <w:style w:type="character" w:customStyle="1" w:styleId="20">
    <w:name w:val="正文文本缩进 字符"/>
    <w:link w:val="6"/>
    <w:uiPriority w:val="0"/>
    <w:rPr>
      <w:sz w:val="21"/>
      <w:szCs w:val="21"/>
    </w:rPr>
  </w:style>
  <w:style w:type="character" w:customStyle="1" w:styleId="21">
    <w:name w:val="日期 字符"/>
    <w:link w:val="7"/>
    <w:uiPriority w:val="0"/>
    <w:rPr>
      <w:kern w:val="2"/>
      <w:sz w:val="21"/>
      <w:szCs w:val="21"/>
    </w:rPr>
  </w:style>
  <w:style w:type="character" w:customStyle="1" w:styleId="22">
    <w:name w:val="批注框文本 字符"/>
    <w:link w:val="8"/>
    <w:uiPriority w:val="0"/>
    <w:rPr>
      <w:sz w:val="2"/>
      <w:szCs w:val="2"/>
    </w:rPr>
  </w:style>
  <w:style w:type="character" w:customStyle="1" w:styleId="23">
    <w:name w:val="页脚 字符"/>
    <w:link w:val="9"/>
    <w:uiPriority w:val="0"/>
    <w:rPr>
      <w:sz w:val="18"/>
      <w:szCs w:val="18"/>
    </w:rPr>
  </w:style>
  <w:style w:type="character" w:customStyle="1" w:styleId="24">
    <w:name w:val="页眉 字符"/>
    <w:link w:val="10"/>
    <w:uiPriority w:val="0"/>
    <w:rPr>
      <w:sz w:val="18"/>
      <w:szCs w:val="18"/>
    </w:rPr>
  </w:style>
  <w:style w:type="paragraph" w:customStyle="1" w:styleId="25">
    <w:name w:val="Char11"/>
    <w:basedOn w:val="1"/>
    <w:uiPriority w:val="0"/>
    <w:rPr>
      <w:rFonts w:ascii="Tahoma" w:hAnsi="Tahoma" w:cs="Tahoma"/>
      <w:sz w:val="24"/>
      <w:szCs w:val="24"/>
    </w:rPr>
  </w:style>
  <w:style w:type="paragraph" w:customStyle="1" w:styleId="26">
    <w:name w:val="Char1 Char Char Char Char Char1 Char Char Char Char"/>
    <w:basedOn w:val="1"/>
    <w:uiPriority w:val="0"/>
    <w:rPr>
      <w:rFonts w:ascii="Tahoma" w:hAnsi="Tahoma" w:cs="Tahoma"/>
      <w:sz w:val="24"/>
      <w:szCs w:val="24"/>
    </w:rPr>
  </w:style>
  <w:style w:type="paragraph" w:customStyle="1" w:styleId="27">
    <w:name w:val="Char"/>
    <w:basedOn w:val="1"/>
    <w:uiPriority w:val="0"/>
    <w:rPr>
      <w:rFonts w:ascii="Tahoma" w:hAnsi="Tahoma" w:cs="Tahoma"/>
      <w:sz w:val="24"/>
      <w:szCs w:val="24"/>
    </w:rPr>
  </w:style>
  <w:style w:type="paragraph" w:customStyle="1" w:styleId="28">
    <w:name w:val="Char1"/>
    <w:basedOn w:val="1"/>
    <w:uiPriority w:val="0"/>
    <w:pPr>
      <w:widowControl/>
      <w:spacing w:after="160" w:afterLines="0" w:line="240" w:lineRule="exact"/>
    </w:pPr>
    <w:rPr>
      <w:rFonts w:ascii="Verdana" w:hAnsi="Verdana" w:cs="Verdana"/>
      <w:kern w:val="0"/>
      <w:sz w:val="22"/>
      <w:szCs w:val="22"/>
      <w:lang w:eastAsia="en-US"/>
    </w:rPr>
  </w:style>
  <w:style w:type="paragraph" w:customStyle="1" w:styleId="29">
    <w:name w:val="Defaul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customStyle="1" w:styleId="30">
    <w:name w:val="List Paragraph"/>
    <w:basedOn w:val="1"/>
    <w:uiPriority w:val="0"/>
    <w:pPr>
      <w:ind w:firstLine="420" w:firstLineChars="200"/>
    </w:pPr>
  </w:style>
  <w:style w:type="paragraph" w:customStyle="1" w:styleId="31">
    <w:name w:val="Char12"/>
    <w:basedOn w:val="1"/>
    <w:uiPriority w:val="0"/>
    <w:pPr>
      <w:widowControl/>
      <w:spacing w:after="160" w:afterLines="0" w:line="240" w:lineRule="exact"/>
    </w:pPr>
    <w:rPr>
      <w:rFonts w:ascii="Verdana" w:hAnsi="Verdana" w:cs="Verdana"/>
      <w:kern w:val="0"/>
      <w:sz w:val="22"/>
      <w:szCs w:val="22"/>
      <w:lang w:eastAsia="en-US"/>
    </w:rPr>
  </w:style>
  <w:style w:type="paragraph" w:customStyle="1" w:styleId="32">
    <w:name w:val="Char1 Char Char Char Char Char1 Char Char Char Char1"/>
    <w:basedOn w:val="1"/>
    <w:uiPriority w:val="0"/>
    <w:rPr>
      <w:rFonts w:ascii="Tahoma" w:hAnsi="Tahoma" w:cs="Tahoma"/>
      <w:sz w:val="24"/>
      <w:szCs w:val="24"/>
    </w:rPr>
  </w:style>
</w:styles>
</file>

<file path=word/_rels/document.xml.rels><?xml version="1.0" encoding="UTF-8" standalone="yes"?>
<Relationships xmlns="http://schemas.openxmlformats.org/package/2006/relationships"><Relationship Id="rId7" Type="http://schemas.microsoft.com/office/2011/relationships/people" Target="people.xml"/><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dxxo</Company>
  <Pages>3</Pages>
  <Words>397</Words>
  <Characters>2264</Characters>
  <Lines>18</Lines>
  <Paragraphs>5</Paragraphs>
  <TotalTime>13</TotalTime>
  <ScaleCrop>false</ScaleCrop>
  <LinksUpToDate>false</LinksUpToDate>
  <CharactersWithSpaces>2656</CharactersWithSpaces>
  <Application>WPS Office_..._F1E327BC-269C-435d-A152-05C5408002CA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2025-09-26T06:08:00Z</dcterms:created>
  <dc:creator>zengxianqin</dc:creator>
  <cp:lastModifiedBy>李嘉欣</cp:lastModifiedBy>
  <cp:lastPrinted>2024-05-28T05:55:00Z</cp:lastPrinted>
  <dcterms:modified xsi:type="dcterms:W3CDTF">2026-06-05T06:49:44Z</dcterms:modified>
  <dc:title>北京当升材料科技有限公司</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vt:lpwstr>
  </property>
  <property fmtid="{D5CDD505-2E9C-101B-9397-08002B2CF9AE}" pid="3" name="ICV">
    <vt:lpwstr>8BB611A891B04620BD5DFB2847A9D331_13</vt:lpwstr>
  </property>
  <property fmtid="{D5CDD505-2E9C-101B-9397-08002B2CF9AE}" pid="4" name="KSOTemplateDocerSaveRecord">
    <vt:lpwstr>eyJoZGlkIjoiNDAwYjk4NDE0N2M3ODVjZTNkYTJmOTAyMTg4NTFiOTkiLCJ1c2VySWQiOiIxMTg1NTg5OTczIn0=</vt:lpwstr>
  </property>
</Properties>
</file>