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B5E34">
      <w:r>
        <w:t>附件5：</w:t>
      </w:r>
    </w:p>
    <w:p w14:paraId="5707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今创集团股份有限公司</w:t>
      </w:r>
    </w:p>
    <w:p w14:paraId="2F458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投资者关系活动记录表</w:t>
      </w:r>
    </w:p>
    <w:p w14:paraId="4A540CFA"/>
    <w:p w14:paraId="2AF93171">
      <w:pPr>
        <w:rPr>
          <w:b/>
        </w:rPr>
      </w:pPr>
      <w:r>
        <w:t xml:space="preserve">证券简称：今创集团                                   证券代码：603680        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187"/>
        <w:gridCol w:w="6335"/>
      </w:tblGrid>
      <w:tr w14:paraId="1605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355" w:hRule="atLeast"/>
          <w:jc w:val="center"/>
        </w:trPr>
        <w:tc>
          <w:tcPr>
            <w:tcW w:w="2187" w:type="dxa"/>
            <w:vAlign w:val="center"/>
          </w:tcPr>
          <w:p w14:paraId="4F44B559">
            <w:r>
              <w:rPr>
                <w:rFonts w:hint="eastAsia"/>
              </w:rPr>
              <w:t>投资者关系</w:t>
            </w:r>
          </w:p>
          <w:p w14:paraId="2F4E9309">
            <w:r>
              <w:rPr>
                <w:rFonts w:hint="eastAsia"/>
              </w:rPr>
              <w:t>活动类别</w:t>
            </w:r>
          </w:p>
        </w:tc>
        <w:tc>
          <w:tcPr>
            <w:tcW w:w="6335" w:type="dxa"/>
            <w:vAlign w:val="center"/>
          </w:tcPr>
          <w:p w14:paraId="735AAA66">
            <w:r>
              <w:rPr>
                <w:rFonts w:hint="eastAsia" w:ascii="MS Gothic" w:hAnsi="MS Gothic" w:eastAsia="MS Gothic" w:cs="MS Gothic"/>
              </w:rPr>
              <w:t>☑</w:t>
            </w:r>
            <w:r>
              <w:rPr>
                <w:rFonts w:hint="eastAsia" w:ascii="Calibri" w:hAnsi="Calibri" w:eastAsia="宋体" w:cs="Calibri"/>
              </w:rPr>
              <w:t xml:space="preserve">  </w:t>
            </w:r>
            <w:r>
              <w:rPr>
                <w:rFonts w:hint="eastAsia"/>
              </w:rPr>
              <w:t>特定对象调研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Calibri" w:hAnsi="Calibri" w:eastAsia="宋体" w:cs="Calibri"/>
              </w:rPr>
              <w:t>□</w:t>
            </w:r>
            <w:r>
              <w:rPr>
                <w:rFonts w:hint="eastAsia"/>
              </w:rPr>
              <w:t>分析师会议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ascii="Calibri" w:hAnsi="Calibri" w:eastAsia="宋体" w:cs="Calibri"/>
              </w:rPr>
              <w:t>□</w:t>
            </w:r>
            <w:r>
              <w:rPr>
                <w:rFonts w:hint="eastAsia"/>
              </w:rPr>
              <w:t>媒体采访</w:t>
            </w:r>
          </w:p>
          <w:p w14:paraId="3BE3FBAC">
            <w:pPr>
              <w:pStyle w:val="1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业绩说明会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Calibri" w:hAnsi="Calibri" w:eastAsia="宋体" w:cs="Calibri"/>
              </w:rPr>
              <w:t>□</w:t>
            </w:r>
            <w:r>
              <w:rPr>
                <w:rFonts w:hint="eastAsia"/>
              </w:rPr>
              <w:t xml:space="preserve">新闻发布会    </w:t>
            </w:r>
            <w:r>
              <w:t xml:space="preserve"> </w:t>
            </w:r>
            <w:r>
              <w:rPr>
                <w:rFonts w:hint="eastAsia" w:ascii="Calibri" w:hAnsi="Calibri" w:eastAsia="宋体" w:cs="Calibri"/>
              </w:rPr>
              <w:t>□</w:t>
            </w:r>
            <w:r>
              <w:rPr>
                <w:rFonts w:hint="eastAsia"/>
              </w:rPr>
              <w:t>路演活动</w:t>
            </w:r>
            <w:r>
              <w:t xml:space="preserve"> </w:t>
            </w:r>
          </w:p>
          <w:p w14:paraId="6AF600D1">
            <w:r>
              <w:rPr>
                <w:rFonts w:hint="eastAsia" w:ascii="MS Gothic" w:hAnsi="MS Gothic" w:eastAsia="MS Gothic" w:cs="MS Gothic"/>
              </w:rPr>
              <w:t>☑</w:t>
            </w:r>
            <w:r>
              <w:rPr>
                <w:rFonts w:hint="eastAsia" w:ascii="Calibri" w:hAnsi="Calibri" w:eastAsia="宋体" w:cs="Calibri"/>
              </w:rPr>
              <w:t xml:space="preserve">  </w:t>
            </w:r>
            <w:r>
              <w:rPr>
                <w:rFonts w:hint="eastAsia"/>
              </w:rPr>
              <w:t>现场参观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 w:ascii="Calibri" w:hAnsi="Calibri" w:eastAsia="宋体" w:cs="Calibri"/>
              </w:rPr>
              <w:t>□</w:t>
            </w:r>
            <w:r>
              <w:rPr>
                <w:rFonts w:hint="eastAsia"/>
              </w:rPr>
              <w:t>其他（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</w:tr>
      <w:tr w14:paraId="59E2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443" w:hRule="atLeast"/>
          <w:jc w:val="center"/>
        </w:trPr>
        <w:tc>
          <w:tcPr>
            <w:tcW w:w="2187" w:type="dxa"/>
            <w:vAlign w:val="center"/>
          </w:tcPr>
          <w:p w14:paraId="5F41AE2D"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6335" w:type="dxa"/>
            <w:vAlign w:val="center"/>
          </w:tcPr>
          <w:p w14:paraId="1B462533">
            <w:r>
              <w:rPr>
                <w:rFonts w:hint="eastAsia"/>
              </w:rPr>
              <w:t>稷云台上市公司产业联盟、华安证券、国盛证券、国信证券、上海裕稷投资、上海君牛私募、上海联合未来私募、上海培富基金、上海伦伟实业、芯能科技等机构代表12人</w:t>
            </w:r>
          </w:p>
        </w:tc>
      </w:tr>
      <w:tr w14:paraId="019D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43" w:hRule="atLeast"/>
          <w:jc w:val="center"/>
        </w:trPr>
        <w:tc>
          <w:tcPr>
            <w:tcW w:w="2187" w:type="dxa"/>
            <w:vAlign w:val="center"/>
          </w:tcPr>
          <w:p w14:paraId="11078F6D">
            <w:r>
              <w:rPr>
                <w:rFonts w:hint="eastAsia"/>
              </w:rPr>
              <w:t>时间</w:t>
            </w:r>
          </w:p>
        </w:tc>
        <w:tc>
          <w:tcPr>
            <w:tcW w:w="6335" w:type="dxa"/>
            <w:vAlign w:val="center"/>
          </w:tcPr>
          <w:p w14:paraId="258940C9">
            <w:r>
              <w:rPr>
                <w:rFonts w:hint="eastAsia"/>
              </w:rPr>
              <w:t>2026年6月5日 16:00-18:00</w:t>
            </w:r>
          </w:p>
        </w:tc>
      </w:tr>
      <w:tr w14:paraId="50AB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68" w:hRule="atLeast"/>
          <w:jc w:val="center"/>
        </w:trPr>
        <w:tc>
          <w:tcPr>
            <w:tcW w:w="2187" w:type="dxa"/>
            <w:vAlign w:val="center"/>
          </w:tcPr>
          <w:p w14:paraId="4DB5B08F">
            <w:r>
              <w:rPr>
                <w:rFonts w:hint="eastAsia"/>
              </w:rPr>
              <w:t>地点</w:t>
            </w:r>
          </w:p>
        </w:tc>
        <w:tc>
          <w:tcPr>
            <w:tcW w:w="6335" w:type="dxa"/>
            <w:vAlign w:val="center"/>
          </w:tcPr>
          <w:p w14:paraId="215FFF0F">
            <w:r>
              <w:rPr>
                <w:rFonts w:hint="eastAsia"/>
              </w:rPr>
              <w:t>公司“聚焦今创”</w:t>
            </w:r>
            <w:r>
              <w:t>工业展厅</w:t>
            </w:r>
            <w:r>
              <w:rPr>
                <w:rFonts w:hint="eastAsia"/>
              </w:rPr>
              <w:t>、会议室</w:t>
            </w:r>
          </w:p>
        </w:tc>
      </w:tr>
      <w:tr w14:paraId="3B24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02" w:hRule="atLeast"/>
          <w:jc w:val="center"/>
        </w:trPr>
        <w:tc>
          <w:tcPr>
            <w:tcW w:w="2187" w:type="dxa"/>
            <w:vAlign w:val="center"/>
          </w:tcPr>
          <w:p w14:paraId="3CDA9E55">
            <w:r>
              <w:rPr>
                <w:rFonts w:hint="eastAsia"/>
              </w:rPr>
              <w:t>公司接待人员姓名</w:t>
            </w:r>
          </w:p>
        </w:tc>
        <w:tc>
          <w:tcPr>
            <w:tcW w:w="6335" w:type="dxa"/>
            <w:vAlign w:val="center"/>
          </w:tcPr>
          <w:p w14:paraId="505FD565">
            <w:r>
              <w:rPr>
                <w:rFonts w:hint="eastAsia"/>
              </w:rPr>
              <w:t>公司副总经理、董事会秘书高锋；证券事务代表杨明珠</w:t>
            </w:r>
          </w:p>
        </w:tc>
      </w:tr>
      <w:tr w14:paraId="242A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3B2F2303"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6335" w:type="dxa"/>
            <w:vAlign w:val="center"/>
          </w:tcPr>
          <w:p w14:paraId="19A7FFBB">
            <w:pPr>
              <w:ind w:firstLine="480" w:firstLineChars="200"/>
            </w:pPr>
            <w:r>
              <w:t>在本次接待中，公司</w:t>
            </w:r>
            <w:r>
              <w:rPr>
                <w:rFonts w:hint="eastAsia"/>
              </w:rPr>
              <w:t>接待</w:t>
            </w:r>
            <w:r>
              <w:t>人员引导来访投资者及分析师参观了公司 “聚焦今创”工业展厅，全面介绍了公司核心业务产品、技术与服务体系、市场竞争优势、行业发展现状，</w:t>
            </w:r>
            <w:r>
              <w:rPr>
                <w:rFonts w:hint="eastAsia"/>
              </w:rPr>
              <w:t>并在</w:t>
            </w:r>
            <w:r>
              <w:t>后续的座谈会议中，</w:t>
            </w:r>
            <w:r>
              <w:rPr>
                <w:rFonts w:hint="eastAsia"/>
              </w:rPr>
              <w:t>与</w:t>
            </w:r>
            <w:r>
              <w:t>来访投资者及分析师就如下问题进行了补充交流：</w:t>
            </w:r>
          </w:p>
          <w:p w14:paraId="1B016F3F">
            <w:pPr>
              <w:ind w:firstLine="482" w:firstLineChars="20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、请介</w:t>
            </w:r>
            <w:r>
              <w:rPr>
                <w:rFonts w:hint="eastAsia"/>
                <w:b/>
                <w:lang w:eastAsia="zh-CN"/>
              </w:rPr>
              <w:t>绍一</w:t>
            </w:r>
            <w:r>
              <w:rPr>
                <w:rFonts w:hint="eastAsia"/>
                <w:b/>
              </w:rPr>
              <w:t>下企业数字化建设和智能制造领域的情况，以及</w:t>
            </w:r>
            <w:r>
              <w:rPr>
                <w:b/>
              </w:rPr>
              <w:t>AI</w:t>
            </w:r>
            <w:r>
              <w:rPr>
                <w:rFonts w:hint="eastAsia"/>
                <w:b/>
              </w:rPr>
              <w:t>在企业业务中的应用现状。</w:t>
            </w:r>
          </w:p>
          <w:p w14:paraId="76B7AF5A">
            <w:pPr>
              <w:ind w:firstLine="480" w:firstLineChars="200"/>
            </w:pPr>
            <w:r>
              <w:rPr>
                <w:rFonts w:hint="eastAsia"/>
              </w:rPr>
              <w:t>公司在过去的“十四五”期间，完成</w:t>
            </w:r>
            <w:r>
              <w:t xml:space="preserve"> ERP</w:t>
            </w:r>
            <w:r>
              <w:rPr>
                <w:rFonts w:hint="eastAsia"/>
              </w:rPr>
              <w:t>、</w:t>
            </w:r>
            <w:r>
              <w:t>MES</w:t>
            </w:r>
            <w:r>
              <w:rPr>
                <w:rFonts w:hint="eastAsia"/>
              </w:rPr>
              <w:t>、</w:t>
            </w:r>
            <w:r>
              <w:t xml:space="preserve">PLM </w:t>
            </w:r>
            <w:r>
              <w:rPr>
                <w:rFonts w:hint="eastAsia"/>
              </w:rPr>
              <w:t>三大核心系统的部署与集成，推动信息技术在研发、生产、采购、物流、服务、移动办公全环节的深度应用，构建起兼具柔韧性、快速响应能力与动态调整能力的智慧管理平台，针对大规模、定制化、个性化、变更频、交期短的“一城一线一风格”特点，通过平台实现全流程数字化管控，输出“一案一策一作品”的定制化解决方案，可同时在线管理</w:t>
            </w:r>
            <w:r>
              <w:t>300+</w:t>
            </w:r>
            <w:r>
              <w:rPr>
                <w:rFonts w:hint="eastAsia"/>
              </w:rPr>
              <w:t>项目、百万级订单和超</w:t>
            </w:r>
            <w:r>
              <w:t>30%</w:t>
            </w:r>
            <w:r>
              <w:rPr>
                <w:rFonts w:hint="eastAsia"/>
              </w:rPr>
              <w:t>的变更。当前，公司仍持续开展智能制造场景挖掘，通过设备智能化改造、工艺数字化升级，不断夯实智能制造基础能力。</w:t>
            </w:r>
          </w:p>
          <w:p w14:paraId="52A6F0A3">
            <w:pPr>
              <w:ind w:firstLine="480" w:firstLineChars="200"/>
            </w:pPr>
            <w:r>
              <w:t>当前，公司对AI管理的探索尚处于规划方案的阶段。依托前期数字化建设积累的数据资产与系统能力，今年公司启动了AI赋能企业运营的系统性布局计划，基于企业运营全流程数据，开展AI适配场景的识别、评估与优先级排序，为兼顾数据安全与效益平衡，目前计划采用“外部专业服务订阅+私有模型训练”的混合模式，设立专职AI训练师，在保障公司核心数据安全前提下完成模型数据投喂，逐步探索公司AI管理的可行方案，助力公司运营效率提升与经营质量优化。</w:t>
            </w:r>
            <w:bookmarkStart w:id="0" w:name="_GoBack"/>
            <w:bookmarkEnd w:id="0"/>
          </w:p>
          <w:p w14:paraId="718FFFA8">
            <w:pPr>
              <w:ind w:firstLine="482" w:firstLineChars="200"/>
              <w:rPr>
                <w:b/>
              </w:rPr>
            </w:pPr>
            <w:r>
              <w:rPr>
                <w:rFonts w:hint="eastAsia"/>
                <w:b/>
              </w:rPr>
              <w:t>2、年报显示公司2025年应收账款虽有下降，但规模依然处于高位，请问公司当前应收账款的客户结构、账期分布情况如何？针对存量应收账款，公司建立了怎样的回款催收机制与坏账计提标准？</w:t>
            </w:r>
            <w:r>
              <w:rPr>
                <w:b/>
              </w:rPr>
              <w:t>后续将</w:t>
            </w:r>
            <w:r>
              <w:rPr>
                <w:rFonts w:hint="eastAsia"/>
                <w:b/>
              </w:rPr>
              <w:t>如何进一步优化回款效率、降低经营性风险？</w:t>
            </w:r>
          </w:p>
          <w:p w14:paraId="7F65F760">
            <w:pPr>
              <w:ind w:firstLine="480" w:firstLineChars="200"/>
            </w:pPr>
            <w:r>
              <w:rPr>
                <w:rFonts w:hint="eastAsia"/>
              </w:rPr>
              <w:t>公司的客户大多为大中型央、国企及境外整车厂商，多年合作模式成熟，货款回收风险整体较低，应收账款规模处于行业内正常水平。</w:t>
            </w:r>
            <w:r>
              <w:t>2025</w:t>
            </w:r>
            <w:r>
              <w:rPr>
                <w:rFonts w:hint="eastAsia"/>
              </w:rPr>
              <w:t>年期末1年以内应收账款的占比在80%左右，</w:t>
            </w:r>
            <w:r>
              <w:t>3</w:t>
            </w:r>
            <w:r>
              <w:rPr>
                <w:rFonts w:hint="eastAsia"/>
              </w:rPr>
              <w:t>年以内应收账款的占比在90%以上，逾期账款增加和坏账风险上升的</w:t>
            </w:r>
            <w:r>
              <w:rPr>
                <w:rFonts w:hint="eastAsia"/>
                <w:lang w:val="en-US" w:eastAsia="zh-CN"/>
              </w:rPr>
              <w:t>风险</w:t>
            </w:r>
            <w:r>
              <w:rPr>
                <w:rFonts w:hint="eastAsia"/>
              </w:rPr>
              <w:t>较</w:t>
            </w:r>
            <w:r>
              <w:rPr>
                <w:rFonts w:hint="eastAsia"/>
                <w:lang w:val="en-US" w:eastAsia="zh-CN"/>
              </w:rPr>
              <w:t>低</w:t>
            </w:r>
            <w:r>
              <w:rPr>
                <w:rFonts w:hint="eastAsia"/>
              </w:rPr>
              <w:t>。</w:t>
            </w:r>
          </w:p>
          <w:p w14:paraId="60FACBDE">
            <w:pPr>
              <w:ind w:firstLine="480" w:firstLineChars="200"/>
            </w:pPr>
            <w:r>
              <w:rPr>
                <w:rFonts w:hint="eastAsia"/>
              </w:rPr>
              <w:t>针对存量应收账款，公司根据相应会计政策足额计提了坏账准备，坏账计提标准具体可参见公司年报“第八节、财务报告”之“五、重要会计政策及会计估计”。同时，公司建立</w:t>
            </w:r>
            <w:r>
              <w:rPr>
                <w:rFonts w:hint="eastAsia"/>
                <w:lang w:val="en-US" w:eastAsia="zh-CN"/>
              </w:rPr>
              <w:t>了</w:t>
            </w:r>
            <w:r>
              <w:rPr>
                <w:rFonts w:hint="eastAsia"/>
              </w:rPr>
              <w:t>科学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系统的应收账款管理体系，将回款水平纳入分管机构与个人双维度绩效考核，对业务全流程实施动态跟踪，强化风险管控能力，对异常回款情形做到早发现、早预警、早处置，切实保障资金回笼效率与资产安全。</w:t>
            </w:r>
          </w:p>
          <w:p w14:paraId="291B3CBB">
            <w:pPr>
              <w:ind w:firstLine="482" w:firstLineChars="200"/>
              <w:rPr>
                <w:b/>
              </w:rPr>
            </w:pPr>
            <w:r>
              <w:rPr>
                <w:rFonts w:hint="eastAsia"/>
                <w:b/>
              </w:rPr>
              <w:t>3、</w:t>
            </w:r>
            <w:r>
              <w:rPr>
                <w:b/>
              </w:rPr>
              <w:t>2025</w:t>
            </w:r>
            <w:r>
              <w:rPr>
                <w:rFonts w:hint="eastAsia"/>
                <w:b/>
              </w:rPr>
              <w:t>年公司盈利大幅改善，拟实施现金分红，持续回馈股东。请问公司当前的分红比例制定依据是什么？结合</w:t>
            </w:r>
            <w:r>
              <w:rPr>
                <w:b/>
              </w:rPr>
              <w:t>2026</w:t>
            </w:r>
            <w:r>
              <w:rPr>
                <w:rFonts w:hint="eastAsia"/>
                <w:b/>
              </w:rPr>
              <w:t>年新业务布局、产能投入、研发迭代的资金需求，未来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年公司是否会维持稳定的分红政策？</w:t>
            </w:r>
            <w:r>
              <w:rPr>
                <w:b/>
              </w:rPr>
              <w:t xml:space="preserve"> </w:t>
            </w:r>
          </w:p>
          <w:p w14:paraId="35F8F13F">
            <w:pPr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公司注重提升公司内在价值，积极提升投资者回报能力。按照中国证监会《上市公司监管指引第3号—上市公司现金分红》《上海证券交易所上市公司自律监管指引第1号——规范运作》《公司章程》等规定，综合公司盈利能力、经营发展规划、股东回报、社会资金成本以及外部融资环境等因素，制定《未来三年（2025-2027年）股东分红回报规划》，保持公司利润分配政策的连续性和稳定性</w:t>
            </w:r>
            <w:r>
              <w:rPr>
                <w:rFonts w:hint="eastAsia"/>
                <w:lang w:eastAsia="zh-CN"/>
              </w:rPr>
              <w:t>。</w:t>
            </w:r>
          </w:p>
          <w:p w14:paraId="013E89A7">
            <w:pPr>
              <w:ind w:firstLine="480" w:firstLineChars="200"/>
            </w:pPr>
            <w:r>
              <w:rPr>
                <w:rFonts w:hint="eastAsia"/>
              </w:rPr>
              <w:t>2025年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公司根据所处发展阶段，依照分红回报</w:t>
            </w:r>
            <w:r>
              <w:rPr>
                <w:rFonts w:hint="eastAsia"/>
                <w:lang w:val="en-US" w:eastAsia="zh-CN"/>
              </w:rPr>
              <w:t>规划</w:t>
            </w:r>
            <w:r>
              <w:rPr>
                <w:rFonts w:hint="eastAsia"/>
              </w:rPr>
              <w:t>，综合考虑整体战略规划、业务发展状况、公司财务状况等，制定了</w:t>
            </w:r>
            <w:r>
              <w:rPr>
                <w:rFonts w:hint="eastAsia"/>
                <w:lang w:val="en-US" w:eastAsia="zh-CN"/>
              </w:rPr>
              <w:t>中期和年度</w:t>
            </w:r>
            <w:r>
              <w:rPr>
                <w:rFonts w:hint="eastAsia"/>
              </w:rPr>
              <w:t>分红方案。</w:t>
            </w:r>
          </w:p>
          <w:p w14:paraId="25EAB9DA">
            <w:pPr>
              <w:ind w:firstLine="480" w:firstLineChars="200"/>
            </w:pPr>
            <w:r>
              <w:rPr>
                <w:rFonts w:hint="eastAsia"/>
              </w:rPr>
              <w:t>后续，公司将继续坚持稳定分红基调，兼顾股东的现时分红需求与公司长远和可持续健康发展需要，结合公司实际经营状况、未来发展规划资金需求及外部融资环境等因素，持续提升股东回报水平，落实打造“长期、稳定、可持续”的股东价值回报机制。</w:t>
            </w:r>
          </w:p>
          <w:p w14:paraId="4F9445ED">
            <w:pPr>
              <w:ind w:firstLine="482" w:firstLineChars="200"/>
              <w:rPr>
                <w:b/>
              </w:rPr>
            </w:pPr>
            <w:r>
              <w:rPr>
                <w:b/>
              </w:rPr>
              <w:t xml:space="preserve">4、公司是否考虑大宗商品期货套保，稳定原材料价格波动？ </w:t>
            </w:r>
          </w:p>
          <w:p w14:paraId="09ACC544">
            <w:pPr>
              <w:ind w:firstLine="480" w:firstLineChars="200"/>
            </w:pPr>
            <w:r>
              <w:rPr>
                <w:rFonts w:hint="eastAsia"/>
              </w:rPr>
              <w:t>公司产品多，产线长，原材料种类繁多，单种原材料价格波动对公司整体经营影响有限。商品套期保值效果存在不确定性，若在价格高位进行套保，可能产生反向损益，加剧经营风险，且期货交易专业性较强，需配备专业团队与风控体系，投入相应的保证金、交易费用及人力成本，管理难度大，与公司现有管理资源不匹配，盲目套保可能会带来新的风险敞口。</w:t>
            </w:r>
          </w:p>
          <w:p w14:paraId="2B090DB7">
            <w:pPr>
              <w:ind w:firstLine="480" w:firstLineChars="200"/>
            </w:pPr>
            <w:r>
              <w:rPr>
                <w:rFonts w:hint="eastAsia"/>
              </w:rPr>
              <w:t>基于上述考量，公司结合自身经营实际，构建了“价格预判</w:t>
            </w:r>
            <w:r>
              <w:t>+</w:t>
            </w:r>
            <w:r>
              <w:rPr>
                <w:rFonts w:hint="eastAsia"/>
              </w:rPr>
              <w:t>择机采购</w:t>
            </w:r>
            <w:r>
              <w:t>+</w:t>
            </w:r>
            <w:r>
              <w:rPr>
                <w:rFonts w:hint="eastAsia"/>
              </w:rPr>
              <w:t>供应链传导”三位一体的应对机制，在研判到原材料价格处于阶段性低位或上涨通道启动前，适度加大备货力度，提前锁定优质低价货源，平滑后续生产周期的采购成本；与上、下游供应商建立长期稳定合作关系，通过协商价格联动等方式合理分担原材料波动影响；同时，合理控制安全库存水平，平衡“低价备货”与“库存积压风险”，优化存货周转效率。</w:t>
            </w:r>
          </w:p>
        </w:tc>
      </w:tr>
      <w:tr w14:paraId="2605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645" w:hRule="atLeast"/>
          <w:jc w:val="center"/>
        </w:trPr>
        <w:tc>
          <w:tcPr>
            <w:tcW w:w="2187" w:type="dxa"/>
            <w:vAlign w:val="center"/>
          </w:tcPr>
          <w:p w14:paraId="77BC57E3">
            <w:r>
              <w:rPr>
                <w:rFonts w:hint="eastAsia"/>
              </w:rPr>
              <w:t>附件清单（如有）</w:t>
            </w:r>
          </w:p>
        </w:tc>
        <w:tc>
          <w:tcPr>
            <w:tcW w:w="6335" w:type="dxa"/>
            <w:vAlign w:val="center"/>
          </w:tcPr>
          <w:p w14:paraId="0FA496E7">
            <w:pPr>
              <w:rPr>
                <w:rFonts w:ascii="Times" w:hAnsi="Times"/>
              </w:rPr>
            </w:pPr>
            <w:r>
              <w:rPr>
                <w:rFonts w:hint="eastAsia"/>
              </w:rPr>
              <w:t>1、现场接待预约及备查登记表；2、承诺函</w:t>
            </w:r>
          </w:p>
        </w:tc>
      </w:tr>
    </w:tbl>
    <w:p w14:paraId="164E6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97A18"/>
    <w:multiLevelType w:val="multilevel"/>
    <w:tmpl w:val="34597A18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Calibr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464405"/>
    <w:rsid w:val="0001041E"/>
    <w:rsid w:val="00011348"/>
    <w:rsid w:val="00053188"/>
    <w:rsid w:val="000702D6"/>
    <w:rsid w:val="000C39EE"/>
    <w:rsid w:val="000D2E99"/>
    <w:rsid w:val="000E3317"/>
    <w:rsid w:val="00114F40"/>
    <w:rsid w:val="00183CA3"/>
    <w:rsid w:val="00196741"/>
    <w:rsid w:val="001E2708"/>
    <w:rsid w:val="00227510"/>
    <w:rsid w:val="0024362E"/>
    <w:rsid w:val="002B6722"/>
    <w:rsid w:val="002E74D0"/>
    <w:rsid w:val="00387116"/>
    <w:rsid w:val="00404DE2"/>
    <w:rsid w:val="00460D83"/>
    <w:rsid w:val="00464405"/>
    <w:rsid w:val="005062DA"/>
    <w:rsid w:val="00506D11"/>
    <w:rsid w:val="0055463B"/>
    <w:rsid w:val="0065605F"/>
    <w:rsid w:val="006C567E"/>
    <w:rsid w:val="0079463F"/>
    <w:rsid w:val="007B2EE7"/>
    <w:rsid w:val="007D39B3"/>
    <w:rsid w:val="007E7708"/>
    <w:rsid w:val="008166F0"/>
    <w:rsid w:val="0084512C"/>
    <w:rsid w:val="009008FB"/>
    <w:rsid w:val="00910508"/>
    <w:rsid w:val="0091172E"/>
    <w:rsid w:val="009455ED"/>
    <w:rsid w:val="00995F36"/>
    <w:rsid w:val="009D7AB6"/>
    <w:rsid w:val="00A62C09"/>
    <w:rsid w:val="00A73616"/>
    <w:rsid w:val="00AF7AA7"/>
    <w:rsid w:val="00B67138"/>
    <w:rsid w:val="00BB40B8"/>
    <w:rsid w:val="00BE2B3F"/>
    <w:rsid w:val="00C63AD8"/>
    <w:rsid w:val="00C715AD"/>
    <w:rsid w:val="00C84B2F"/>
    <w:rsid w:val="00CA4C84"/>
    <w:rsid w:val="00D10CFB"/>
    <w:rsid w:val="00D36AF0"/>
    <w:rsid w:val="00D67ACE"/>
    <w:rsid w:val="00DF3096"/>
    <w:rsid w:val="00E52B45"/>
    <w:rsid w:val="00E94C31"/>
    <w:rsid w:val="00F03BFE"/>
    <w:rsid w:val="00F22713"/>
    <w:rsid w:val="00F560C0"/>
    <w:rsid w:val="082E65C5"/>
    <w:rsid w:val="0A395367"/>
    <w:rsid w:val="0AF570F6"/>
    <w:rsid w:val="0B2D1277"/>
    <w:rsid w:val="0B3C154F"/>
    <w:rsid w:val="0E783E21"/>
    <w:rsid w:val="0F0E63CA"/>
    <w:rsid w:val="0F1F049A"/>
    <w:rsid w:val="137F4BD8"/>
    <w:rsid w:val="155816EA"/>
    <w:rsid w:val="1B155DAE"/>
    <w:rsid w:val="1C8B1061"/>
    <w:rsid w:val="1CAC44F0"/>
    <w:rsid w:val="24D334FA"/>
    <w:rsid w:val="265C2AE3"/>
    <w:rsid w:val="29F60DE0"/>
    <w:rsid w:val="2F379C5F"/>
    <w:rsid w:val="3BF84253"/>
    <w:rsid w:val="3F125028"/>
    <w:rsid w:val="405A7CCC"/>
    <w:rsid w:val="40C300F2"/>
    <w:rsid w:val="43626905"/>
    <w:rsid w:val="4A9F4C14"/>
    <w:rsid w:val="4AF56782"/>
    <w:rsid w:val="4D5A127B"/>
    <w:rsid w:val="500D0826"/>
    <w:rsid w:val="51002139"/>
    <w:rsid w:val="542D5D29"/>
    <w:rsid w:val="54C53DC5"/>
    <w:rsid w:val="55E27173"/>
    <w:rsid w:val="58C12AF6"/>
    <w:rsid w:val="5A9771AD"/>
    <w:rsid w:val="5CBB35B4"/>
    <w:rsid w:val="63D96E02"/>
    <w:rsid w:val="63F61C71"/>
    <w:rsid w:val="643D7C1C"/>
    <w:rsid w:val="6C4D6722"/>
    <w:rsid w:val="6D39273C"/>
    <w:rsid w:val="728C5E16"/>
    <w:rsid w:val="76217034"/>
    <w:rsid w:val="78AA6CAB"/>
    <w:rsid w:val="7ACDAD60"/>
    <w:rsid w:val="7B62386D"/>
    <w:rsid w:val="B767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cs="Times New Roman" w:eastAsiaTheme="minorEastAsia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4461DA"/>
      <w:u w:val="none"/>
    </w:rPr>
  </w:style>
  <w:style w:type="character" w:styleId="10">
    <w:name w:val="HTML Acronym"/>
    <w:basedOn w:val="7"/>
    <w:semiHidden/>
    <w:unhideWhenUsed/>
    <w:qFormat/>
    <w:uiPriority w:val="99"/>
    <w:rPr>
      <w:caps/>
      <w:spacing w:val="12"/>
    </w:rPr>
  </w:style>
  <w:style w:type="character" w:styleId="11">
    <w:name w:val="HTML Variable"/>
    <w:basedOn w:val="7"/>
    <w:semiHidden/>
    <w:unhideWhenUsed/>
    <w:qFormat/>
    <w:uiPriority w:val="99"/>
    <w:rPr>
      <w:rFonts w:ascii="monospace" w:hAnsi="monospace" w:eastAsia="monospace" w:cs="monospace"/>
      <w:i/>
      <w:sz w:val="24"/>
      <w:szCs w:val="24"/>
    </w:rPr>
  </w:style>
  <w:style w:type="character" w:styleId="12">
    <w:name w:val="Hyperlink"/>
    <w:basedOn w:val="7"/>
    <w:semiHidden/>
    <w:unhideWhenUsed/>
    <w:qFormat/>
    <w:uiPriority w:val="99"/>
    <w:rPr>
      <w:color w:val="4461DA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4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styleId="15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20">
    <w:name w:val="emotion"/>
    <w:basedOn w:val="7"/>
    <w:qFormat/>
    <w:uiPriority w:val="0"/>
    <w:rPr>
      <w:vanish/>
      <w:sz w:val="18"/>
      <w:szCs w:val="18"/>
    </w:rPr>
  </w:style>
  <w:style w:type="character" w:customStyle="1" w:styleId="21">
    <w:name w:val="jbox-icon-error"/>
    <w:basedOn w:val="7"/>
    <w:qFormat/>
    <w:uiPriority w:val="0"/>
  </w:style>
  <w:style w:type="character" w:customStyle="1" w:styleId="22">
    <w:name w:val="jbox-icon-none"/>
    <w:basedOn w:val="7"/>
    <w:qFormat/>
    <w:uiPriority w:val="0"/>
    <w:rPr>
      <w:vanish/>
    </w:rPr>
  </w:style>
  <w:style w:type="character" w:customStyle="1" w:styleId="23">
    <w:name w:val="jbox-icon"/>
    <w:basedOn w:val="7"/>
    <w:qFormat/>
    <w:uiPriority w:val="0"/>
  </w:style>
  <w:style w:type="character" w:customStyle="1" w:styleId="24">
    <w:name w:val="jbox-icon-success"/>
    <w:basedOn w:val="7"/>
    <w:qFormat/>
    <w:uiPriority w:val="0"/>
  </w:style>
  <w:style w:type="character" w:customStyle="1" w:styleId="25">
    <w:name w:val="s_bg4_c2"/>
    <w:basedOn w:val="7"/>
    <w:qFormat/>
    <w:uiPriority w:val="0"/>
  </w:style>
  <w:style w:type="character" w:customStyle="1" w:styleId="26">
    <w:name w:val="s_bg4_c21"/>
    <w:basedOn w:val="7"/>
    <w:qFormat/>
    <w:uiPriority w:val="0"/>
  </w:style>
  <w:style w:type="character" w:customStyle="1" w:styleId="27">
    <w:name w:val="s_bg4_c11"/>
    <w:basedOn w:val="7"/>
    <w:qFormat/>
    <w:uiPriority w:val="0"/>
  </w:style>
  <w:style w:type="character" w:customStyle="1" w:styleId="28">
    <w:name w:val="s_bg4_c12"/>
    <w:basedOn w:val="7"/>
    <w:qFormat/>
    <w:uiPriority w:val="0"/>
  </w:style>
  <w:style w:type="character" w:customStyle="1" w:styleId="29">
    <w:name w:val="jbox-icon-warning"/>
    <w:basedOn w:val="7"/>
    <w:qFormat/>
    <w:uiPriority w:val="0"/>
  </w:style>
  <w:style w:type="character" w:customStyle="1" w:styleId="30">
    <w:name w:val="jbox-icon-question"/>
    <w:basedOn w:val="7"/>
    <w:qFormat/>
    <w:uiPriority w:val="0"/>
  </w:style>
  <w:style w:type="character" w:customStyle="1" w:styleId="31">
    <w:name w:val="jbox-icon-info"/>
    <w:basedOn w:val="7"/>
    <w:qFormat/>
    <w:uiPriority w:val="0"/>
  </w:style>
  <w:style w:type="character" w:customStyle="1" w:styleId="32">
    <w:name w:val="jbox-icon-load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f7751c11-2910-4318-b22c-5d96ed0d27ef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1B016F3F</paraID>
      <start>0</start>
      <end>2</end>
      <status>unmodified</status>
      <modifiedWord/>
      <trackRevisions>false</trackRevisions>
    </reviewItem>
    <reviewItem>
      <errorID>534851da-c45d-4247-8b71-b4ea667d0a32</errorID>
      <errorWord>绍</errorWord>
      <group>L1_Word</group>
      <groupName>字词问题</groupName>
      <ability>L2_Typo</ability>
      <abilityName>字词错误</abilityName>
      <candidateList>
        <item>绍一</item>
      </candidateList>
      <explain/>
      <paraID>1B016F3F</paraID>
      <start>4</start>
      <end>6</end>
      <status>modified</status>
      <modifiedWord>绍一</modifiedWord>
      <trackRevisions>false</trackRevisions>
    </reviewItem>
    <reviewItem>
      <errorID>53094717-3300-4457-96ff-e26564b2e36b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291B3CBB</paraID>
      <start>0</start>
      <end>2</end>
      <status>unmodified</status>
      <modifiedWord/>
      <trackRevisions>false</trackRevisions>
    </reviewItem>
    <reviewItem>
      <errorID>66b74b5c-2fda-4d93-8a64-bede3da33e56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13E89A7</paraID>
      <start>143</start>
      <end>144</end>
      <status>unmodified</status>
      <modifiedWord/>
      <trackRevisions>false</trackRevisions>
    </reviewItem>
    <reviewItem>
      <errorID>85bad23f-c7b0-4802-b11c-f4488fc7df2e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4F9445ED</paraID>
      <start>0</start>
      <end>2</end>
      <status>unmodified</status>
      <modifiedWord/>
      <trackRevisions>false</trackRevisions>
    </reviewItem>
    <reviewItem>
      <errorID>f867a0f4-72fe-49bd-9a37-e8487e7495f2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FA496E7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79165bf-d857-43a5-8bbb-578aeafb3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2142</Words>
  <Characters>2207</Characters>
  <Lines>16</Lines>
  <Paragraphs>4</Paragraphs>
  <TotalTime>20</TotalTime>
  <ScaleCrop>false</ScaleCrop>
  <LinksUpToDate>false</LinksUpToDate>
  <CharactersWithSpaces>2294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2026-06-08T03:07:00Z</dcterms:created>
  <dc:creator>个人用户</dc:creator>
  <cp:lastModifiedBy>高锋</cp:lastModifiedBy>
  <cp:lastPrinted>2026-06-08T05:48:00Z</cp:lastPrinted>
  <dcterms:modified xsi:type="dcterms:W3CDTF">2026-06-08T06:01:35Z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DBF46416252E48848E001EB4DC5A8E48_13</vt:lpwstr>
  </property>
  <property fmtid="{D5CDD505-2E9C-101B-9397-08002B2CF9AE}" pid="4" name="KSOTemplateDocerSaveRecord">
    <vt:lpwstr>eyJoZGlkIjoiNDUwMTFkMDI3ZjBmZjczM2Q3M2EwOGI5M2VjYzUzMDkiLCJ1c2VySWQiOiIzODUzMDY0NTYifQ==</vt:lpwstr>
  </property>
</Properties>
</file>