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9236">
      <w:pPr>
        <w:spacing w:before="156" w:beforeLines="50" w:after="312" w:afterLines="100" w:line="400" w:lineRule="exact"/>
        <w:jc w:val="center"/>
        <w:rPr>
          <w:rFonts w:asciiTheme="minorEastAsia" w:hAnsiTheme="minorEastAsia" w:eastAsiaTheme="minorEastAsia"/>
          <w:sz w:val="24"/>
          <w:szCs w:val="24"/>
        </w:rPr>
      </w:pPr>
      <w:r>
        <w:rPr>
          <w:b/>
          <w:iCs/>
          <w:sz w:val="24"/>
        </w:rPr>
        <w:t>证券代码</w:t>
      </w:r>
      <w:r>
        <w:rPr>
          <w:rFonts w:eastAsia="楷体_GB2312"/>
          <w:b/>
          <w:iCs/>
          <w:sz w:val="24"/>
        </w:rPr>
        <w:t>：</w:t>
      </w:r>
      <w:r>
        <w:rPr>
          <w:rFonts w:hint="eastAsia" w:eastAsia="楷体_GB2312"/>
          <w:b/>
          <w:iCs/>
          <w:sz w:val="24"/>
        </w:rPr>
        <w:t xml:space="preserve">603150                  </w:t>
      </w:r>
      <w:r>
        <w:rPr>
          <w:rFonts w:hint="eastAsia" w:eastAsia="楷体_GB2312"/>
          <w:b/>
          <w:iCs/>
          <w:sz w:val="24"/>
          <w:lang w:val="en-US" w:eastAsia="zh-CN"/>
        </w:rPr>
        <w:t xml:space="preserve">  </w:t>
      </w:r>
      <w:r>
        <w:rPr>
          <w:rFonts w:hint="eastAsia" w:eastAsia="楷体_GB2312"/>
          <w:b/>
          <w:iCs/>
          <w:sz w:val="24"/>
        </w:rPr>
        <w:t xml:space="preserve">          </w:t>
      </w:r>
      <w:r>
        <w:rPr>
          <w:b/>
          <w:iCs/>
          <w:sz w:val="24"/>
        </w:rPr>
        <w:t>证券简称：</w:t>
      </w:r>
      <w:r>
        <w:rPr>
          <w:rFonts w:hint="eastAsia"/>
          <w:b/>
          <w:iCs/>
          <w:sz w:val="24"/>
        </w:rPr>
        <w:t>万朗磁塑</w:t>
      </w:r>
    </w:p>
    <w:p w14:paraId="7B75A1BF">
      <w:pPr>
        <w:spacing w:after="312" w:afterLines="100" w:line="360" w:lineRule="auto"/>
        <w:jc w:val="center"/>
        <w:rPr>
          <w:rFonts w:asciiTheme="minorEastAsia" w:hAnsiTheme="minorEastAsia" w:eastAsiaTheme="minorEastAsia"/>
          <w:b/>
          <w:iCs/>
          <w:color w:val="000000"/>
          <w:sz w:val="30"/>
          <w:szCs w:val="30"/>
        </w:rPr>
      </w:pPr>
      <w:r>
        <w:rPr>
          <w:rFonts w:hint="eastAsia" w:asciiTheme="minorEastAsia" w:hAnsiTheme="minorEastAsia" w:eastAsiaTheme="minorEastAsia"/>
          <w:b/>
          <w:iCs/>
          <w:color w:val="000000"/>
          <w:sz w:val="30"/>
          <w:szCs w:val="30"/>
        </w:rPr>
        <w:t>安徽万朗磁塑股份有限公司投资者关系活动记录表</w:t>
      </w:r>
    </w:p>
    <w:p w14:paraId="46FEBE45">
      <w:pPr>
        <w:spacing w:line="360" w:lineRule="auto"/>
        <w:rPr>
          <w:rFonts w:hint="eastAsia" w:asciiTheme="minorEastAsia" w:hAnsiTheme="minorEastAsia" w:eastAsiaTheme="minorEastAsia"/>
          <w:bCs/>
          <w:iCs/>
          <w:color w:val="000000"/>
          <w:sz w:val="24"/>
          <w:szCs w:val="24"/>
          <w:lang w:eastAsia="zh-CN"/>
        </w:rPr>
      </w:pPr>
      <w:r>
        <w:rPr>
          <w:rFonts w:asciiTheme="minorEastAsia" w:hAnsiTheme="minorEastAsia" w:eastAsiaTheme="minorEastAsia"/>
          <w:bCs/>
          <w:iCs/>
          <w:color w:val="000000"/>
          <w:sz w:val="24"/>
          <w:szCs w:val="24"/>
        </w:rPr>
        <w:t xml:space="preserve">                                              </w:t>
      </w:r>
      <w:r>
        <w:rPr>
          <w:rFonts w:hint="eastAsia" w:asciiTheme="minorEastAsia" w:hAnsiTheme="minorEastAsia" w:eastAsiaTheme="minorEastAsia"/>
          <w:bCs/>
          <w:iCs/>
          <w:color w:val="000000"/>
          <w:sz w:val="24"/>
          <w:szCs w:val="24"/>
        </w:rPr>
        <w:t xml:space="preserve">     </w:t>
      </w:r>
      <w:r>
        <w:rPr>
          <w:rFonts w:asciiTheme="minorEastAsia" w:hAnsiTheme="minorEastAsia" w:eastAsiaTheme="minorEastAsia"/>
          <w:bCs/>
          <w:iCs/>
          <w:color w:val="000000"/>
          <w:sz w:val="24"/>
          <w:szCs w:val="24"/>
        </w:rPr>
        <w:t xml:space="preserve">    编号：</w:t>
      </w:r>
      <w:r>
        <w:rPr>
          <w:rFonts w:hint="eastAsia" w:asciiTheme="minorEastAsia" w:hAnsiTheme="minorEastAsia" w:eastAsiaTheme="minorEastAsia"/>
          <w:bCs/>
          <w:iCs/>
          <w:color w:val="000000"/>
          <w:sz w:val="24"/>
          <w:szCs w:val="24"/>
        </w:rPr>
        <w:t>202</w:t>
      </w:r>
      <w:r>
        <w:rPr>
          <w:rFonts w:hint="eastAsia" w:asciiTheme="minorEastAsia" w:hAnsiTheme="minorEastAsia" w:eastAsiaTheme="minorEastAsia"/>
          <w:bCs/>
          <w:iCs/>
          <w:color w:val="000000"/>
          <w:sz w:val="24"/>
          <w:szCs w:val="24"/>
          <w:lang w:val="en-US" w:eastAsia="zh-CN"/>
        </w:rPr>
        <w:t>6</w:t>
      </w:r>
      <w:r>
        <w:rPr>
          <w:rFonts w:hint="eastAsia" w:asciiTheme="minorEastAsia" w:hAnsiTheme="minorEastAsia" w:eastAsiaTheme="minorEastAsia"/>
          <w:bCs/>
          <w:iCs/>
          <w:color w:val="000000"/>
          <w:sz w:val="24"/>
          <w:szCs w:val="24"/>
        </w:rPr>
        <w:t>-00</w:t>
      </w:r>
      <w:r>
        <w:rPr>
          <w:rFonts w:hint="eastAsia" w:asciiTheme="minorEastAsia" w:hAnsiTheme="minorEastAsia" w:eastAsiaTheme="minorEastAsia"/>
          <w:bCs/>
          <w:iCs/>
          <w:color w:val="000000"/>
          <w:sz w:val="24"/>
          <w:szCs w:val="24"/>
          <w:lang w:val="en-US" w:eastAsia="zh-CN"/>
        </w:rPr>
        <w:t>1</w:t>
      </w:r>
    </w:p>
    <w:tbl>
      <w:tblPr>
        <w:tblStyle w:val="8"/>
        <w:tblW w:w="898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938"/>
      </w:tblGrid>
      <w:tr w14:paraId="583C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7F7D1FD8">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投资者关系</w:t>
            </w:r>
          </w:p>
          <w:p w14:paraId="0BC87E91">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活动类别</w:t>
            </w:r>
          </w:p>
        </w:tc>
        <w:tc>
          <w:tcPr>
            <w:tcW w:w="6938" w:type="dxa"/>
            <w:tcBorders>
              <w:top w:val="single" w:color="auto" w:sz="4" w:space="0"/>
              <w:left w:val="single" w:color="auto" w:sz="4" w:space="0"/>
              <w:bottom w:val="single" w:color="auto" w:sz="4" w:space="0"/>
              <w:right w:val="single" w:color="auto" w:sz="4" w:space="0"/>
            </w:tcBorders>
            <w:shd w:val="clear" w:color="auto" w:fill="auto"/>
          </w:tcPr>
          <w:p w14:paraId="7F249041">
            <w:pPr>
              <w:spacing w:line="360" w:lineRule="auto"/>
              <w:rPr>
                <w:rFonts w:asciiTheme="minorEastAsia" w:hAnsiTheme="minorEastAsia" w:eastAsiaTheme="minorEastAsia"/>
                <w:bCs/>
                <w:iCs/>
                <w:color w:val="000000"/>
                <w:sz w:val="24"/>
                <w:szCs w:val="24"/>
              </w:rPr>
            </w:pPr>
            <w:r>
              <w:rPr>
                <w:rFonts w:asciiTheme="minorEastAsia" w:hAnsiTheme="minorEastAsia" w:eastAsiaTheme="minorEastAsia"/>
                <w:bCs/>
                <w:iCs/>
                <w:color w:val="000000"/>
                <w:sz w:val="24"/>
                <w:szCs w:val="24"/>
              </w:rPr>
              <w:sym w:font="Wingdings 2" w:char="0052"/>
            </w:r>
            <w:r>
              <w:rPr>
                <w:rFonts w:asciiTheme="minorEastAsia" w:hAnsiTheme="minorEastAsia" w:eastAsiaTheme="minorEastAsia"/>
                <w:color w:val="000000"/>
                <w:sz w:val="24"/>
                <w:szCs w:val="24"/>
              </w:rPr>
              <w:t xml:space="preserve">特定对象调研        </w:t>
            </w:r>
            <w:r>
              <w:rPr>
                <w:rFonts w:hint="eastAsia" w:asciiTheme="minorEastAsia" w:hAnsiTheme="minorEastAsia" w:eastAsiaTheme="minorEastAsia"/>
                <w:bCs/>
                <w:iCs/>
                <w:color w:val="000000"/>
                <w:sz w:val="24"/>
                <w:szCs w:val="24"/>
                <w:lang w:eastAsia="zh-CN"/>
              </w:rPr>
              <w:t>□</w:t>
            </w:r>
            <w:r>
              <w:rPr>
                <w:rFonts w:asciiTheme="minorEastAsia" w:hAnsiTheme="minorEastAsia" w:eastAsiaTheme="minorEastAsia"/>
                <w:color w:val="000000"/>
                <w:sz w:val="24"/>
                <w:szCs w:val="24"/>
              </w:rPr>
              <w:t>分析师会议</w:t>
            </w:r>
          </w:p>
          <w:p w14:paraId="66CB3111">
            <w:pPr>
              <w:spacing w:line="360" w:lineRule="auto"/>
              <w:rPr>
                <w:rFonts w:asciiTheme="minorEastAsia" w:hAnsiTheme="minorEastAsia" w:eastAsiaTheme="minorEastAsia"/>
                <w:bCs/>
                <w:iCs/>
                <w:color w:val="000000"/>
                <w:sz w:val="24"/>
                <w:szCs w:val="24"/>
              </w:rPr>
            </w:pPr>
            <w:r>
              <w:rPr>
                <w:rFonts w:asciiTheme="minorEastAsia" w:hAnsiTheme="minorEastAsia" w:eastAsiaTheme="minorEastAsia"/>
                <w:bCs/>
                <w:iCs/>
                <w:color w:val="000000"/>
                <w:sz w:val="24"/>
                <w:szCs w:val="24"/>
              </w:rPr>
              <w:t>□</w:t>
            </w:r>
            <w:r>
              <w:rPr>
                <w:rFonts w:asciiTheme="minorEastAsia" w:hAnsiTheme="minorEastAsia" w:eastAsiaTheme="minorEastAsia"/>
                <w:color w:val="000000"/>
                <w:sz w:val="24"/>
                <w:szCs w:val="24"/>
              </w:rPr>
              <w:t xml:space="preserve">媒体采访            </w:t>
            </w:r>
            <w:r>
              <w:rPr>
                <w:rFonts w:asciiTheme="minorEastAsia" w:hAnsiTheme="minorEastAsia" w:eastAsiaTheme="minorEastAsia"/>
                <w:bCs/>
                <w:iCs/>
                <w:color w:val="000000"/>
                <w:sz w:val="24"/>
                <w:szCs w:val="24"/>
              </w:rPr>
              <w:sym w:font="Wingdings 2" w:char="0052"/>
            </w:r>
            <w:r>
              <w:rPr>
                <w:rFonts w:asciiTheme="minorEastAsia" w:hAnsiTheme="minorEastAsia" w:eastAsiaTheme="minorEastAsia"/>
                <w:color w:val="000000"/>
                <w:sz w:val="24"/>
                <w:szCs w:val="24"/>
              </w:rPr>
              <w:t>业绩说明会</w:t>
            </w:r>
          </w:p>
          <w:p w14:paraId="1BCFD7E5">
            <w:pPr>
              <w:spacing w:line="360" w:lineRule="auto"/>
              <w:rPr>
                <w:rFonts w:asciiTheme="minorEastAsia" w:hAnsiTheme="minorEastAsia" w:eastAsiaTheme="minorEastAsia"/>
                <w:bCs/>
                <w:iCs/>
                <w:color w:val="000000"/>
                <w:sz w:val="24"/>
                <w:szCs w:val="24"/>
              </w:rPr>
            </w:pPr>
            <w:r>
              <w:rPr>
                <w:rFonts w:asciiTheme="minorEastAsia" w:hAnsiTheme="minorEastAsia" w:eastAsiaTheme="minorEastAsia"/>
                <w:bCs/>
                <w:iCs/>
                <w:color w:val="000000"/>
                <w:sz w:val="24"/>
                <w:szCs w:val="24"/>
              </w:rPr>
              <w:t>□</w:t>
            </w:r>
            <w:r>
              <w:rPr>
                <w:rFonts w:asciiTheme="minorEastAsia" w:hAnsiTheme="minorEastAsia" w:eastAsiaTheme="minorEastAsia"/>
                <w:color w:val="000000"/>
                <w:sz w:val="24"/>
                <w:szCs w:val="24"/>
              </w:rPr>
              <w:t xml:space="preserve">新闻发布会          </w:t>
            </w:r>
            <w:r>
              <w:rPr>
                <w:rFonts w:hint="eastAsia" w:asciiTheme="minorEastAsia" w:hAnsiTheme="minorEastAsia" w:eastAsiaTheme="minorEastAsia"/>
                <w:bCs/>
                <w:iCs/>
                <w:color w:val="000000"/>
                <w:sz w:val="24"/>
                <w:szCs w:val="24"/>
                <w:lang w:eastAsia="zh-CN"/>
              </w:rPr>
              <w:t>□</w:t>
            </w:r>
            <w:r>
              <w:rPr>
                <w:rFonts w:asciiTheme="minorEastAsia" w:hAnsiTheme="minorEastAsia" w:eastAsiaTheme="minorEastAsia"/>
                <w:color w:val="000000"/>
                <w:sz w:val="24"/>
                <w:szCs w:val="24"/>
              </w:rPr>
              <w:t>路演活动</w:t>
            </w:r>
          </w:p>
          <w:p w14:paraId="55C6D538">
            <w:pPr>
              <w:tabs>
                <w:tab w:val="left" w:pos="3045"/>
                <w:tab w:val="center" w:pos="3199"/>
              </w:tabs>
              <w:spacing w:line="360" w:lineRule="auto"/>
              <w:rPr>
                <w:rFonts w:asciiTheme="minorEastAsia" w:hAnsiTheme="minorEastAsia" w:eastAsiaTheme="minorEastAsia"/>
                <w:bCs/>
                <w:iCs/>
                <w:color w:val="000000"/>
                <w:sz w:val="24"/>
                <w:szCs w:val="24"/>
              </w:rPr>
            </w:pPr>
            <w:r>
              <w:rPr>
                <w:rFonts w:asciiTheme="minorEastAsia" w:hAnsiTheme="minorEastAsia" w:eastAsiaTheme="minorEastAsia"/>
                <w:bCs/>
                <w:iCs/>
                <w:color w:val="000000"/>
                <w:sz w:val="24"/>
                <w:szCs w:val="24"/>
              </w:rPr>
              <w:sym w:font="Wingdings 2" w:char="00A3"/>
            </w:r>
            <w:r>
              <w:rPr>
                <w:rFonts w:asciiTheme="minorEastAsia" w:hAnsiTheme="minorEastAsia" w:eastAsiaTheme="minorEastAsia"/>
                <w:color w:val="000000"/>
                <w:sz w:val="24"/>
                <w:szCs w:val="24"/>
              </w:rPr>
              <w:t>现场参观</w:t>
            </w:r>
            <w:r>
              <w:rPr>
                <w:rFonts w:asciiTheme="minorEastAsia" w:hAnsiTheme="minorEastAsia" w:eastAsiaTheme="minorEastAsia"/>
                <w:bCs/>
                <w:iCs/>
                <w:color w:val="000000"/>
                <w:sz w:val="24"/>
                <w:szCs w:val="24"/>
              </w:rPr>
              <w:tab/>
            </w:r>
          </w:p>
          <w:p w14:paraId="2611E953">
            <w:pPr>
              <w:tabs>
                <w:tab w:val="center" w:pos="3199"/>
              </w:tabs>
              <w:spacing w:line="360" w:lineRule="auto"/>
              <w:rPr>
                <w:rFonts w:asciiTheme="minorEastAsia" w:hAnsiTheme="minorEastAsia" w:eastAsiaTheme="minorEastAsia"/>
                <w:bCs/>
                <w:iCs/>
                <w:color w:val="000000"/>
                <w:sz w:val="24"/>
                <w:szCs w:val="24"/>
              </w:rPr>
            </w:pPr>
            <w:r>
              <w:rPr>
                <w:rFonts w:asciiTheme="minorEastAsia" w:hAnsiTheme="minorEastAsia" w:eastAsiaTheme="minorEastAsia"/>
                <w:bCs/>
                <w:iCs/>
                <w:color w:val="000000"/>
                <w:sz w:val="24"/>
                <w:szCs w:val="24"/>
              </w:rPr>
              <w:sym w:font="Wingdings 2" w:char="00A3"/>
            </w:r>
            <w:r>
              <w:rPr>
                <w:rFonts w:asciiTheme="minorEastAsia" w:hAnsiTheme="minorEastAsia" w:eastAsiaTheme="minorEastAsia"/>
                <w:color w:val="000000"/>
                <w:sz w:val="24"/>
                <w:szCs w:val="24"/>
              </w:rPr>
              <w:t>其他</w:t>
            </w:r>
            <w:r>
              <w:rPr>
                <w:rFonts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u w:val="single"/>
                <w:lang w:val="en-US" w:eastAsia="zh-CN"/>
              </w:rPr>
              <w:t xml:space="preserve">   </w:t>
            </w:r>
            <w:r>
              <w:rPr>
                <w:rFonts w:hint="eastAsia"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rPr>
              <w:t xml:space="preserve">        </w:t>
            </w:r>
          </w:p>
        </w:tc>
      </w:tr>
      <w:tr w14:paraId="0712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4033B4F7">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参与单位名称</w:t>
            </w:r>
          </w:p>
        </w:tc>
        <w:tc>
          <w:tcPr>
            <w:tcW w:w="6938" w:type="dxa"/>
            <w:tcBorders>
              <w:top w:val="single" w:color="auto" w:sz="4" w:space="0"/>
              <w:left w:val="single" w:color="auto" w:sz="4" w:space="0"/>
              <w:bottom w:val="single" w:color="auto" w:sz="4" w:space="0"/>
              <w:right w:val="single" w:color="auto" w:sz="4" w:space="0"/>
            </w:tcBorders>
            <w:shd w:val="clear" w:color="auto" w:fill="auto"/>
            <w:vAlign w:val="center"/>
          </w:tcPr>
          <w:p w14:paraId="45E02880">
            <w:pPr>
              <w:spacing w:line="360" w:lineRule="auto"/>
              <w:rPr>
                <w:rFonts w:hint="default"/>
                <w:bCs/>
                <w:iCs/>
                <w:sz w:val="24"/>
                <w:szCs w:val="24"/>
                <w:lang w:val="en-US" w:eastAsia="zh-CN"/>
              </w:rPr>
            </w:pPr>
            <w:r>
              <w:rPr>
                <w:rFonts w:hint="default"/>
                <w:bCs/>
                <w:iCs/>
                <w:sz w:val="24"/>
                <w:szCs w:val="24"/>
                <w:lang w:val="en-US" w:eastAsia="zh-CN"/>
              </w:rPr>
              <w:t>中泰证券、东方红资管、睿远基金、易方达基金、衍复投资、润晖投资、招银理财、上银基金、大家资产、前海开源基金、南方基金、国联民生、上海慈阳投资、朴拙资本、慈阳投资、德邦基金、国泰人寿</w:t>
            </w:r>
            <w:r>
              <w:rPr>
                <w:rFonts w:hint="eastAsia"/>
                <w:bCs/>
                <w:iCs/>
                <w:sz w:val="24"/>
                <w:szCs w:val="24"/>
                <w:lang w:val="en-US" w:eastAsia="zh-CN"/>
              </w:rPr>
              <w:t>、</w:t>
            </w:r>
            <w:r>
              <w:rPr>
                <w:rFonts w:hint="eastAsia"/>
                <w:bCs/>
                <w:iCs/>
                <w:sz w:val="24"/>
                <w:szCs w:val="24"/>
              </w:rPr>
              <w:t>线上参与公司2025年年度暨2026年第一季度业绩暨现金分红说明会的投资者</w:t>
            </w:r>
          </w:p>
        </w:tc>
      </w:tr>
      <w:tr w14:paraId="60F5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2B6C13D3">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时间</w:t>
            </w:r>
          </w:p>
        </w:tc>
        <w:tc>
          <w:tcPr>
            <w:tcW w:w="6938" w:type="dxa"/>
            <w:tcBorders>
              <w:top w:val="single" w:color="auto" w:sz="4" w:space="0"/>
              <w:left w:val="single" w:color="auto" w:sz="4" w:space="0"/>
              <w:bottom w:val="single" w:color="auto" w:sz="4" w:space="0"/>
              <w:right w:val="single" w:color="auto" w:sz="4" w:space="0"/>
            </w:tcBorders>
            <w:shd w:val="clear" w:color="auto" w:fill="auto"/>
          </w:tcPr>
          <w:p w14:paraId="1E86CDF5">
            <w:pPr>
              <w:spacing w:line="360" w:lineRule="auto"/>
              <w:rPr>
                <w:rFonts w:hint="default" w:asciiTheme="minorEastAsia" w:hAnsiTheme="minorEastAsia" w:eastAsiaTheme="minorEastAsia"/>
                <w:bCs/>
                <w:iCs/>
                <w:color w:val="000000"/>
                <w:sz w:val="24"/>
                <w:szCs w:val="24"/>
                <w:lang w:val="en-US" w:eastAsia="zh-CN"/>
              </w:rPr>
            </w:pPr>
            <w:r>
              <w:rPr>
                <w:rFonts w:hint="eastAsia" w:asciiTheme="minorEastAsia" w:hAnsiTheme="minorEastAsia" w:eastAsiaTheme="minorEastAsia"/>
                <w:bCs/>
                <w:iCs/>
                <w:color w:val="000000"/>
                <w:sz w:val="24"/>
                <w:szCs w:val="24"/>
                <w:lang w:val="en-US" w:eastAsia="zh-CN"/>
              </w:rPr>
              <w:t>2026年5月6日-2026年5月31日</w:t>
            </w:r>
          </w:p>
        </w:tc>
      </w:tr>
      <w:tr w14:paraId="753A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36C13AB1">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地点</w:t>
            </w:r>
          </w:p>
        </w:tc>
        <w:tc>
          <w:tcPr>
            <w:tcW w:w="6938" w:type="dxa"/>
            <w:tcBorders>
              <w:top w:val="single" w:color="auto" w:sz="4" w:space="0"/>
              <w:left w:val="single" w:color="auto" w:sz="4" w:space="0"/>
              <w:bottom w:val="single" w:color="auto" w:sz="4" w:space="0"/>
              <w:right w:val="single" w:color="auto" w:sz="4" w:space="0"/>
            </w:tcBorders>
            <w:shd w:val="clear" w:color="auto" w:fill="auto"/>
          </w:tcPr>
          <w:p w14:paraId="189F5117">
            <w:pPr>
              <w:spacing w:line="360" w:lineRule="auto"/>
              <w:rPr>
                <w:rFonts w:hint="default" w:asciiTheme="minorEastAsia" w:hAnsiTheme="minorEastAsia" w:eastAsiaTheme="minorEastAsia"/>
                <w:bCs/>
                <w:iCs/>
                <w:color w:val="000000"/>
                <w:sz w:val="24"/>
                <w:szCs w:val="24"/>
                <w:lang w:val="en-US"/>
              </w:rPr>
            </w:pPr>
            <w:r>
              <w:rPr>
                <w:rFonts w:hint="eastAsia" w:cs="Times New Roman" w:asciiTheme="minorEastAsia" w:hAnsiTheme="minorEastAsia" w:eastAsiaTheme="minorEastAsia"/>
                <w:bCs/>
                <w:i w:val="0"/>
                <w:iCs/>
                <w:caps w:val="0"/>
                <w:color w:val="000000"/>
                <w:spacing w:val="0"/>
                <w:sz w:val="24"/>
                <w:szCs w:val="24"/>
                <w:shd w:val="clear"/>
                <w:lang w:eastAsia="zh-CN"/>
              </w:rPr>
              <w:t>（按会议时间排序）</w:t>
            </w:r>
            <w:r>
              <w:rPr>
                <w:rFonts w:hint="eastAsia" w:cs="Times New Roman" w:asciiTheme="minorEastAsia" w:hAnsiTheme="minorEastAsia" w:eastAsiaTheme="minorEastAsia"/>
                <w:bCs/>
                <w:i w:val="0"/>
                <w:iCs/>
                <w:caps w:val="0"/>
                <w:color w:val="000000"/>
                <w:spacing w:val="0"/>
                <w:sz w:val="24"/>
                <w:szCs w:val="24"/>
                <w:shd w:val="clear"/>
                <w:lang w:val="en-US" w:eastAsia="zh-CN"/>
              </w:rPr>
              <w:t>公司会议室、线上</w:t>
            </w:r>
          </w:p>
        </w:tc>
      </w:tr>
      <w:tr w14:paraId="2EFE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68A86DC1">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上市公司</w:t>
            </w:r>
          </w:p>
          <w:p w14:paraId="41BB209A">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接待人员姓名</w:t>
            </w:r>
          </w:p>
        </w:tc>
        <w:tc>
          <w:tcPr>
            <w:tcW w:w="6938" w:type="dxa"/>
            <w:tcBorders>
              <w:top w:val="single" w:color="auto" w:sz="4" w:space="0"/>
              <w:left w:val="single" w:color="auto" w:sz="4" w:space="0"/>
              <w:bottom w:val="single" w:color="auto" w:sz="4" w:space="0"/>
              <w:right w:val="single" w:color="auto" w:sz="4" w:space="0"/>
            </w:tcBorders>
            <w:shd w:val="clear" w:color="auto" w:fill="auto"/>
            <w:vAlign w:val="center"/>
          </w:tcPr>
          <w:p w14:paraId="6A877569">
            <w:pPr>
              <w:spacing w:line="360" w:lineRule="auto"/>
              <w:rPr>
                <w:rFonts w:hint="default" w:asciiTheme="minorEastAsia" w:hAnsiTheme="minorEastAsia" w:eastAsiaTheme="minorEastAsia"/>
                <w:bCs/>
                <w:iCs/>
                <w:color w:val="000000"/>
                <w:sz w:val="24"/>
                <w:szCs w:val="24"/>
                <w:lang w:val="en-US" w:eastAsia="zh-CN"/>
              </w:rPr>
            </w:pPr>
            <w:r>
              <w:rPr>
                <w:rFonts w:hint="eastAsia" w:asciiTheme="minorEastAsia" w:hAnsiTheme="minorEastAsia" w:eastAsiaTheme="minorEastAsia"/>
                <w:bCs/>
                <w:iCs/>
                <w:color w:val="000000"/>
                <w:sz w:val="24"/>
                <w:szCs w:val="24"/>
              </w:rPr>
              <w:t>董事会秘书：张小梅</w:t>
            </w:r>
          </w:p>
        </w:tc>
      </w:tr>
      <w:tr w14:paraId="3445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4F9118F8">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投资者关系活动</w:t>
            </w:r>
          </w:p>
          <w:p w14:paraId="7592580C">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主要内容介绍</w:t>
            </w:r>
          </w:p>
        </w:tc>
        <w:tc>
          <w:tcPr>
            <w:tcW w:w="6938" w:type="dxa"/>
            <w:tcBorders>
              <w:top w:val="single" w:color="auto" w:sz="4" w:space="0"/>
              <w:left w:val="single" w:color="auto" w:sz="4" w:space="0"/>
              <w:bottom w:val="single" w:color="auto" w:sz="4" w:space="0"/>
              <w:right w:val="single" w:color="auto" w:sz="4" w:space="0"/>
            </w:tcBorders>
            <w:shd w:val="clear" w:color="auto" w:fill="auto"/>
          </w:tcPr>
          <w:p w14:paraId="4E0C9FB2">
            <w:pPr>
              <w:numPr>
                <w:ilvl w:val="-1"/>
                <w:numId w:val="0"/>
              </w:numPr>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公司一季度营收增长122%，为何归母净利润不增反降，是什么原因造成的？其次一季度经营活动现金流出现负数，是什么原因？</w:t>
            </w:r>
          </w:p>
          <w:p w14:paraId="6C07EDE4">
            <w:pPr>
              <w:numPr>
                <w:ilvl w:val="-1"/>
                <w:numId w:val="0"/>
              </w:num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sz w:val="24"/>
                <w:szCs w:val="24"/>
              </w:rPr>
              <w:t>尊敬的投资者您好，公司一季度营收增长主要系小家电业务增长所致；家电行业竞争加剧，小家电业务尚处于投入阶段，利润率较低，但公司整体经营稳步发展；归母净利润下降主要系确认汇兑损失所致；一季度，人民币升值，美元及泰铢相对贬值，部分子公司应付母公司应付账款因汇率波动，按准则规定确认了阶段性汇兑损失，该等汇兑损益并非实际结售汇形成的汇兑损失。</w:t>
            </w:r>
          </w:p>
          <w:p w14:paraId="321C76F0">
            <w:pPr>
              <w:numPr>
                <w:ilvl w:val="-1"/>
                <w:numId w:val="0"/>
              </w:num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2、公司2025年全年营收突破41亿元，同比增长约22%，其中小家电业务增速更是超过了125%。请问公司管理层对家电零部件业务的稳健增长和小家电业务的高速增长有何展望？未来打算如何持续优化产品结构？</w:t>
            </w:r>
          </w:p>
          <w:p w14:paraId="17FFD673">
            <w:pPr>
              <w:numPr>
                <w:ilvl w:val="-1"/>
                <w:numId w:val="0"/>
              </w:num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尊敬的投资者，您好。①公司家电零部件业务产品品类丰富，除冰箱门封条外，其他部件市场占比均有较大成长空间，后续将依托冰箱门封条渠道优势，加大其他零部件技术核心竞争力，加大国际化，将新增产品品类持续推向客户，尤其是重点加大海外客户，多产品模块化供货；②小家电业务，依托对智享的战略布局，公司相关综合实力实现跨越式提升。未来将进一步提高零部件自制率，把小家电业务作为核心载体，一方面拉动零部件产品在小家电上的规模化应用，另一方面加速小家电产品国际化布局。</w:t>
            </w:r>
          </w:p>
          <w:p w14:paraId="0D820E88">
            <w:pPr>
              <w:numPr>
                <w:ilvl w:val="-1"/>
                <w:numId w:val="0"/>
              </w:numPr>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公司2025年经营活动产生的现金流量净额达4.03亿元，同比激增近492%；但2026年第一季度经营活动现金流净额为-3.58亿元。请问这种短期波动是季节性因素还是其他原因所致？未来现金流管理上公司有哪些安排？</w:t>
            </w:r>
          </w:p>
          <w:p w14:paraId="4A19D251">
            <w:pPr>
              <w:numPr>
                <w:ilvl w:val="-1"/>
                <w:numId w:val="0"/>
              </w:num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尊敬的投资者您好①公司2025年经营活动现金流净额达4.03亿元主要系销售规模增加形成客户回款增加，以及公司不断优化客户回款管理、票据管理形成经营性现金流入增加所致；2026年一季度经营活动现金流出现负数，主要系综合考虑资金成本，降低财务费用，公司将收到客户回款的商业票据未进行贴现转换为现金流所致。②公司销售回款主要为商业票据结算，票据及资金流是资金管理的核心；未来将以资金高效运营流转，降低财务费用为主线，同时将兼顾现金流管理。现金流不足以体现公司的资金管理，敬请投资者理解；同时，我们也会始终加强客户回款，做好资金统筹，降低贴现等财务费用，保持合理、充裕现金流，保障公司现金流健康稳定。</w:t>
            </w:r>
          </w:p>
          <w:p w14:paraId="57BCB8B5">
            <w:pPr>
              <w:numPr>
                <w:ilvl w:val="-1"/>
                <w:numId w:val="0"/>
              </w:num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4、公司2025年全年归母净利润约1.11亿元，同比下降约20%；2026年第一季度归母净利润约2686万元，同比下滑约29%，但同期营收分别增长22%和123%。请问公司如何看待这种"增收不增利"的现象？降本增效方面有哪些具体的规划和举措？</w:t>
            </w:r>
          </w:p>
          <w:p w14:paraId="6EAF86E1">
            <w:pPr>
              <w:numPr>
                <w:ilvl w:val="-1"/>
                <w:numId w:val="0"/>
              </w:num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尊敬的投资者您好，公司为实现产业发展行稳致远，以品类扩张、国际化，以及产业链纵向延伸（上游材料、下游小家电）战略，通过规模扩张、国际化等举措穿越行业发展周期，公司业务规模的增长是行业深耕的结果，也是行业客户对万朗的认可。增收不增利，是行业竞争加剧的结果呈现，也是公司面对未来发展投入新业务的结果；面对竞争加剧，需要坚定发展战略，坚持主业稳健与长期主义初心不改！未来既要规模化成长，也要通过降本提效，加大研发及技术成果转化、提高零部件自制率等内涵式发展增强盈利能力。</w:t>
            </w:r>
          </w:p>
          <w:p w14:paraId="5E02775B">
            <w:pPr>
              <w:numPr>
                <w:ilvl w:val="-1"/>
                <w:numId w:val="0"/>
              </w:num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降本提效具体举措包括：推进精益制造管理及内部培训与竞赛，推进自动化改造及数字化转型；加大研发技术成果转化，与主机厂联合研发以增强技术溢价；增强内部运营管理，筛选砍除无效冗余、亏损项目。谢谢。</w:t>
            </w:r>
          </w:p>
          <w:p w14:paraId="5ADDAC36">
            <w:pPr>
              <w:numPr>
                <w:ilvl w:val="-1"/>
                <w:numId w:val="0"/>
              </w:numPr>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5、请问新国标对公司门封条有哪些影响？</w:t>
            </w:r>
          </w:p>
          <w:p w14:paraId="206E2F89">
            <w:pPr>
              <w:numPr>
                <w:ilvl w:val="-1"/>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公司核心产品冰箱门封与冰箱能耗较为相关，长期以来，公司在冰箱门封的节能优化方向上积累了多项核心技术与成熟产品方案，</w:t>
            </w:r>
            <w:r>
              <w:rPr>
                <w:rFonts w:hint="eastAsia" w:ascii="宋体" w:hAnsi="宋体" w:cs="宋体"/>
                <w:sz w:val="24"/>
                <w:szCs w:val="24"/>
                <w:lang w:val="en-US" w:eastAsia="zh-CN"/>
              </w:rPr>
              <w:t>在新国标政策下，正在不断发挥作用</w:t>
            </w:r>
            <w:r>
              <w:rPr>
                <w:rFonts w:hint="default" w:ascii="宋体" w:hAnsi="宋体" w:cs="宋体"/>
                <w:sz w:val="24"/>
                <w:szCs w:val="24"/>
              </w:rPr>
              <w:t>。</w:t>
            </w:r>
          </w:p>
          <w:p w14:paraId="28FF2FAE">
            <w:pPr>
              <w:numPr>
                <w:ilvl w:val="-1"/>
                <w:numId w:val="0"/>
              </w:num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6、请问原材料价格对公司的影响？</w:t>
            </w:r>
          </w:p>
          <w:p w14:paraId="7FB81579">
            <w:pPr>
              <w:numPr>
                <w:ilvl w:val="-1"/>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公司原材料由多种大宗材料经过改性而成，各大宗原材料价格有升有降，整体保持平稳。同时公司</w:t>
            </w:r>
            <w:r>
              <w:rPr>
                <w:rFonts w:hint="eastAsia" w:ascii="宋体" w:hAnsi="宋体" w:cs="宋体"/>
                <w:sz w:val="24"/>
                <w:szCs w:val="24"/>
                <w:lang w:val="en-US" w:eastAsia="zh-CN"/>
              </w:rPr>
              <w:t>通过远期合同、合理备货</w:t>
            </w:r>
            <w:r>
              <w:rPr>
                <w:rFonts w:hint="eastAsia" w:ascii="宋体" w:hAnsi="宋体" w:cs="宋体"/>
                <w:sz w:val="24"/>
                <w:szCs w:val="24"/>
                <w:lang w:eastAsia="zh-CN"/>
              </w:rPr>
              <w:t>、优化采购</w:t>
            </w:r>
            <w:r>
              <w:rPr>
                <w:rFonts w:hint="eastAsia" w:ascii="宋体" w:hAnsi="宋体" w:cs="宋体"/>
                <w:sz w:val="24"/>
                <w:szCs w:val="24"/>
                <w:lang w:val="en-US" w:eastAsia="zh-CN"/>
              </w:rPr>
              <w:t>方式及渠道</w:t>
            </w:r>
            <w:r>
              <w:rPr>
                <w:rFonts w:hint="eastAsia" w:ascii="宋体" w:hAnsi="宋体" w:cs="宋体"/>
                <w:sz w:val="24"/>
                <w:szCs w:val="24"/>
                <w:lang w:eastAsia="zh-CN"/>
              </w:rPr>
              <w:t>等举措，</w:t>
            </w:r>
            <w:r>
              <w:rPr>
                <w:rFonts w:hint="eastAsia" w:ascii="宋体" w:hAnsi="宋体" w:cs="宋体"/>
                <w:sz w:val="24"/>
                <w:szCs w:val="24"/>
              </w:rPr>
              <w:t>减少原材料价格波动对公司生产经营的不利影响。</w:t>
            </w:r>
          </w:p>
          <w:p w14:paraId="383B88D9">
            <w:pPr>
              <w:numPr>
                <w:ilvl w:val="-1"/>
                <w:numId w:val="0"/>
              </w:num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7、请问公司汽车零部件业务客户有哪些，未来的布局及规划？</w:t>
            </w:r>
          </w:p>
          <w:p w14:paraId="43F23652">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rPr>
              <w:t>公司</w:t>
            </w:r>
            <w:r>
              <w:rPr>
                <w:rFonts w:ascii="宋体" w:hAnsi="宋体" w:eastAsia="宋体" w:cs="宋体"/>
                <w:sz w:val="24"/>
                <w:szCs w:val="24"/>
              </w:rPr>
              <w:t>汽车零部件核心产品为EPS电动助力转向系统，当前业务体量尚处于成长初期阶段。</w:t>
            </w:r>
            <w:r>
              <w:rPr>
                <w:rFonts w:hint="eastAsia" w:ascii="宋体" w:hAnsi="宋体" w:cs="宋体"/>
                <w:sz w:val="24"/>
                <w:szCs w:val="24"/>
              </w:rPr>
              <w:t>目前客户已覆盖奇瑞、北汽福田、东风、上汽通用五菱、长安等，</w:t>
            </w:r>
            <w:r>
              <w:rPr>
                <w:rFonts w:hint="eastAsia" w:ascii="宋体" w:hAnsi="宋体" w:cs="宋体"/>
                <w:sz w:val="24"/>
                <w:szCs w:val="24"/>
                <w:lang w:val="en-US" w:eastAsia="zh-CN"/>
              </w:rPr>
              <w:t>公司产品在CP-EPS稳定供货的基础上</w:t>
            </w:r>
            <w:r>
              <w:rPr>
                <w:rFonts w:ascii="宋体" w:hAnsi="宋体" w:eastAsia="宋体" w:cs="宋体"/>
                <w:sz w:val="24"/>
                <w:szCs w:val="24"/>
              </w:rPr>
              <w:t>，DP</w:t>
            </w:r>
            <w:r>
              <w:rPr>
                <w:rFonts w:ascii="宋体" w:hAnsi="宋体" w:eastAsia="宋体" w:cs="宋体"/>
                <w:sz w:val="24"/>
                <w:szCs w:val="24"/>
              </w:rPr>
              <w:noBreakHyphen/>
            </w:r>
            <w:r>
              <w:rPr>
                <w:rFonts w:ascii="宋体" w:hAnsi="宋体" w:eastAsia="宋体" w:cs="宋体"/>
                <w:sz w:val="24"/>
                <w:szCs w:val="24"/>
              </w:rPr>
              <w:t>EPS</w:t>
            </w:r>
            <w:r>
              <w:rPr>
                <w:rFonts w:hint="eastAsia" w:ascii="宋体" w:hAnsi="宋体" w:cs="宋体"/>
                <w:sz w:val="24"/>
                <w:szCs w:val="24"/>
                <w:lang w:val="en-US" w:eastAsia="zh-CN"/>
              </w:rPr>
              <w:t>及</w:t>
            </w:r>
            <w:r>
              <w:rPr>
                <w:rFonts w:ascii="宋体" w:hAnsi="宋体" w:eastAsia="宋体" w:cs="宋体"/>
                <w:sz w:val="24"/>
                <w:szCs w:val="24"/>
              </w:rPr>
              <w:t>单P</w:t>
            </w:r>
            <w:r>
              <w:rPr>
                <w:rFonts w:ascii="宋体" w:hAnsi="宋体" w:eastAsia="宋体" w:cs="宋体"/>
                <w:sz w:val="24"/>
                <w:szCs w:val="24"/>
              </w:rPr>
              <w:noBreakHyphen/>
            </w:r>
            <w:r>
              <w:rPr>
                <w:rFonts w:ascii="宋体" w:hAnsi="宋体" w:eastAsia="宋体" w:cs="宋体"/>
                <w:sz w:val="24"/>
                <w:szCs w:val="24"/>
              </w:rPr>
              <w:t>EPS均拿到定点项目</w:t>
            </w:r>
            <w:r>
              <w:rPr>
                <w:rFonts w:hint="eastAsia" w:ascii="宋体" w:hAnsi="宋体" w:cs="宋体"/>
                <w:sz w:val="24"/>
                <w:szCs w:val="24"/>
                <w:lang w:eastAsia="zh-CN"/>
              </w:rPr>
              <w:t>，</w:t>
            </w:r>
            <w:r>
              <w:rPr>
                <w:rFonts w:ascii="宋体" w:hAnsi="宋体" w:eastAsia="宋体" w:cs="宋体"/>
                <w:sz w:val="24"/>
                <w:szCs w:val="24"/>
              </w:rPr>
              <w:t>其中单P产品适配空间广阔的无人物流车市场。</w:t>
            </w:r>
          </w:p>
          <w:p w14:paraId="30EDCD60">
            <w:pPr>
              <w:numPr>
                <w:ilvl w:val="-1"/>
                <w:numId w:val="0"/>
              </w:numPr>
              <w:spacing w:line="360" w:lineRule="auto"/>
              <w:ind w:firstLine="480" w:firstLineChars="200"/>
              <w:rPr>
                <w:rFonts w:hint="eastAsia" w:ascii="宋体" w:hAnsi="宋体" w:cs="宋体"/>
                <w:sz w:val="24"/>
                <w:szCs w:val="24"/>
                <w:lang w:val="en-US" w:eastAsia="zh-CN"/>
              </w:rPr>
            </w:pPr>
            <w:r>
              <w:rPr>
                <w:rFonts w:ascii="宋体" w:hAnsi="宋体" w:eastAsia="宋体" w:cs="宋体"/>
                <w:sz w:val="24"/>
                <w:szCs w:val="24"/>
              </w:rPr>
              <w:t>公司</w:t>
            </w:r>
            <w:r>
              <w:rPr>
                <w:rFonts w:hint="eastAsia" w:ascii="宋体" w:hAnsi="宋体" w:cs="宋体"/>
                <w:sz w:val="24"/>
                <w:szCs w:val="24"/>
                <w:lang w:val="en-US" w:eastAsia="zh-CN"/>
              </w:rPr>
              <w:t>将持续提升产品力</w:t>
            </w:r>
            <w:r>
              <w:rPr>
                <w:rFonts w:hint="eastAsia" w:ascii="宋体" w:hAnsi="宋体" w:cs="宋体"/>
                <w:sz w:val="24"/>
                <w:szCs w:val="24"/>
                <w:lang w:eastAsia="zh-CN"/>
              </w:rPr>
              <w:t>，</w:t>
            </w:r>
            <w:r>
              <w:rPr>
                <w:rFonts w:hint="eastAsia" w:ascii="宋体" w:hAnsi="宋体" w:cs="宋体"/>
                <w:sz w:val="24"/>
                <w:szCs w:val="24"/>
                <w:lang w:val="en-US" w:eastAsia="zh-CN"/>
              </w:rPr>
              <w:t>不断</w:t>
            </w:r>
            <w:r>
              <w:rPr>
                <w:rFonts w:ascii="宋体" w:hAnsi="宋体" w:eastAsia="宋体" w:cs="宋体"/>
                <w:sz w:val="24"/>
                <w:szCs w:val="24"/>
              </w:rPr>
              <w:t>开拓新客户，乘用车、商用车、无人物流</w:t>
            </w:r>
            <w:r>
              <w:rPr>
                <w:rFonts w:hint="eastAsia" w:ascii="宋体" w:hAnsi="宋体" w:cs="宋体"/>
                <w:sz w:val="24"/>
                <w:szCs w:val="24"/>
                <w:lang w:val="en-US" w:eastAsia="zh-CN"/>
              </w:rPr>
              <w:t>等</w:t>
            </w:r>
            <w:r>
              <w:rPr>
                <w:rFonts w:ascii="宋体" w:hAnsi="宋体" w:eastAsia="宋体" w:cs="宋体"/>
                <w:sz w:val="24"/>
                <w:szCs w:val="24"/>
              </w:rPr>
              <w:t>多赛道</w:t>
            </w:r>
            <w:r>
              <w:rPr>
                <w:rFonts w:hint="eastAsia" w:ascii="宋体" w:hAnsi="宋体" w:cs="宋体"/>
                <w:sz w:val="24"/>
                <w:szCs w:val="24"/>
                <w:lang w:val="en-US" w:eastAsia="zh-CN"/>
              </w:rPr>
              <w:t>并进</w:t>
            </w:r>
            <w:r>
              <w:rPr>
                <w:rFonts w:ascii="宋体" w:hAnsi="宋体" w:eastAsia="宋体" w:cs="宋体"/>
                <w:sz w:val="24"/>
                <w:szCs w:val="24"/>
              </w:rPr>
              <w:t>，逐步</w:t>
            </w:r>
            <w:r>
              <w:rPr>
                <w:rFonts w:hint="eastAsia" w:ascii="宋体" w:hAnsi="宋体" w:cs="宋体"/>
                <w:sz w:val="24"/>
                <w:szCs w:val="24"/>
                <w:lang w:val="en-US" w:eastAsia="zh-CN"/>
              </w:rPr>
              <w:t>释放产能</w:t>
            </w:r>
            <w:r>
              <w:rPr>
                <w:rFonts w:hint="eastAsia" w:ascii="宋体" w:hAnsi="宋体" w:cs="宋体"/>
                <w:sz w:val="24"/>
                <w:szCs w:val="24"/>
              </w:rPr>
              <w:t>。</w:t>
            </w:r>
          </w:p>
          <w:p w14:paraId="79750001">
            <w:pPr>
              <w:numPr>
                <w:ilvl w:val="-1"/>
                <w:numId w:val="0"/>
              </w:num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8、请问公司合金材料进展？</w:t>
            </w:r>
          </w:p>
          <w:p w14:paraId="62A8A203">
            <w:pPr>
              <w:numPr>
                <w:ilvl w:val="-1"/>
                <w:numId w:val="0"/>
              </w:numPr>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sz w:val="24"/>
                <w:szCs w:val="24"/>
                <w:lang w:val="en-US" w:eastAsia="zh-CN"/>
              </w:rPr>
              <w:t>公司合金材料已完成中试验证，</w:t>
            </w:r>
            <w:r>
              <w:rPr>
                <w:rFonts w:hint="eastAsia" w:ascii="宋体" w:hAnsi="宋体" w:cs="宋体"/>
                <w:sz w:val="24"/>
                <w:szCs w:val="24"/>
              </w:rPr>
              <w:t>产品工艺及</w:t>
            </w:r>
            <w:bookmarkStart w:id="0" w:name="_GoBack"/>
            <w:bookmarkEnd w:id="0"/>
            <w:r>
              <w:rPr>
                <w:rFonts w:hint="eastAsia" w:ascii="宋体" w:hAnsi="宋体" w:cs="宋体"/>
                <w:sz w:val="24"/>
                <w:szCs w:val="24"/>
              </w:rPr>
              <w:t>性能达标</w:t>
            </w:r>
            <w:r>
              <w:rPr>
                <w:rFonts w:hint="eastAsia" w:ascii="宋体" w:hAnsi="宋体" w:cs="宋体"/>
                <w:sz w:val="24"/>
                <w:szCs w:val="24"/>
                <w:lang w:eastAsia="zh-CN"/>
              </w:rPr>
              <w:t>，</w:t>
            </w:r>
            <w:r>
              <w:rPr>
                <w:rFonts w:hint="eastAsia" w:ascii="宋体" w:hAnsi="宋体" w:cs="宋体"/>
                <w:sz w:val="24"/>
                <w:szCs w:val="24"/>
              </w:rPr>
              <w:t>现阶段稳步推进汽车零部件领域市场拓展与客户开发工作。</w:t>
            </w:r>
            <w:r>
              <w:rPr>
                <w:rFonts w:hint="eastAsia" w:ascii="宋体" w:hAnsi="宋体" w:cs="宋体"/>
                <w:sz w:val="24"/>
                <w:szCs w:val="24"/>
                <w:lang w:val="en-US" w:eastAsia="zh-CN"/>
              </w:rPr>
              <w:t xml:space="preserve">                                                                                                                                                                                                                                                                                                                                                                                                                                                                                                                                                                                                                                                                                                                                                                                                                                                                                                                                                                                                      </w:t>
            </w:r>
          </w:p>
        </w:tc>
      </w:tr>
      <w:tr w14:paraId="28BE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616868F0">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附件清单</w:t>
            </w:r>
          </w:p>
        </w:tc>
        <w:tc>
          <w:tcPr>
            <w:tcW w:w="6938" w:type="dxa"/>
            <w:tcBorders>
              <w:top w:val="single" w:color="auto" w:sz="4" w:space="0"/>
              <w:left w:val="single" w:color="auto" w:sz="4" w:space="0"/>
              <w:bottom w:val="single" w:color="auto" w:sz="4" w:space="0"/>
              <w:right w:val="single" w:color="auto" w:sz="4" w:space="0"/>
            </w:tcBorders>
            <w:shd w:val="clear" w:color="auto" w:fill="auto"/>
          </w:tcPr>
          <w:p w14:paraId="5609EA06">
            <w:pPr>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无</w:t>
            </w:r>
          </w:p>
        </w:tc>
      </w:tr>
      <w:tr w14:paraId="2D8E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6D3C2B3A">
            <w:pPr>
              <w:spacing w:line="360" w:lineRule="auto"/>
              <w:jc w:val="center"/>
              <w:rPr>
                <w:rFonts w:asciiTheme="minorEastAsia" w:hAnsiTheme="minorEastAsia" w:eastAsiaTheme="minorEastAsia"/>
                <w:b/>
                <w:iCs/>
                <w:color w:val="000000"/>
                <w:sz w:val="24"/>
                <w:szCs w:val="24"/>
              </w:rPr>
            </w:pPr>
            <w:r>
              <w:rPr>
                <w:rFonts w:asciiTheme="minorEastAsia" w:hAnsiTheme="minorEastAsia" w:eastAsiaTheme="minorEastAsia"/>
                <w:b/>
                <w:iCs/>
                <w:color w:val="000000"/>
                <w:sz w:val="24"/>
                <w:szCs w:val="24"/>
              </w:rPr>
              <w:t>日期</w:t>
            </w:r>
          </w:p>
        </w:tc>
        <w:tc>
          <w:tcPr>
            <w:tcW w:w="6938" w:type="dxa"/>
            <w:tcBorders>
              <w:top w:val="single" w:color="auto" w:sz="4" w:space="0"/>
              <w:left w:val="single" w:color="auto" w:sz="4" w:space="0"/>
              <w:bottom w:val="single" w:color="auto" w:sz="4" w:space="0"/>
              <w:right w:val="single" w:color="auto" w:sz="4" w:space="0"/>
            </w:tcBorders>
            <w:shd w:val="clear" w:color="auto" w:fill="auto"/>
          </w:tcPr>
          <w:p w14:paraId="017B46AB">
            <w:pPr>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sz w:val="24"/>
                <w:szCs w:val="24"/>
              </w:rPr>
              <w:t>202</w:t>
            </w:r>
            <w:r>
              <w:rPr>
                <w:rFonts w:hint="eastAsia" w:asciiTheme="minorEastAsia" w:hAnsiTheme="minorEastAsia" w:eastAsiaTheme="minorEastAsia"/>
                <w:bCs/>
                <w:iCs/>
                <w:sz w:val="24"/>
                <w:szCs w:val="24"/>
                <w:lang w:val="en-US" w:eastAsia="zh-CN"/>
              </w:rPr>
              <w:t>6</w:t>
            </w:r>
            <w:r>
              <w:rPr>
                <w:rFonts w:hint="eastAsia" w:asciiTheme="minorEastAsia" w:hAnsiTheme="minorEastAsia" w:eastAsiaTheme="minorEastAsia"/>
                <w:bCs/>
                <w:iCs/>
                <w:sz w:val="24"/>
                <w:szCs w:val="24"/>
              </w:rPr>
              <w:t>年</w:t>
            </w:r>
            <w:r>
              <w:rPr>
                <w:rFonts w:hint="eastAsia" w:asciiTheme="minorEastAsia" w:hAnsiTheme="minorEastAsia" w:eastAsiaTheme="minorEastAsia"/>
                <w:bCs/>
                <w:iCs/>
                <w:sz w:val="24"/>
                <w:szCs w:val="24"/>
                <w:lang w:val="en-US" w:eastAsia="zh-CN"/>
              </w:rPr>
              <w:t>6</w:t>
            </w:r>
            <w:r>
              <w:rPr>
                <w:rFonts w:hint="eastAsia" w:asciiTheme="minorEastAsia" w:hAnsiTheme="minorEastAsia" w:eastAsiaTheme="minorEastAsia"/>
                <w:bCs/>
                <w:iCs/>
                <w:sz w:val="24"/>
                <w:szCs w:val="24"/>
              </w:rPr>
              <w:t>月</w:t>
            </w:r>
            <w:r>
              <w:rPr>
                <w:rFonts w:hint="eastAsia" w:asciiTheme="minorEastAsia" w:hAnsiTheme="minorEastAsia" w:eastAsiaTheme="minorEastAsia"/>
                <w:bCs/>
                <w:iCs/>
                <w:sz w:val="24"/>
                <w:szCs w:val="24"/>
                <w:lang w:val="en-US" w:eastAsia="zh-CN"/>
              </w:rPr>
              <w:t>8</w:t>
            </w:r>
            <w:r>
              <w:rPr>
                <w:rFonts w:hint="eastAsia" w:asciiTheme="minorEastAsia" w:hAnsiTheme="minorEastAsia" w:eastAsiaTheme="minorEastAsia"/>
                <w:bCs/>
                <w:iCs/>
                <w:sz w:val="24"/>
                <w:szCs w:val="24"/>
              </w:rPr>
              <w:t>日</w:t>
            </w:r>
          </w:p>
        </w:tc>
      </w:tr>
    </w:tbl>
    <w:p w14:paraId="583F9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zZmMwOGU4ZTM0ZWQyNDQyNDc3MzkzY2VlNzhhZjQifQ=="/>
    <w:docVar w:name="KSO_WPS_MARK_KEY" w:val="232fd93d-6816-4124-b19d-64006ffbba8f"/>
  </w:docVars>
  <w:rsids>
    <w:rsidRoot w:val="4832659F"/>
    <w:rsid w:val="0012365C"/>
    <w:rsid w:val="002E2C9B"/>
    <w:rsid w:val="003143D5"/>
    <w:rsid w:val="00350524"/>
    <w:rsid w:val="00467149"/>
    <w:rsid w:val="00470F63"/>
    <w:rsid w:val="00582A54"/>
    <w:rsid w:val="00682EDC"/>
    <w:rsid w:val="00790A93"/>
    <w:rsid w:val="00826230"/>
    <w:rsid w:val="00927B95"/>
    <w:rsid w:val="009A0EE5"/>
    <w:rsid w:val="00B07329"/>
    <w:rsid w:val="00B47BA3"/>
    <w:rsid w:val="00B62DF1"/>
    <w:rsid w:val="00C036E0"/>
    <w:rsid w:val="00C558CA"/>
    <w:rsid w:val="00CA0D84"/>
    <w:rsid w:val="00DD5494"/>
    <w:rsid w:val="00E4170F"/>
    <w:rsid w:val="00E73E3B"/>
    <w:rsid w:val="00E9213B"/>
    <w:rsid w:val="01892DBF"/>
    <w:rsid w:val="02A72159"/>
    <w:rsid w:val="032955E8"/>
    <w:rsid w:val="03811033"/>
    <w:rsid w:val="03A85425"/>
    <w:rsid w:val="06521820"/>
    <w:rsid w:val="080A69CA"/>
    <w:rsid w:val="092C54F6"/>
    <w:rsid w:val="096B3EFB"/>
    <w:rsid w:val="098B2462"/>
    <w:rsid w:val="0C0A7D7F"/>
    <w:rsid w:val="0C474148"/>
    <w:rsid w:val="0C480560"/>
    <w:rsid w:val="0D3832E2"/>
    <w:rsid w:val="0E723A52"/>
    <w:rsid w:val="107E3331"/>
    <w:rsid w:val="10D33DA9"/>
    <w:rsid w:val="11401B02"/>
    <w:rsid w:val="11B42641"/>
    <w:rsid w:val="12A85AF3"/>
    <w:rsid w:val="13902545"/>
    <w:rsid w:val="1542063E"/>
    <w:rsid w:val="15A32223"/>
    <w:rsid w:val="15CC380C"/>
    <w:rsid w:val="16F2086E"/>
    <w:rsid w:val="18680E8B"/>
    <w:rsid w:val="1B58445D"/>
    <w:rsid w:val="1BFC6750"/>
    <w:rsid w:val="1D795467"/>
    <w:rsid w:val="1E501C47"/>
    <w:rsid w:val="1FEA75E9"/>
    <w:rsid w:val="22F71095"/>
    <w:rsid w:val="234376DB"/>
    <w:rsid w:val="24087836"/>
    <w:rsid w:val="247E20E7"/>
    <w:rsid w:val="27392065"/>
    <w:rsid w:val="288C1F91"/>
    <w:rsid w:val="289C7CAD"/>
    <w:rsid w:val="28E33806"/>
    <w:rsid w:val="297728A6"/>
    <w:rsid w:val="298C7903"/>
    <w:rsid w:val="2A632F05"/>
    <w:rsid w:val="2B7C6EB4"/>
    <w:rsid w:val="2BBA3D30"/>
    <w:rsid w:val="2C36153F"/>
    <w:rsid w:val="2ED80007"/>
    <w:rsid w:val="2F8166FA"/>
    <w:rsid w:val="31BF4323"/>
    <w:rsid w:val="321E1594"/>
    <w:rsid w:val="32962052"/>
    <w:rsid w:val="33891202"/>
    <w:rsid w:val="33D3177D"/>
    <w:rsid w:val="35604526"/>
    <w:rsid w:val="3579416E"/>
    <w:rsid w:val="362949FA"/>
    <w:rsid w:val="362F0D66"/>
    <w:rsid w:val="365E3A65"/>
    <w:rsid w:val="378D33CA"/>
    <w:rsid w:val="388166EA"/>
    <w:rsid w:val="38D162E7"/>
    <w:rsid w:val="390D4C60"/>
    <w:rsid w:val="394F0285"/>
    <w:rsid w:val="39FA615A"/>
    <w:rsid w:val="3A626E2A"/>
    <w:rsid w:val="3A716B68"/>
    <w:rsid w:val="3AE24BAA"/>
    <w:rsid w:val="3AF01E3A"/>
    <w:rsid w:val="3B8C2286"/>
    <w:rsid w:val="40520794"/>
    <w:rsid w:val="406377FC"/>
    <w:rsid w:val="40B448A5"/>
    <w:rsid w:val="41A55F80"/>
    <w:rsid w:val="42137F30"/>
    <w:rsid w:val="42480385"/>
    <w:rsid w:val="437D7E59"/>
    <w:rsid w:val="44262B45"/>
    <w:rsid w:val="45AD45AD"/>
    <w:rsid w:val="46054AED"/>
    <w:rsid w:val="46464E24"/>
    <w:rsid w:val="46466974"/>
    <w:rsid w:val="47F768FB"/>
    <w:rsid w:val="483052A4"/>
    <w:rsid w:val="4832149E"/>
    <w:rsid w:val="4832659F"/>
    <w:rsid w:val="488F270D"/>
    <w:rsid w:val="4972708D"/>
    <w:rsid w:val="498719BE"/>
    <w:rsid w:val="4A253068"/>
    <w:rsid w:val="4A732E35"/>
    <w:rsid w:val="4C175619"/>
    <w:rsid w:val="4CB85809"/>
    <w:rsid w:val="4CE000E4"/>
    <w:rsid w:val="4DE4092E"/>
    <w:rsid w:val="4DF27420"/>
    <w:rsid w:val="4DFF1F42"/>
    <w:rsid w:val="4E9C1B4B"/>
    <w:rsid w:val="4F796D30"/>
    <w:rsid w:val="4F9464B9"/>
    <w:rsid w:val="506F6AFA"/>
    <w:rsid w:val="53077A03"/>
    <w:rsid w:val="543B0BDF"/>
    <w:rsid w:val="555B4975"/>
    <w:rsid w:val="55E4432E"/>
    <w:rsid w:val="55F54D13"/>
    <w:rsid w:val="55F73A99"/>
    <w:rsid w:val="580D2D0A"/>
    <w:rsid w:val="59D062E8"/>
    <w:rsid w:val="5B414448"/>
    <w:rsid w:val="5BE0024D"/>
    <w:rsid w:val="5D3B2012"/>
    <w:rsid w:val="5E8C3858"/>
    <w:rsid w:val="5F41229A"/>
    <w:rsid w:val="5F727C38"/>
    <w:rsid w:val="604103BE"/>
    <w:rsid w:val="60AF55FF"/>
    <w:rsid w:val="60BE089C"/>
    <w:rsid w:val="62A03D40"/>
    <w:rsid w:val="63C20E58"/>
    <w:rsid w:val="63F47DD9"/>
    <w:rsid w:val="64DA7669"/>
    <w:rsid w:val="65841E74"/>
    <w:rsid w:val="65871A13"/>
    <w:rsid w:val="6624407A"/>
    <w:rsid w:val="66B904B4"/>
    <w:rsid w:val="6758161D"/>
    <w:rsid w:val="679C6BCD"/>
    <w:rsid w:val="68727A48"/>
    <w:rsid w:val="6C2A529D"/>
    <w:rsid w:val="6D9A0E07"/>
    <w:rsid w:val="6DAB276F"/>
    <w:rsid w:val="6F590FC7"/>
    <w:rsid w:val="6F792572"/>
    <w:rsid w:val="6FCC7FFC"/>
    <w:rsid w:val="70CF7303"/>
    <w:rsid w:val="71127CFF"/>
    <w:rsid w:val="7343262D"/>
    <w:rsid w:val="737869DF"/>
    <w:rsid w:val="73DB710C"/>
    <w:rsid w:val="746863A8"/>
    <w:rsid w:val="77CF5D00"/>
    <w:rsid w:val="781047D4"/>
    <w:rsid w:val="794527BE"/>
    <w:rsid w:val="7A146390"/>
    <w:rsid w:val="7ACD7534"/>
    <w:rsid w:val="7C61105B"/>
    <w:rsid w:val="7CB77A73"/>
    <w:rsid w:val="7D3E41E0"/>
    <w:rsid w:val="7F473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页眉 字符"/>
    <w:basedOn w:val="9"/>
    <w:link w:val="6"/>
    <w:qFormat/>
    <w:uiPriority w:val="0"/>
    <w:rPr>
      <w:rFonts w:ascii="Times New Roman" w:hAnsi="Times New Roman" w:eastAsia="宋体" w:cs="Times New Roman"/>
      <w:kern w:val="2"/>
      <w:sz w:val="18"/>
      <w:szCs w:val="18"/>
    </w:rPr>
  </w:style>
  <w:style w:type="character" w:customStyle="1" w:styleId="11">
    <w:name w:val="页脚 字符"/>
    <w:basedOn w:val="9"/>
    <w:link w:val="5"/>
    <w:qFormat/>
    <w:uiPriority w:val="0"/>
    <w:rPr>
      <w:rFonts w:ascii="Times New Roman" w:hAnsi="Times New Roman" w:eastAsia="宋体" w:cs="Times New Roman"/>
      <w:kern w:val="2"/>
      <w:sz w:val="18"/>
      <w:szCs w:val="18"/>
    </w:rPr>
  </w:style>
  <w:style w:type="character" w:customStyle="1" w:styleId="12">
    <w:name w:val="批注框文本 字符"/>
    <w:basedOn w:val="9"/>
    <w:link w:val="4"/>
    <w:qFormat/>
    <w:uiPriority w:val="0"/>
    <w:rPr>
      <w:kern w:val="2"/>
      <w:sz w:val="18"/>
      <w:szCs w:val="18"/>
    </w:rPr>
  </w:style>
  <w:style w:type="paragraph" w:customStyle="1" w:styleId="13">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2092</Words>
  <Characters>2195</Characters>
  <Lines>9</Lines>
  <Paragraphs>2</Paragraphs>
  <TotalTime>116</TotalTime>
  <ScaleCrop>false</ScaleCrop>
  <LinksUpToDate>false</LinksUpToDate>
  <CharactersWithSpaces>3299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2022-12-06T08:33:00Z</dcterms:created>
  <dc:creator>赵冠双</dc:creator>
  <cp:lastModifiedBy>YM</cp:lastModifiedBy>
  <dcterms:modified xsi:type="dcterms:W3CDTF">2026-06-08T10:26:07Z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DDE6767D4AFF4470ACC5F2279215C4E5_13</vt:lpwstr>
  </property>
  <property fmtid="{D5CDD505-2E9C-101B-9397-08002B2CF9AE}" pid="4" name="KSOTemplateDocerSaveRecord">
    <vt:lpwstr>eyJoZGlkIjoiODAwODk0ZjlkZTQ2YjJhMDkwZjY4YTc2YzYxM2Q3YjAiLCJ1c2VySWQiOiIzNDc5NzIyNjAifQ==</vt:lpwstr>
  </property>
</Properties>
</file>