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D8262">
      <w:pPr>
        <w:pStyle w:val="2"/>
        <w:jc w:val="center"/>
      </w:pPr>
      <w:r>
        <w:rPr>
          <w:rFonts w:hint="eastAsia"/>
        </w:rPr>
        <w:t>重庆望变电气（集团）股份有限公司</w:t>
      </w:r>
    </w:p>
    <w:p w14:paraId="5C84B441">
      <w:pPr>
        <w:pStyle w:val="2"/>
        <w:jc w:val="center"/>
      </w:pPr>
      <w:r>
        <w:rPr>
          <w:rFonts w:hint="eastAsia"/>
        </w:rPr>
        <w:t>投资者关系活动记录表</w:t>
      </w:r>
    </w:p>
    <w:tbl>
      <w:tblPr>
        <w:tblStyle w:val="13"/>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3637"/>
        <w:gridCol w:w="3025"/>
      </w:tblGrid>
      <w:tr w14:paraId="74CF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1792" w:type="dxa"/>
            <w:tcBorders>
              <w:right w:val="single" w:color="auto" w:sz="4" w:space="0"/>
            </w:tcBorders>
          </w:tcPr>
          <w:p w14:paraId="0EB86811">
            <w:pPr>
              <w:spacing w:line="360" w:lineRule="auto"/>
              <w:jc w:val="left"/>
              <w:rPr>
                <w:b/>
                <w:bCs/>
                <w:color w:val="auto"/>
                <w:sz w:val="24"/>
                <w:szCs w:val="32"/>
                <w:highlight w:val="none"/>
              </w:rPr>
            </w:pPr>
          </w:p>
          <w:p w14:paraId="2A382576">
            <w:pPr>
              <w:spacing w:line="360" w:lineRule="auto"/>
              <w:jc w:val="left"/>
              <w:rPr>
                <w:b/>
                <w:bCs/>
                <w:color w:val="auto"/>
                <w:sz w:val="24"/>
                <w:szCs w:val="32"/>
                <w:highlight w:val="none"/>
              </w:rPr>
            </w:pPr>
          </w:p>
          <w:p w14:paraId="2EAACB24">
            <w:pPr>
              <w:spacing w:line="360" w:lineRule="auto"/>
              <w:jc w:val="left"/>
              <w:rPr>
                <w:b/>
                <w:bCs/>
                <w:color w:val="auto"/>
                <w:sz w:val="24"/>
                <w:szCs w:val="32"/>
                <w:highlight w:val="none"/>
              </w:rPr>
            </w:pPr>
          </w:p>
          <w:p w14:paraId="5C275665">
            <w:pPr>
              <w:spacing w:line="360" w:lineRule="auto"/>
              <w:jc w:val="left"/>
              <w:rPr>
                <w:b/>
                <w:bCs/>
                <w:color w:val="auto"/>
                <w:sz w:val="24"/>
                <w:szCs w:val="32"/>
                <w:highlight w:val="none"/>
              </w:rPr>
            </w:pPr>
            <w:r>
              <w:rPr>
                <w:rFonts w:hint="eastAsia" w:ascii="仿宋" w:hAnsi="仿宋" w:eastAsia="仿宋" w:cs="仿宋"/>
                <w:b/>
                <w:bCs/>
                <w:color w:val="auto"/>
                <w:spacing w:val="-2"/>
                <w:sz w:val="28"/>
                <w:szCs w:val="28"/>
                <w:highlight w:val="none"/>
              </w:rPr>
              <w:t>投资者关系活动类别</w:t>
            </w:r>
          </w:p>
        </w:tc>
        <w:tc>
          <w:tcPr>
            <w:tcW w:w="3637" w:type="dxa"/>
            <w:tcBorders>
              <w:top w:val="single" w:color="auto" w:sz="4" w:space="0"/>
              <w:left w:val="single" w:color="auto" w:sz="4" w:space="0"/>
              <w:bottom w:val="single" w:color="auto" w:sz="4" w:space="0"/>
              <w:right w:val="nil"/>
            </w:tcBorders>
          </w:tcPr>
          <w:p w14:paraId="0B6D964B">
            <w:pPr>
              <w:spacing w:before="57"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6"/>
                <w:position w:val="7"/>
                <w:sz w:val="28"/>
                <w:szCs w:val="28"/>
                <w:highlight w:val="none"/>
              </w:rPr>
              <w:t>特定对象调</w:t>
            </w:r>
            <w:r>
              <w:rPr>
                <w:rFonts w:hint="eastAsia" w:ascii="仿宋" w:hAnsi="仿宋" w:eastAsia="仿宋" w:cs="仿宋"/>
                <w:color w:val="auto"/>
                <w:spacing w:val="5"/>
                <w:position w:val="7"/>
                <w:sz w:val="28"/>
                <w:szCs w:val="28"/>
                <w:highlight w:val="none"/>
              </w:rPr>
              <w:t>研</w:t>
            </w:r>
          </w:p>
          <w:p w14:paraId="05A9B204">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4"/>
                <w:sz w:val="28"/>
                <w:szCs w:val="28"/>
                <w:highlight w:val="none"/>
              </w:rPr>
              <w:t>媒体采访</w:t>
            </w:r>
          </w:p>
          <w:p w14:paraId="55F200C6">
            <w:pPr>
              <w:spacing w:before="66"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5"/>
                <w:sz w:val="28"/>
                <w:szCs w:val="28"/>
                <w:highlight w:val="none"/>
              </w:rPr>
              <w:t>新闻发布会</w:t>
            </w:r>
          </w:p>
          <w:p w14:paraId="7DBF0E91">
            <w:pPr>
              <w:spacing w:before="69"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52"/>
            </w:r>
            <w:r>
              <w:rPr>
                <w:rFonts w:hint="eastAsia" w:ascii="仿宋" w:hAnsi="仿宋" w:eastAsia="仿宋" w:cs="仿宋"/>
                <w:color w:val="auto"/>
                <w:spacing w:val="4"/>
                <w:sz w:val="28"/>
                <w:szCs w:val="28"/>
                <w:highlight w:val="none"/>
              </w:rPr>
              <w:t>现场参观</w:t>
            </w:r>
          </w:p>
          <w:p w14:paraId="4336676C">
            <w:pPr>
              <w:spacing w:before="69" w:line="360" w:lineRule="auto"/>
              <w:jc w:val="left"/>
              <w:rPr>
                <w:rFonts w:eastAsia="仿宋"/>
                <w:color w:val="auto"/>
                <w:highlight w:val="none"/>
              </w:rPr>
            </w:pPr>
            <w:r>
              <w:rPr>
                <w:rFonts w:hint="eastAsia" w:ascii="仿宋" w:hAnsi="仿宋" w:eastAsia="仿宋" w:cs="仿宋"/>
                <w:color w:val="auto"/>
                <w:spacing w:val="5"/>
                <w:sz w:val="28"/>
                <w:szCs w:val="28"/>
                <w:highlight w:val="none"/>
              </w:rPr>
              <w:sym w:font="Wingdings 2" w:char="0052"/>
            </w:r>
            <w:r>
              <w:rPr>
                <w:rFonts w:hint="eastAsia" w:ascii="仿宋" w:hAnsi="仿宋" w:eastAsia="仿宋" w:cs="仿宋"/>
                <w:color w:val="auto"/>
                <w:spacing w:val="4"/>
                <w:sz w:val="28"/>
                <w:szCs w:val="28"/>
                <w:highlight w:val="none"/>
              </w:rPr>
              <w:t>其他</w:t>
            </w:r>
          </w:p>
        </w:tc>
        <w:tc>
          <w:tcPr>
            <w:tcW w:w="3025" w:type="dxa"/>
            <w:tcBorders>
              <w:top w:val="single" w:color="auto" w:sz="4" w:space="0"/>
              <w:left w:val="nil"/>
              <w:bottom w:val="single" w:color="auto" w:sz="4" w:space="0"/>
              <w:right w:val="single" w:color="auto" w:sz="4" w:space="0"/>
            </w:tcBorders>
          </w:tcPr>
          <w:p w14:paraId="3FCFFB82">
            <w:pPr>
              <w:spacing w:before="57"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5"/>
                <w:position w:val="7"/>
                <w:sz w:val="28"/>
                <w:szCs w:val="28"/>
                <w:highlight w:val="none"/>
              </w:rPr>
              <w:t>分析师会议</w:t>
            </w:r>
          </w:p>
          <w:p w14:paraId="1350F0A4">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5"/>
                <w:sz w:val="28"/>
                <w:szCs w:val="28"/>
                <w:highlight w:val="none"/>
              </w:rPr>
              <w:t>业绩说明会</w:t>
            </w:r>
          </w:p>
          <w:p w14:paraId="325ACA73">
            <w:pPr>
              <w:spacing w:before="69" w:line="360" w:lineRule="auto"/>
              <w:jc w:val="left"/>
              <w:rPr>
                <w:rFonts w:hint="eastAsia" w:ascii="仿宋" w:hAnsi="仿宋" w:eastAsia="仿宋" w:cs="仿宋"/>
                <w:color w:val="auto"/>
                <w:sz w:val="28"/>
                <w:szCs w:val="28"/>
                <w:highlight w:val="none"/>
              </w:rPr>
            </w:pPr>
            <w:bookmarkStart w:id="3" w:name="_GoBack"/>
            <w:bookmarkEnd w:id="3"/>
            <w:r>
              <w:rPr>
                <w:rFonts w:hint="eastAsia" w:ascii="仿宋" w:hAnsi="仿宋" w:eastAsia="仿宋" w:cs="仿宋"/>
                <w:color w:val="auto"/>
                <w:spacing w:val="5"/>
                <w:sz w:val="28"/>
                <w:szCs w:val="28"/>
                <w:highlight w:val="none"/>
              </w:rPr>
              <w:sym w:font="Wingdings 2" w:char="0052"/>
            </w:r>
            <w:r>
              <w:rPr>
                <w:rFonts w:hint="eastAsia" w:ascii="仿宋" w:hAnsi="仿宋" w:eastAsia="仿宋" w:cs="仿宋"/>
                <w:color w:val="auto"/>
                <w:spacing w:val="4"/>
                <w:sz w:val="28"/>
                <w:szCs w:val="28"/>
                <w:highlight w:val="none"/>
              </w:rPr>
              <w:t>路演活动</w:t>
            </w:r>
          </w:p>
          <w:p w14:paraId="4CB7E635">
            <w:pPr>
              <w:spacing w:line="360" w:lineRule="auto"/>
              <w:jc w:val="left"/>
              <w:rPr>
                <w:color w:val="auto"/>
                <w:highlight w:val="none"/>
              </w:rPr>
            </w:pPr>
            <w:r>
              <w:rPr>
                <w:rFonts w:hint="eastAsia" w:ascii="仿宋" w:hAnsi="仿宋" w:eastAsia="仿宋" w:cs="仿宋"/>
                <w:color w:val="auto"/>
                <w:spacing w:val="5"/>
                <w:sz w:val="28"/>
                <w:szCs w:val="28"/>
                <w:highlight w:val="none"/>
              </w:rPr>
              <w:sym w:font="Wingdings 2" w:char="00A3"/>
            </w:r>
            <w:r>
              <w:rPr>
                <w:rFonts w:hint="eastAsia" w:ascii="仿宋" w:hAnsi="仿宋" w:eastAsia="仿宋" w:cs="仿宋"/>
                <w:color w:val="auto"/>
                <w:spacing w:val="5"/>
                <w:sz w:val="28"/>
                <w:szCs w:val="28"/>
                <w:highlight w:val="none"/>
              </w:rPr>
              <w:t>电话调研</w:t>
            </w:r>
          </w:p>
        </w:tc>
      </w:tr>
      <w:tr w14:paraId="4B68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92" w:type="dxa"/>
          </w:tcPr>
          <w:p w14:paraId="170C01EB">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调研人员（单位）</w:t>
            </w:r>
          </w:p>
        </w:tc>
        <w:tc>
          <w:tcPr>
            <w:tcW w:w="6662" w:type="dxa"/>
            <w:gridSpan w:val="2"/>
            <w:tcBorders>
              <w:top w:val="single" w:color="auto" w:sz="4" w:space="0"/>
            </w:tcBorders>
            <w:vAlign w:val="center"/>
          </w:tcPr>
          <w:p w14:paraId="02603B55">
            <w:pPr>
              <w:widowControl/>
              <w:jc w:val="left"/>
              <w:textAlignment w:val="center"/>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财通证券</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博时基金</w:t>
            </w:r>
            <w:r>
              <w:rPr>
                <w:rFonts w:hint="eastAsia" w:ascii="宋体" w:hAnsi="宋体" w:eastAsia="宋体" w:cs="宋体"/>
                <w:color w:val="auto"/>
                <w:kern w:val="0"/>
                <w:sz w:val="28"/>
                <w:szCs w:val="28"/>
                <w:highlight w:val="none"/>
                <w:lang w:val="en-US" w:eastAsia="zh-CN" w:bidi="ar"/>
              </w:rPr>
              <w:t xml:space="preserve"> 长城证券 </w:t>
            </w:r>
            <w:r>
              <w:rPr>
                <w:rFonts w:hint="eastAsia" w:ascii="宋体" w:hAnsi="宋体" w:eastAsia="宋体" w:cs="宋体"/>
                <w:color w:val="auto"/>
                <w:kern w:val="0"/>
                <w:sz w:val="28"/>
                <w:szCs w:val="28"/>
                <w:highlight w:val="none"/>
                <w:lang w:bidi="ar"/>
              </w:rPr>
              <w:t>富国基金 永嬴基金</w:t>
            </w:r>
          </w:p>
          <w:p w14:paraId="4A9249AD">
            <w:pPr>
              <w:widowControl/>
              <w:jc w:val="left"/>
              <w:textAlignment w:val="center"/>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东方红基金</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兴证全球基金</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中银基金</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华泰资产</w:t>
            </w:r>
          </w:p>
          <w:p w14:paraId="762866B7">
            <w:pPr>
              <w:widowControl/>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国金基金 瑞银集团</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浙商资管 北京中港融鑫 磐泽资产 鑫融长弘 草本投资 华西投资 太平基金 浩成资产 财达资管 通乾投资</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大成基金</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浦银基金</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华泰柏瑞</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心办家办 方正富邦 国源信达 澄源投资 中欧基金</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平安养老</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鹏华基金</w:t>
            </w: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中欧基金</w:t>
            </w:r>
            <w:r>
              <w:rPr>
                <w:rFonts w:hint="eastAsia" w:ascii="宋体" w:hAnsi="宋体" w:eastAsia="宋体" w:cs="宋体"/>
                <w:color w:val="auto"/>
                <w:kern w:val="0"/>
                <w:sz w:val="28"/>
                <w:szCs w:val="28"/>
                <w:highlight w:val="none"/>
                <w:lang w:val="en-US" w:eastAsia="zh-CN" w:bidi="ar"/>
              </w:rPr>
              <w:t xml:space="preserve"> 上海慎知资管 </w:t>
            </w:r>
            <w:r>
              <w:rPr>
                <w:rFonts w:hint="eastAsia" w:ascii="宋体" w:hAnsi="宋体" w:eastAsia="宋体" w:cs="宋体"/>
                <w:color w:val="auto"/>
                <w:kern w:val="0"/>
                <w:sz w:val="28"/>
                <w:szCs w:val="28"/>
                <w:highlight w:val="none"/>
                <w:lang w:bidi="ar"/>
              </w:rPr>
              <w:t>辰峰投资 深圳大盘手资管 摩码新材料投资</w:t>
            </w:r>
          </w:p>
        </w:tc>
      </w:tr>
      <w:tr w14:paraId="080E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92" w:type="dxa"/>
          </w:tcPr>
          <w:p w14:paraId="46FE9035">
            <w:pPr>
              <w:spacing w:line="360" w:lineRule="auto"/>
              <w:jc w:val="left"/>
              <w:rPr>
                <w:rFonts w:hint="eastAsia" w:ascii="仿宋" w:hAnsi="仿宋" w:eastAsia="仿宋" w:cs="仿宋"/>
                <w:b/>
                <w:bCs/>
                <w:color w:val="auto"/>
                <w:spacing w:val="-2"/>
                <w:sz w:val="28"/>
                <w:szCs w:val="28"/>
                <w:highlight w:val="none"/>
              </w:rPr>
            </w:pPr>
            <w:r>
              <w:rPr>
                <w:rFonts w:hint="eastAsia" w:ascii="仿宋" w:hAnsi="仿宋" w:eastAsia="仿宋" w:cs="仿宋"/>
                <w:b/>
                <w:bCs/>
                <w:color w:val="auto"/>
                <w:spacing w:val="-2"/>
                <w:sz w:val="28"/>
                <w:szCs w:val="28"/>
                <w:highlight w:val="none"/>
              </w:rPr>
              <w:t>调研时间</w:t>
            </w:r>
          </w:p>
        </w:tc>
        <w:tc>
          <w:tcPr>
            <w:tcW w:w="6662" w:type="dxa"/>
            <w:gridSpan w:val="2"/>
          </w:tcPr>
          <w:p w14:paraId="745F7B30">
            <w:pPr>
              <w:spacing w:line="360" w:lineRule="auto"/>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2026年</w:t>
            </w:r>
            <w:r>
              <w:rPr>
                <w:rFonts w:hint="eastAsia" w:ascii="仿宋" w:hAnsi="仿宋" w:eastAsia="仿宋" w:cs="仿宋"/>
                <w:color w:val="auto"/>
                <w:spacing w:val="-2"/>
                <w:sz w:val="28"/>
                <w:szCs w:val="28"/>
                <w:highlight w:val="none"/>
                <w:lang w:val="en-US" w:eastAsia="zh-CN"/>
              </w:rPr>
              <w:t>5</w:t>
            </w:r>
            <w:r>
              <w:rPr>
                <w:rFonts w:hint="eastAsia" w:ascii="仿宋" w:hAnsi="仿宋" w:eastAsia="仿宋" w:cs="仿宋"/>
                <w:color w:val="auto"/>
                <w:spacing w:val="-2"/>
                <w:sz w:val="28"/>
                <w:szCs w:val="28"/>
                <w:highlight w:val="none"/>
              </w:rPr>
              <w:t>月</w:t>
            </w:r>
            <w:r>
              <w:rPr>
                <w:rFonts w:hint="eastAsia" w:ascii="仿宋" w:hAnsi="仿宋" w:eastAsia="仿宋" w:cs="仿宋"/>
                <w:color w:val="auto"/>
                <w:spacing w:val="-2"/>
                <w:sz w:val="28"/>
                <w:szCs w:val="28"/>
                <w:highlight w:val="none"/>
                <w:lang w:val="en-US" w:eastAsia="zh-CN"/>
              </w:rPr>
              <w:t>6</w:t>
            </w:r>
            <w:r>
              <w:rPr>
                <w:rFonts w:hint="eastAsia" w:ascii="仿宋" w:hAnsi="仿宋" w:eastAsia="仿宋" w:cs="仿宋"/>
                <w:color w:val="auto"/>
                <w:spacing w:val="-2"/>
                <w:sz w:val="28"/>
                <w:szCs w:val="28"/>
                <w:highlight w:val="none"/>
              </w:rPr>
              <w:t>日-2026年</w:t>
            </w:r>
            <w:r>
              <w:rPr>
                <w:rFonts w:hint="eastAsia" w:ascii="仿宋" w:hAnsi="仿宋" w:eastAsia="仿宋" w:cs="仿宋"/>
                <w:color w:val="auto"/>
                <w:spacing w:val="-2"/>
                <w:sz w:val="28"/>
                <w:szCs w:val="28"/>
                <w:highlight w:val="none"/>
                <w:lang w:val="en-US" w:eastAsia="zh-CN"/>
              </w:rPr>
              <w:t>6</w:t>
            </w:r>
            <w:r>
              <w:rPr>
                <w:rFonts w:hint="eastAsia" w:ascii="仿宋" w:hAnsi="仿宋" w:eastAsia="仿宋" w:cs="仿宋"/>
                <w:color w:val="auto"/>
                <w:spacing w:val="-2"/>
                <w:sz w:val="28"/>
                <w:szCs w:val="28"/>
                <w:highlight w:val="none"/>
              </w:rPr>
              <w:t>月</w:t>
            </w:r>
            <w:r>
              <w:rPr>
                <w:rFonts w:hint="eastAsia" w:ascii="仿宋" w:hAnsi="仿宋" w:eastAsia="仿宋" w:cs="仿宋"/>
                <w:color w:val="auto"/>
                <w:spacing w:val="-2"/>
                <w:sz w:val="28"/>
                <w:szCs w:val="28"/>
                <w:highlight w:val="none"/>
                <w:lang w:val="en-US" w:eastAsia="zh-CN"/>
              </w:rPr>
              <w:t>5</w:t>
            </w:r>
            <w:r>
              <w:rPr>
                <w:rFonts w:hint="eastAsia" w:ascii="仿宋" w:hAnsi="仿宋" w:eastAsia="仿宋" w:cs="仿宋"/>
                <w:color w:val="auto"/>
                <w:spacing w:val="-2"/>
                <w:sz w:val="28"/>
                <w:szCs w:val="28"/>
                <w:highlight w:val="none"/>
              </w:rPr>
              <w:t>日</w:t>
            </w:r>
          </w:p>
        </w:tc>
      </w:tr>
      <w:tr w14:paraId="087B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792" w:type="dxa"/>
          </w:tcPr>
          <w:p w14:paraId="3AF40C88">
            <w:pPr>
              <w:spacing w:line="360" w:lineRule="auto"/>
              <w:jc w:val="left"/>
              <w:rPr>
                <w:rFonts w:hint="eastAsia" w:ascii="仿宋" w:hAnsi="仿宋" w:eastAsia="仿宋" w:cs="仿宋"/>
                <w:b/>
                <w:bCs/>
                <w:color w:val="auto"/>
                <w:spacing w:val="-2"/>
                <w:sz w:val="28"/>
                <w:szCs w:val="28"/>
                <w:highlight w:val="none"/>
              </w:rPr>
            </w:pPr>
            <w:r>
              <w:rPr>
                <w:rFonts w:hint="eastAsia" w:ascii="仿宋" w:hAnsi="仿宋" w:eastAsia="仿宋" w:cs="仿宋"/>
                <w:b/>
                <w:bCs/>
                <w:color w:val="auto"/>
                <w:spacing w:val="-2"/>
                <w:sz w:val="28"/>
                <w:szCs w:val="28"/>
                <w:highlight w:val="none"/>
              </w:rPr>
              <w:t>调研地点</w:t>
            </w:r>
          </w:p>
        </w:tc>
        <w:tc>
          <w:tcPr>
            <w:tcW w:w="6662" w:type="dxa"/>
            <w:gridSpan w:val="2"/>
          </w:tcPr>
          <w:p w14:paraId="7E169E60">
            <w:pPr>
              <w:spacing w:line="360" w:lineRule="auto"/>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线上、长寿、江北嘴</w:t>
            </w:r>
          </w:p>
        </w:tc>
      </w:tr>
      <w:tr w14:paraId="7C73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792" w:type="dxa"/>
          </w:tcPr>
          <w:p w14:paraId="7317562D">
            <w:pPr>
              <w:spacing w:line="360" w:lineRule="auto"/>
              <w:jc w:val="left"/>
              <w:rPr>
                <w:b/>
                <w:bCs/>
                <w:color w:val="auto"/>
                <w:sz w:val="24"/>
                <w:szCs w:val="32"/>
                <w:highlight w:val="none"/>
              </w:rPr>
            </w:pPr>
            <w:r>
              <w:rPr>
                <w:rFonts w:hint="eastAsia" w:ascii="仿宋" w:hAnsi="仿宋" w:eastAsia="仿宋" w:cs="仿宋"/>
                <w:b/>
                <w:bCs/>
                <w:color w:val="auto"/>
                <w:spacing w:val="-2"/>
                <w:sz w:val="28"/>
                <w:szCs w:val="28"/>
                <w:highlight w:val="none"/>
              </w:rPr>
              <w:t>上市公司接待人员</w:t>
            </w:r>
          </w:p>
        </w:tc>
        <w:tc>
          <w:tcPr>
            <w:tcW w:w="6662" w:type="dxa"/>
            <w:gridSpan w:val="2"/>
          </w:tcPr>
          <w:p w14:paraId="2985C6B6">
            <w:pPr>
              <w:spacing w:line="360" w:lineRule="auto"/>
              <w:jc w:val="left"/>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董秘、证券部相关人员</w:t>
            </w:r>
          </w:p>
        </w:tc>
      </w:tr>
      <w:tr w14:paraId="6540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2" w:type="dxa"/>
          </w:tcPr>
          <w:p w14:paraId="6B9F5B3B">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投资者关系活动主要内容</w:t>
            </w:r>
          </w:p>
        </w:tc>
        <w:tc>
          <w:tcPr>
            <w:tcW w:w="6662" w:type="dxa"/>
            <w:gridSpan w:val="2"/>
          </w:tcPr>
          <w:p w14:paraId="50668C27">
            <w:pPr>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1、</w:t>
            </w:r>
            <w:bookmarkStart w:id="0" w:name="OLE_LINK2"/>
            <w:r>
              <w:rPr>
                <w:rFonts w:hint="eastAsia" w:ascii="仿宋" w:hAnsi="仿宋" w:eastAsia="仿宋" w:cs="仿宋"/>
                <w:b/>
                <w:bCs/>
                <w:color w:val="auto"/>
                <w:sz w:val="28"/>
                <w:szCs w:val="28"/>
                <w:highlight w:val="none"/>
              </w:rPr>
              <w:t>2026年</w:t>
            </w:r>
            <w:bookmarkEnd w:id="0"/>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季度公司主营业务经营情况？</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答：2026年第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季度，公司输配电及控制设备业务总体呈稳定态势；取向硅钢业务</w:t>
            </w:r>
            <w:r>
              <w:rPr>
                <w:rFonts w:hint="eastAsia" w:ascii="仿宋" w:hAnsi="仿宋" w:eastAsia="仿宋" w:cs="仿宋"/>
                <w:color w:val="auto"/>
                <w:sz w:val="28"/>
                <w:szCs w:val="28"/>
                <w:highlight w:val="none"/>
                <w:lang w:val="en-US" w:eastAsia="zh-CN"/>
              </w:rPr>
              <w:t>未</w:t>
            </w:r>
            <w:r>
              <w:rPr>
                <w:rFonts w:hint="eastAsia" w:ascii="仿宋" w:hAnsi="仿宋" w:eastAsia="仿宋" w:cs="仿宋"/>
                <w:color w:val="auto"/>
                <w:sz w:val="28"/>
                <w:szCs w:val="28"/>
                <w:highlight w:val="none"/>
              </w:rPr>
              <w:t>有大幅度改善，</w:t>
            </w:r>
            <w:r>
              <w:rPr>
                <w:rFonts w:hint="eastAsia" w:ascii="仿宋" w:hAnsi="仿宋" w:eastAsia="仿宋" w:cs="仿宋"/>
                <w:color w:val="auto"/>
                <w:sz w:val="28"/>
                <w:szCs w:val="28"/>
                <w:highlight w:val="none"/>
                <w:lang w:val="en-US" w:eastAsia="zh-CN"/>
              </w:rPr>
              <w:t>预计</w:t>
            </w:r>
            <w:r>
              <w:rPr>
                <w:rFonts w:hint="eastAsia" w:ascii="仿宋" w:hAnsi="仿宋" w:eastAsia="仿宋" w:cs="仿宋"/>
                <w:color w:val="auto"/>
                <w:sz w:val="28"/>
                <w:szCs w:val="28"/>
                <w:highlight w:val="none"/>
              </w:rPr>
              <w:t>对公司利润有一定影响，公司八万吨高端磁性新材料项目高牌号产出占比的提升一定程度上缓解了部分利润压力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电动汽车充电业务板块，按项目规划积极开展</w:t>
            </w:r>
            <w:r>
              <w:rPr>
                <w:rFonts w:hint="eastAsia" w:ascii="仿宋" w:hAnsi="仿宋" w:eastAsia="仿宋" w:cs="仿宋"/>
                <w:color w:val="auto"/>
                <w:sz w:val="28"/>
                <w:szCs w:val="28"/>
                <w:highlight w:val="none"/>
                <w:lang w:eastAsia="zh-CN"/>
              </w:rPr>
              <w:t>场站投建运营，</w:t>
            </w:r>
            <w:r>
              <w:rPr>
                <w:rFonts w:hint="eastAsia" w:ascii="仿宋" w:hAnsi="仿宋" w:eastAsia="仿宋" w:cs="仿宋"/>
                <w:color w:val="auto"/>
                <w:sz w:val="28"/>
                <w:szCs w:val="28"/>
                <w:highlight w:val="none"/>
                <w:lang w:val="en-US" w:eastAsia="zh-CN"/>
              </w:rPr>
              <w:t>积极推进</w:t>
            </w:r>
            <w:r>
              <w:rPr>
                <w:rFonts w:hint="eastAsia" w:ascii="仿宋" w:hAnsi="仿宋" w:eastAsia="仿宋" w:cs="仿宋"/>
                <w:color w:val="auto"/>
                <w:sz w:val="28"/>
                <w:szCs w:val="28"/>
                <w:highlight w:val="none"/>
                <w:lang w:eastAsia="zh-CN"/>
              </w:rPr>
              <w:t>核心设备自产，</w:t>
            </w:r>
            <w:r>
              <w:rPr>
                <w:rFonts w:hint="eastAsia" w:ascii="仿宋" w:hAnsi="仿宋" w:eastAsia="仿宋" w:cs="仿宋"/>
                <w:color w:val="auto"/>
                <w:sz w:val="28"/>
                <w:szCs w:val="28"/>
                <w:highlight w:val="none"/>
                <w:lang w:val="en-US" w:eastAsia="zh-CN"/>
              </w:rPr>
              <w:t>促进</w:t>
            </w:r>
            <w:r>
              <w:rPr>
                <w:rFonts w:hint="eastAsia" w:ascii="仿宋" w:hAnsi="仿宋" w:eastAsia="仿宋" w:cs="仿宋"/>
                <w:color w:val="auto"/>
                <w:sz w:val="28"/>
                <w:szCs w:val="28"/>
                <w:highlight w:val="none"/>
                <w:lang w:eastAsia="zh-CN"/>
              </w:rPr>
              <w:t>产业链生态协同。</w:t>
            </w:r>
            <w:r>
              <w:rPr>
                <w:rFonts w:hint="eastAsia" w:ascii="仿宋" w:hAnsi="仿宋" w:eastAsia="仿宋" w:cs="仿宋"/>
                <w:color w:val="auto"/>
                <w:sz w:val="28"/>
                <w:szCs w:val="28"/>
                <w:highlight w:val="none"/>
              </w:rPr>
              <w:t>具体数据以公告为准。</w:t>
            </w:r>
            <w:r>
              <w:rPr>
                <w:rFonts w:hint="eastAsia" w:ascii="仿宋" w:hAnsi="仿宋" w:eastAsia="仿宋" w:cs="仿宋"/>
                <w:color w:val="auto"/>
                <w:sz w:val="28"/>
                <w:szCs w:val="28"/>
                <w:highlight w:val="none"/>
              </w:rPr>
              <w:br w:type="textWrapping"/>
            </w:r>
            <w:r>
              <w:rPr>
                <w:rFonts w:hint="eastAsia" w:ascii="仿宋" w:hAnsi="仿宋" w:eastAsia="仿宋" w:cs="仿宋"/>
                <w:b/>
                <w:bCs/>
                <w:color w:val="auto"/>
                <w:sz w:val="28"/>
                <w:szCs w:val="28"/>
                <w:highlight w:val="none"/>
              </w:rPr>
              <w:t>2、请问公司</w:t>
            </w:r>
            <w:r>
              <w:rPr>
                <w:rFonts w:hint="eastAsia" w:ascii="仿宋" w:hAnsi="仿宋" w:eastAsia="仿宋" w:cs="仿宋"/>
                <w:b/>
                <w:bCs/>
                <w:color w:val="auto"/>
                <w:sz w:val="28"/>
                <w:szCs w:val="28"/>
                <w:highlight w:val="none"/>
                <w:lang w:val="en-US" w:eastAsia="zh-CN"/>
              </w:rPr>
              <w:t>近期</w:t>
            </w:r>
            <w:r>
              <w:rPr>
                <w:rFonts w:hint="eastAsia" w:ascii="仿宋" w:hAnsi="仿宋" w:eastAsia="仿宋" w:cs="仿宋"/>
                <w:b/>
                <w:bCs/>
                <w:color w:val="auto"/>
                <w:sz w:val="28"/>
                <w:szCs w:val="28"/>
                <w:highlight w:val="none"/>
              </w:rPr>
              <w:t>海外业务的营收占比及同比增速具体是多少？海外订单的毛利率水平与国内业务相比是否更高，汇率波动对海外业务盈利的影响有多大？</w:t>
            </w:r>
          </w:p>
          <w:p w14:paraId="781303E5">
            <w:pPr>
              <w:jc w:val="left"/>
              <w:rPr>
                <w:rFonts w:hint="default" w:ascii="仿宋" w:hAnsi="仿宋" w:eastAsia="仿宋" w:cs="仿宋"/>
                <w:b/>
                <w:bCs/>
                <w:color w:val="auto"/>
                <w:sz w:val="28"/>
                <w:szCs w:val="28"/>
                <w:lang w:val="en-US" w:eastAsia="zh-CN"/>
              </w:rPr>
            </w:pPr>
            <w:r>
              <w:rPr>
                <w:rFonts w:hint="eastAsia" w:ascii="仿宋" w:hAnsi="仿宋" w:eastAsia="仿宋" w:cs="仿宋"/>
                <w:color w:val="auto"/>
                <w:sz w:val="28"/>
                <w:szCs w:val="28"/>
              </w:rPr>
              <w:t>答：</w:t>
            </w:r>
            <w:r>
              <w:rPr>
                <w:rFonts w:hint="eastAsia" w:ascii="仿宋" w:hAnsi="仿宋" w:eastAsia="仿宋" w:cs="仿宋"/>
                <w:color w:val="auto"/>
                <w:sz w:val="28"/>
                <w:szCs w:val="28"/>
                <w:lang w:val="en-US" w:eastAsia="zh-CN"/>
              </w:rPr>
              <w:t>2026年第</w:t>
            </w:r>
            <w:r>
              <w:rPr>
                <w:rFonts w:hint="eastAsia" w:ascii="仿宋" w:hAnsi="仿宋" w:eastAsia="仿宋" w:cs="仿宋"/>
                <w:color w:val="auto"/>
                <w:sz w:val="28"/>
                <w:szCs w:val="28"/>
                <w:highlight w:val="none"/>
                <w:lang w:val="en-US" w:eastAsia="zh-CN"/>
              </w:rPr>
              <w:t>一季度</w:t>
            </w:r>
            <w:r>
              <w:rPr>
                <w:rFonts w:hint="eastAsia" w:ascii="仿宋" w:hAnsi="仿宋" w:eastAsia="仿宋" w:cs="仿宋"/>
                <w:color w:val="auto"/>
                <w:sz w:val="28"/>
                <w:szCs w:val="28"/>
                <w:highlight w:val="none"/>
              </w:rPr>
              <w:t>，公司取向硅钢业务</w:t>
            </w:r>
            <w:r>
              <w:rPr>
                <w:rFonts w:hint="eastAsia" w:ascii="仿宋" w:hAnsi="仿宋" w:eastAsia="仿宋" w:cs="仿宋"/>
                <w:color w:val="auto"/>
                <w:sz w:val="28"/>
                <w:szCs w:val="28"/>
                <w:highlight w:val="none"/>
                <w:lang w:val="en-US" w:eastAsia="zh-CN"/>
              </w:rPr>
              <w:t>海外</w:t>
            </w:r>
            <w:r>
              <w:rPr>
                <w:rFonts w:hint="eastAsia" w:ascii="仿宋" w:hAnsi="仿宋" w:eastAsia="仿宋" w:cs="仿宋"/>
                <w:color w:val="auto"/>
                <w:sz w:val="28"/>
                <w:szCs w:val="28"/>
                <w:highlight w:val="none"/>
              </w:rPr>
              <w:t>订单较同期有增长</w:t>
            </w:r>
            <w:r>
              <w:rPr>
                <w:rFonts w:hint="eastAsia" w:ascii="仿宋" w:hAnsi="仿宋" w:eastAsia="仿宋" w:cs="仿宋"/>
                <w:color w:val="auto"/>
                <w:sz w:val="28"/>
                <w:szCs w:val="28"/>
              </w:rPr>
              <w:t>，变压器出口订单同比有较大增幅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发展规划，未来三年公司将重点提升海外业务占比。关于汇率风险，公司实时关注汇率变化情况，会结合公司资金需求、外汇需求、汇率趋势等多重因素决定外汇管理；同时公司有外汇套期保值手段可以运用。</w:t>
            </w:r>
            <w:r>
              <w:rPr>
                <w:rFonts w:hint="eastAsia" w:ascii="仿宋" w:hAnsi="仿宋" w:eastAsia="仿宋" w:cs="仿宋"/>
                <w:color w:val="auto"/>
                <w:sz w:val="28"/>
                <w:szCs w:val="28"/>
              </w:rPr>
              <w:br w:type="textWrapping"/>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、公司输配电及控制设备业务是否有海外新订单？2026年变压器出口订单预期是多少？</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答：公司产品订单运用区域已经覆盖南美洲、美国德克萨斯州、阿曼等地，以上订单参与项目均为数据中心项目。基于</w:t>
            </w:r>
            <w:r>
              <w:rPr>
                <w:rFonts w:hint="eastAsia" w:ascii="仿宋" w:hAnsi="仿宋" w:eastAsia="仿宋" w:cs="仿宋"/>
                <w:color w:val="auto"/>
                <w:sz w:val="28"/>
                <w:szCs w:val="28"/>
                <w:lang w:val="en-US" w:eastAsia="zh-CN"/>
              </w:rPr>
              <w:t>公司在</w:t>
            </w:r>
            <w:r>
              <w:rPr>
                <w:rFonts w:hint="eastAsia" w:ascii="仿宋" w:hAnsi="仿宋" w:eastAsia="仿宋" w:cs="仿宋"/>
                <w:color w:val="auto"/>
                <w:sz w:val="28"/>
                <w:szCs w:val="28"/>
              </w:rPr>
              <w:t>东南亚、中东、南亚的市场基础，</w:t>
            </w:r>
            <w:r>
              <w:rPr>
                <w:rFonts w:hint="eastAsia" w:ascii="仿宋" w:hAnsi="仿宋" w:eastAsia="仿宋" w:cs="仿宋"/>
                <w:b w:val="0"/>
                <w:bCs w:val="0"/>
                <w:color w:val="auto"/>
                <w:sz w:val="28"/>
                <w:szCs w:val="28"/>
                <w:highlight w:val="none"/>
              </w:rPr>
              <w:t>以及现有欧洲市场的突破，</w:t>
            </w:r>
            <w:r>
              <w:rPr>
                <w:rFonts w:hint="eastAsia" w:ascii="仿宋" w:hAnsi="仿宋" w:eastAsia="仿宋" w:cs="仿宋"/>
                <w:color w:val="auto"/>
                <w:sz w:val="28"/>
                <w:szCs w:val="28"/>
              </w:rPr>
              <w:t>公司会持续积极拓展国际市场，后期将持续关注海外优质项目。</w:t>
            </w:r>
            <w:r>
              <w:rPr>
                <w:rFonts w:hint="eastAsia" w:ascii="仿宋" w:hAnsi="仿宋" w:eastAsia="仿宋" w:cs="仿宋"/>
                <w:color w:val="auto"/>
                <w:sz w:val="28"/>
                <w:szCs w:val="28"/>
              </w:rPr>
              <w:br w:type="textWrapping"/>
            </w: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、公司对于拓展海外市场，是否有一些更具体的规划或者方案？是否有在海外建设工厂的规划？</w:t>
            </w:r>
          </w:p>
          <w:p w14:paraId="5A3784E2">
            <w:pPr>
              <w:numPr>
                <w:ilvl w:val="-1"/>
                <w:numId w:val="0"/>
              </w:numPr>
              <w:jc w:val="left"/>
              <w:rPr>
                <w:rFonts w:hint="eastAsia" w:ascii="仿宋" w:hAnsi="仿宋" w:eastAsia="仿宋" w:cs="仿宋"/>
                <w:color w:val="auto"/>
                <w:sz w:val="28"/>
                <w:szCs w:val="28"/>
              </w:rPr>
            </w:pPr>
            <w:r>
              <w:rPr>
                <w:rFonts w:hint="eastAsia" w:ascii="仿宋" w:hAnsi="仿宋" w:eastAsia="仿宋" w:cs="仿宋"/>
                <w:color w:val="auto"/>
                <w:sz w:val="28"/>
                <w:szCs w:val="28"/>
              </w:rPr>
              <w:t>答：根据公司“未来三年重点提升海外业务占比”的战略规划，2026年将海外业务作为重点突破方向。输配电设备领域，将深度参与“一带一路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沿线国家电力基础设施建设，依托央企海外项目实现设备出口与工程服务协同出海。在东南亚市场将努力把握区域基建拉动电气设备需求的机遇，扩大变压器、成套设备市场份额；在中东市场持续跟进数据中心项目，拓展高端市场应用；在欧美市场依托取向硅钢产品既有客户基础，深化与国际知名企业合作，提升高端材料出口比例。重大投资战略请以公告为准。</w:t>
            </w:r>
          </w:p>
          <w:p w14:paraId="359DD82A">
            <w:pPr>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5、公司变压器出口UL认证办理进度？是否有国外CSP项目订单储备？</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答：公司正在积极办理UL认证，且持续不断地拓展国际市场，相关业绩以公告为准。</w:t>
            </w:r>
            <w:r>
              <w:rPr>
                <w:rFonts w:hint="eastAsia" w:ascii="仿宋" w:hAnsi="仿宋" w:eastAsia="仿宋" w:cs="仿宋"/>
                <w:color w:val="auto"/>
                <w:sz w:val="28"/>
                <w:szCs w:val="28"/>
                <w:lang w:val="en-US" w:eastAsia="zh-CN"/>
              </w:rPr>
              <w:br w:type="textWrapping"/>
            </w: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海外变压器订单的毛利率与国内相比毛利率差异？未来毛利率是否稳定？</w:t>
            </w:r>
          </w:p>
          <w:p w14:paraId="34769690">
            <w:pPr>
              <w:numPr>
                <w:ilvl w:val="-1"/>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答：变压器毛利率因受地域成本</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运用领域</w:t>
            </w:r>
            <w:r>
              <w:rPr>
                <w:rFonts w:hint="eastAsia" w:ascii="仿宋" w:hAnsi="仿宋" w:eastAsia="仿宋" w:cs="仿宋"/>
                <w:color w:val="auto"/>
                <w:sz w:val="28"/>
                <w:szCs w:val="28"/>
                <w:lang w:val="en-US" w:eastAsia="zh-CN"/>
              </w:rPr>
              <w:t>、电压等级、容量大小等因素存在差异</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与国内毛利率</w:t>
            </w:r>
            <w:r>
              <w:rPr>
                <w:rFonts w:hint="eastAsia" w:ascii="仿宋" w:hAnsi="仿宋" w:eastAsia="仿宋" w:cs="仿宋"/>
                <w:color w:val="auto"/>
                <w:sz w:val="28"/>
                <w:szCs w:val="28"/>
              </w:rPr>
              <w:t>呈现不同是市场有序竞争的正常表现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海外业务毛利率总体较国内有优势，但是竞争仍然激烈</w:t>
            </w:r>
            <w:r>
              <w:rPr>
                <w:rFonts w:hint="eastAsia" w:ascii="仿宋" w:hAnsi="仿宋" w:eastAsia="仿宋" w:cs="仿宋"/>
                <w:color w:val="auto"/>
                <w:sz w:val="28"/>
                <w:szCs w:val="28"/>
              </w:rPr>
              <w:t>。</w:t>
            </w:r>
          </w:p>
          <w:p w14:paraId="0C4B42F0">
            <w:pPr>
              <w:numPr>
                <w:ilvl w:val="-1"/>
                <w:numId w:val="0"/>
              </w:numPr>
              <w:jc w:val="left"/>
              <w:rPr>
                <w:rFonts w:hint="default" w:ascii="仿宋" w:hAnsi="仿宋" w:eastAsia="仿宋" w:cs="仿宋"/>
                <w:color w:val="auto"/>
                <w:sz w:val="28"/>
                <w:szCs w:val="28"/>
                <w:highlight w:val="none"/>
                <w:lang w:val="en-US"/>
              </w:rPr>
            </w:pP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现目前八万吨高端磁性新材料项目的产出情况？目前，高牌号取向硅钢净利润大概是多少个点?</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答：八万吨高端磁性新材料项目已于2024年6月全线投产。截至目前项目生产稳定，满产满销，现目前080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095为主流</w:t>
            </w:r>
            <w:r>
              <w:rPr>
                <w:rFonts w:hint="eastAsia" w:ascii="仿宋" w:hAnsi="仿宋" w:eastAsia="仿宋" w:cs="仿宋"/>
                <w:color w:val="auto"/>
                <w:sz w:val="28"/>
                <w:szCs w:val="28"/>
                <w:lang w:val="en-US" w:eastAsia="zh-CN"/>
              </w:rPr>
              <w:t>产出</w:t>
            </w:r>
            <w:r>
              <w:rPr>
                <w:rFonts w:hint="eastAsia" w:ascii="仿宋" w:hAnsi="仿宋" w:eastAsia="仿宋" w:cs="仿宋"/>
                <w:color w:val="auto"/>
                <w:sz w:val="28"/>
                <w:szCs w:val="28"/>
              </w:rPr>
              <w:t>牌号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highlight w:val="none"/>
                <w:lang w:val="en-US" w:eastAsia="zh-CN"/>
              </w:rPr>
              <w:t>具体产品盈利能力以实际产出和实时出货价格而定。</w:t>
            </w:r>
            <w:bookmarkStart w:id="1" w:name="OLE_LINK4"/>
          </w:p>
          <w:p w14:paraId="38275169">
            <w:pPr>
              <w:numPr>
                <w:ilvl w:val="-1"/>
                <w:numId w:val="0"/>
              </w:numPr>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8、</w:t>
            </w:r>
            <w:r>
              <w:rPr>
                <w:rFonts w:hint="eastAsia" w:ascii="仿宋" w:hAnsi="仿宋" w:eastAsia="仿宋" w:cs="仿宋"/>
                <w:b/>
                <w:bCs/>
                <w:color w:val="auto"/>
                <w:sz w:val="28"/>
                <w:szCs w:val="28"/>
              </w:rPr>
              <w:t>公司原有的CGO生产产线</w:t>
            </w:r>
            <w:bookmarkEnd w:id="1"/>
            <w:r>
              <w:rPr>
                <w:rFonts w:hint="eastAsia" w:ascii="仿宋" w:hAnsi="仿宋" w:eastAsia="仿宋" w:cs="仿宋"/>
                <w:b/>
                <w:bCs/>
                <w:color w:val="auto"/>
                <w:sz w:val="28"/>
                <w:szCs w:val="28"/>
              </w:rPr>
              <w:t>是否有改造计划？</w:t>
            </w:r>
            <w:r>
              <w:rPr>
                <w:rFonts w:hint="eastAsia" w:ascii="仿宋" w:hAnsi="仿宋" w:eastAsia="仿宋" w:cs="仿宋"/>
                <w:b/>
                <w:bCs/>
                <w:color w:val="auto"/>
                <w:sz w:val="28"/>
                <w:szCs w:val="28"/>
                <w:lang w:val="en-US" w:eastAsia="zh-CN"/>
              </w:rPr>
              <w:t>面对市场后期潜在的产能扩张，公司是否有硅钢产能扩张计划？</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答：公司将综合取向硅钢全球产能布局同时结合公司自身的财务规划综合评估</w:t>
            </w:r>
            <w:r>
              <w:rPr>
                <w:rFonts w:hint="eastAsia" w:ascii="仿宋" w:hAnsi="仿宋" w:eastAsia="仿宋" w:cs="仿宋"/>
                <w:color w:val="auto"/>
                <w:sz w:val="28"/>
                <w:szCs w:val="28"/>
                <w:lang w:val="en-US" w:eastAsia="zh-CN"/>
              </w:rPr>
              <w:t>是否技改</w:t>
            </w:r>
            <w:r>
              <w:rPr>
                <w:rFonts w:hint="eastAsia" w:ascii="仿宋" w:hAnsi="仿宋" w:eastAsia="仿宋" w:cs="仿宋"/>
                <w:color w:val="auto"/>
                <w:sz w:val="28"/>
                <w:szCs w:val="28"/>
              </w:rPr>
              <w:t>；公司重大投资请以公告为准。</w:t>
            </w:r>
          </w:p>
          <w:p w14:paraId="5E303CC6">
            <w:pPr>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rPr>
              <w:t>、2026年</w:t>
            </w:r>
            <w:r>
              <w:rPr>
                <w:rFonts w:hint="eastAsia" w:ascii="仿宋" w:hAnsi="仿宋" w:eastAsia="仿宋" w:cs="仿宋"/>
                <w:b/>
                <w:bCs/>
                <w:color w:val="auto"/>
                <w:sz w:val="28"/>
                <w:szCs w:val="28"/>
                <w:lang w:val="en-US" w:eastAsia="zh-CN"/>
              </w:rPr>
              <w:t>下半年</w:t>
            </w:r>
            <w:r>
              <w:rPr>
                <w:rFonts w:hint="eastAsia" w:ascii="仿宋" w:hAnsi="仿宋" w:eastAsia="仿宋" w:cs="仿宋"/>
                <w:b/>
                <w:bCs/>
                <w:color w:val="auto"/>
                <w:sz w:val="28"/>
                <w:szCs w:val="28"/>
              </w:rPr>
              <w:t>取向硅钢的价格展望？</w:t>
            </w:r>
          </w:p>
          <w:p w14:paraId="38CC2CA7">
            <w:pPr>
              <w:jc w:val="left"/>
              <w:rPr>
                <w:rFonts w:hint="eastAsia" w:ascii="仿宋" w:hAnsi="仿宋" w:eastAsia="仿宋" w:cs="仿宋"/>
                <w:color w:val="auto"/>
                <w:sz w:val="28"/>
                <w:szCs w:val="28"/>
              </w:rPr>
            </w:pPr>
            <w:r>
              <w:rPr>
                <w:rFonts w:hint="eastAsia" w:ascii="仿宋" w:hAnsi="仿宋" w:eastAsia="仿宋" w:cs="仿宋"/>
                <w:color w:val="auto"/>
                <w:sz w:val="28"/>
                <w:szCs w:val="28"/>
              </w:rPr>
              <w:t>答： 截止目前，</w:t>
            </w:r>
            <w:r>
              <w:rPr>
                <w:rFonts w:hint="eastAsia" w:ascii="仿宋" w:hAnsi="仿宋" w:eastAsia="仿宋" w:cs="仿宋"/>
                <w:color w:val="auto"/>
                <w:sz w:val="28"/>
                <w:szCs w:val="28"/>
                <w:lang w:val="en-US" w:eastAsia="zh-CN"/>
              </w:rPr>
              <w:t>头部企业取</w:t>
            </w:r>
            <w:r>
              <w:rPr>
                <w:rFonts w:hint="eastAsia" w:ascii="仿宋" w:hAnsi="仿宋" w:eastAsia="仿宋" w:cs="仿宋"/>
                <w:color w:val="auto"/>
                <w:sz w:val="28"/>
                <w:szCs w:val="28"/>
              </w:rPr>
              <w:t>向硅钢</w:t>
            </w:r>
            <w:r>
              <w:rPr>
                <w:rFonts w:hint="eastAsia" w:ascii="仿宋" w:hAnsi="仿宋" w:eastAsia="仿宋" w:cs="仿宋"/>
                <w:color w:val="auto"/>
                <w:sz w:val="28"/>
                <w:szCs w:val="28"/>
                <w:lang w:val="en-US" w:eastAsia="zh-CN"/>
              </w:rPr>
              <w:t>出厂</w:t>
            </w:r>
            <w:r>
              <w:rPr>
                <w:rFonts w:hint="eastAsia" w:ascii="仿宋" w:hAnsi="仿宋" w:eastAsia="仿宋" w:cs="仿宋"/>
                <w:color w:val="auto"/>
                <w:sz w:val="28"/>
                <w:szCs w:val="28"/>
              </w:rPr>
              <w:t>价格</w:t>
            </w:r>
            <w:r>
              <w:rPr>
                <w:rFonts w:hint="eastAsia" w:ascii="仿宋" w:hAnsi="仿宋" w:eastAsia="仿宋" w:cs="仿宋"/>
                <w:color w:val="auto"/>
                <w:sz w:val="28"/>
                <w:szCs w:val="28"/>
                <w:lang w:val="en-US" w:eastAsia="zh-CN"/>
              </w:rPr>
              <w:t>持续向</w:t>
            </w:r>
            <w:r>
              <w:rPr>
                <w:rFonts w:hint="eastAsia" w:ascii="仿宋" w:hAnsi="仿宋" w:eastAsia="仿宋" w:cs="仿宋"/>
                <w:color w:val="auto"/>
                <w:sz w:val="28"/>
                <w:szCs w:val="28"/>
              </w:rPr>
              <w:t>上调整，且</w:t>
            </w:r>
            <w:r>
              <w:rPr>
                <w:rFonts w:hint="eastAsia" w:ascii="仿宋" w:hAnsi="仿宋" w:eastAsia="仿宋" w:cs="仿宋"/>
                <w:color w:val="auto"/>
                <w:sz w:val="28"/>
                <w:szCs w:val="28"/>
                <w:lang w:val="en-US" w:eastAsia="zh-CN"/>
              </w:rPr>
              <w:t>有</w:t>
            </w:r>
            <w:r>
              <w:rPr>
                <w:rFonts w:hint="eastAsia" w:ascii="仿宋" w:hAnsi="仿宋" w:eastAsia="仿宋" w:cs="仿宋"/>
                <w:color w:val="auto"/>
                <w:sz w:val="28"/>
                <w:szCs w:val="28"/>
              </w:rPr>
              <w:t>延续</w:t>
            </w:r>
            <w:r>
              <w:rPr>
                <w:rFonts w:hint="eastAsia" w:ascii="仿宋" w:hAnsi="仿宋" w:eastAsia="仿宋" w:cs="仿宋"/>
                <w:color w:val="auto"/>
                <w:sz w:val="28"/>
                <w:szCs w:val="28"/>
                <w:lang w:val="en-US" w:eastAsia="zh-CN"/>
              </w:rPr>
              <w:t>上调的趋势</w:t>
            </w:r>
            <w:r>
              <w:rPr>
                <w:rFonts w:hint="eastAsia" w:ascii="仿宋" w:hAnsi="仿宋" w:eastAsia="仿宋" w:cs="仿宋"/>
                <w:color w:val="auto"/>
                <w:sz w:val="28"/>
                <w:szCs w:val="28"/>
              </w:rPr>
              <w:t xml:space="preserve">，对取向硅钢行业是一个较大的利好。   </w:t>
            </w:r>
          </w:p>
          <w:p w14:paraId="6CE4643D">
            <w:pPr>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我们认为在全球电力设备市场热潮、国家十五五在网高损耗电力变压器的大规模升级改造和批量更换、电力变压器能效限定值及能效等级新标准、关于新形势下配电网高质量发展的指导意见以及其他一系列推进“电力装备绿色低碳”的政策基础上，又恰逢能源革命与AI算力风口，进一步拉动了输配电设备的需求，加之市场化产能调整基本结束，预计未来一般取向硅钢的市场需求会</w:t>
            </w:r>
            <w:r>
              <w:rPr>
                <w:rFonts w:hint="eastAsia" w:ascii="仿宋" w:hAnsi="仿宋" w:eastAsia="仿宋" w:cs="仿宋"/>
                <w:color w:val="auto"/>
                <w:sz w:val="28"/>
                <w:szCs w:val="28"/>
                <w:lang w:val="en-US" w:eastAsia="zh-CN"/>
              </w:rPr>
              <w:t>相对稳定</w:t>
            </w:r>
            <w:r>
              <w:rPr>
                <w:rFonts w:hint="eastAsia" w:ascii="仿宋" w:hAnsi="仿宋" w:eastAsia="仿宋" w:cs="仿宋"/>
                <w:color w:val="auto"/>
                <w:sz w:val="28"/>
                <w:szCs w:val="28"/>
              </w:rPr>
              <w:t>，高磁感取向硅钢需求增加，取向硅钢价格在经历市场调整后将逐步趋向稳定。</w:t>
            </w:r>
          </w:p>
          <w:p w14:paraId="292295AA">
            <w:pPr>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、据市场反馈预期取向硅钢的原材料会有上涨的趋势，公司如何应对后期的原料上涨风险？</w:t>
            </w:r>
          </w:p>
          <w:p w14:paraId="7141DDE4">
            <w:p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答：取向硅钢原材料成本</w:t>
            </w:r>
            <w:r>
              <w:rPr>
                <w:rFonts w:hint="eastAsia" w:ascii="仿宋" w:hAnsi="仿宋" w:eastAsia="仿宋" w:cs="仿宋"/>
                <w:color w:val="auto"/>
                <w:sz w:val="28"/>
                <w:szCs w:val="28"/>
                <w:lang w:val="en-US" w:eastAsia="zh-CN"/>
              </w:rPr>
              <w:t>一般情况下可以向下游端传导；同时公司将持续不断降本增效；另一方面公司也不断提升产出的质量和牌号，努力实现效益最大化。</w:t>
            </w:r>
            <w:r>
              <w:rPr>
                <w:rFonts w:hint="eastAsia" w:ascii="仿宋" w:hAnsi="仿宋" w:eastAsia="仿宋" w:cs="仿宋"/>
                <w:color w:val="auto"/>
                <w:sz w:val="28"/>
                <w:szCs w:val="28"/>
                <w:lang w:val="en-US" w:eastAsia="zh-CN"/>
              </w:rPr>
              <w:br w:type="textWrapping"/>
            </w:r>
            <w:r>
              <w:rPr>
                <w:rFonts w:hint="eastAsia" w:ascii="仿宋" w:hAnsi="仿宋" w:eastAsia="仿宋" w:cs="仿宋"/>
                <w:b/>
                <w:bCs/>
                <w:color w:val="auto"/>
                <w:sz w:val="28"/>
                <w:szCs w:val="28"/>
                <w:lang w:val="en-US" w:eastAsia="zh-CN"/>
              </w:rPr>
              <w:t>11、面对市场新能源业务板块潜在的下行趋势，公司如何应对？</w:t>
            </w:r>
            <w:r>
              <w:rPr>
                <w:rFonts w:hint="eastAsia" w:ascii="仿宋" w:hAnsi="仿宋" w:eastAsia="仿宋" w:cs="仿宋"/>
                <w:b/>
                <w:bCs/>
                <w:color w:val="auto"/>
                <w:sz w:val="28"/>
                <w:szCs w:val="28"/>
                <w:lang w:val="en-US" w:eastAsia="zh-CN"/>
              </w:rPr>
              <w:br w:type="textWrapping"/>
            </w:r>
            <w:r>
              <w:rPr>
                <w:rFonts w:hint="eastAsia" w:ascii="仿宋" w:hAnsi="仿宋" w:eastAsia="仿宋" w:cs="仿宋"/>
                <w:b w:val="0"/>
                <w:bCs w:val="0"/>
                <w:color w:val="auto"/>
                <w:sz w:val="28"/>
                <w:szCs w:val="28"/>
                <w:lang w:val="en-US" w:eastAsia="zh-CN"/>
              </w:rPr>
              <w:t>答：面</w:t>
            </w:r>
            <w:r>
              <w:rPr>
                <w:rFonts w:hint="eastAsia" w:ascii="仿宋" w:hAnsi="仿宋" w:eastAsia="仿宋" w:cs="仿宋"/>
                <w:i w:val="0"/>
                <w:iCs w:val="0"/>
                <w:caps w:val="0"/>
                <w:color w:val="auto"/>
                <w:spacing w:val="0"/>
                <w:sz w:val="28"/>
                <w:szCs w:val="28"/>
                <w:shd w:val="clear" w:fill="auto"/>
              </w:rPr>
              <w:t>对新能源板块可能出现的需求波动，公司并不单纯依赖该单一领域——输配电及控制设备的下游应用广泛，当前电网建设、AI算力基础设施以及海外市场的需求增长已形成有效对冲。具体来看，“十五五”期间国内电网投资预计达4万亿元，为行业提供明确增量；全球AI数据中心对高可靠配电设备的爆发式需求，以及欧美等海外市场因老旧电网改造带来的出口红利，均构成了新的增长极。因此，整体业务基本盘依然稳健。</w:t>
            </w:r>
          </w:p>
          <w:p w14:paraId="3B7913E8">
            <w:pPr>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w:t>
            </w:r>
            <w:bookmarkStart w:id="2" w:name="OLE_LINK1"/>
            <w:r>
              <w:rPr>
                <w:rFonts w:hint="eastAsia" w:ascii="仿宋" w:hAnsi="仿宋" w:eastAsia="仿宋" w:cs="仿宋"/>
                <w:b/>
                <w:bCs/>
                <w:color w:val="auto"/>
                <w:sz w:val="28"/>
                <w:szCs w:val="28"/>
              </w:rPr>
              <w:t>公司是否研发了固态变压器产品？</w:t>
            </w:r>
          </w:p>
          <w:p w14:paraId="2B5792C0">
            <w:pPr>
              <w:jc w:val="left"/>
              <w:rPr>
                <w:rFonts w:hint="eastAsia" w:ascii="仿宋" w:hAnsi="仿宋" w:eastAsia="仿宋" w:cs="仿宋"/>
                <w:color w:val="auto"/>
                <w:sz w:val="28"/>
                <w:szCs w:val="28"/>
              </w:rPr>
            </w:pPr>
            <w:r>
              <w:rPr>
                <w:rFonts w:hint="eastAsia" w:ascii="仿宋" w:hAnsi="仿宋" w:eastAsia="仿宋" w:cs="仿宋"/>
                <w:color w:val="auto"/>
                <w:sz w:val="28"/>
                <w:szCs w:val="28"/>
              </w:rPr>
              <w:t>答：</w:t>
            </w:r>
            <w:r>
              <w:rPr>
                <w:rFonts w:hint="eastAsia" w:ascii="仿宋" w:hAnsi="仿宋" w:eastAsia="仿宋" w:cs="仿宋"/>
                <w:color w:val="auto"/>
                <w:sz w:val="28"/>
                <w:szCs w:val="28"/>
                <w:lang w:val="en-US" w:eastAsia="zh-CN"/>
              </w:rPr>
              <w:t>目前，公司正在积极开展相关研发工作，</w:t>
            </w:r>
            <w:r>
              <w:rPr>
                <w:rFonts w:hint="eastAsia" w:ascii="仿宋" w:hAnsi="仿宋" w:eastAsia="仿宋" w:cs="仿宋"/>
                <w:color w:val="auto"/>
                <w:sz w:val="28"/>
                <w:szCs w:val="28"/>
              </w:rPr>
              <w:t>具体研发进展请以公告为准。</w:t>
            </w:r>
          </w:p>
          <w:bookmarkEnd w:id="2"/>
          <w:p w14:paraId="2C7E65B6">
            <w:pPr>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、公司提到十五五期间，重点是高压和出口业务的拓展，请问公司高电压等级的发展规划？</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在输配电设备的供应可覆盖500kV及以下电压等级范围。公司将持续提升研发能力和加大对前沿产品的研发，强化技术突破、聚焦高电压等级核心设备研发，深化市场渗透，精准对接客户需求，力争在全球高压电力建设中获取批量订单，驱动公司持续增长。</w:t>
            </w:r>
            <w:r>
              <w:rPr>
                <w:rFonts w:hint="eastAsia" w:ascii="仿宋" w:hAnsi="仿宋" w:eastAsia="仿宋" w:cs="仿宋"/>
                <w:color w:val="auto"/>
                <w:sz w:val="28"/>
                <w:szCs w:val="28"/>
              </w:rPr>
              <w:br w:type="textWrapping"/>
            </w: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、云变电气的整体业绩发展规划？</w:t>
            </w:r>
            <w:r>
              <w:rPr>
                <w:rFonts w:hint="eastAsia" w:ascii="仿宋" w:hAnsi="仿宋" w:eastAsia="仿宋" w:cs="仿宋"/>
                <w:b/>
                <w:bCs/>
                <w:color w:val="auto"/>
                <w:sz w:val="28"/>
                <w:szCs w:val="28"/>
              </w:rPr>
              <w:br w:type="textWrapping"/>
            </w:r>
            <w:r>
              <w:rPr>
                <w:rFonts w:hint="eastAsia" w:ascii="仿宋" w:hAnsi="仿宋" w:eastAsia="仿宋" w:cs="仿宋"/>
                <w:color w:val="auto"/>
                <w:sz w:val="28"/>
                <w:szCs w:val="28"/>
              </w:rPr>
              <w:t>答：</w:t>
            </w:r>
            <w:r>
              <w:rPr>
                <w:rFonts w:hint="eastAsia" w:ascii="仿宋" w:hAnsi="仿宋" w:eastAsia="仿宋" w:cs="仿宋"/>
                <w:color w:val="auto"/>
                <w:sz w:val="28"/>
                <w:szCs w:val="28"/>
                <w:lang w:val="en-US" w:eastAsia="zh-CN"/>
              </w:rPr>
              <w:t>云变电气目前生产场地具备30亿元产值生产能力；</w:t>
            </w:r>
            <w:r>
              <w:rPr>
                <w:rFonts w:hint="eastAsia" w:ascii="仿宋" w:hAnsi="仿宋" w:eastAsia="仿宋" w:cs="仿宋"/>
                <w:color w:val="auto"/>
                <w:sz w:val="28"/>
                <w:szCs w:val="28"/>
              </w:rPr>
              <w:t>云变电气利用自身的品牌优势、人才优势、专精特新的技术优势已在2024年首次突破10亿收入；云变电气地处“一带一路”关键地理位置，结合公司大力拓展海外市场，云变电气有望实现330kv和500kv的业绩突破，公司业绩有望进一步提升。</w:t>
            </w:r>
          </w:p>
          <w:p w14:paraId="4378D6EA">
            <w:pPr>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15、</w:t>
            </w:r>
            <w:r>
              <w:rPr>
                <w:rFonts w:hint="eastAsia" w:ascii="仿宋" w:hAnsi="仿宋" w:eastAsia="仿宋" w:cs="仿宋"/>
                <w:b/>
                <w:bCs/>
                <w:color w:val="auto"/>
                <w:sz w:val="28"/>
                <w:szCs w:val="28"/>
              </w:rPr>
              <w:t>公司的兆瓦级智能超充网络建设项目，目前最新的进展如何？今年预期目标是什么样的？</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答：公司该项目按计划推进中；目前已建成投运7个项目（重庆1个、云南6个），公司正在内蒙、广东、广西、陕西、山西、山东、江西、贵州</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资源丰富、电动重卡大力发展的省份开发、布局新的站点，</w:t>
            </w:r>
            <w:r>
              <w:rPr>
                <w:rFonts w:hint="eastAsia" w:ascii="仿宋" w:hAnsi="仿宋" w:eastAsia="仿宋" w:cs="仿宋"/>
                <w:color w:val="auto"/>
                <w:sz w:val="28"/>
                <w:szCs w:val="28"/>
                <w:lang w:val="en-US" w:eastAsia="zh-CN"/>
              </w:rPr>
              <w:t>正在开发及拟开发站点</w:t>
            </w:r>
            <w:r>
              <w:rPr>
                <w:rFonts w:hint="eastAsia" w:ascii="仿宋" w:hAnsi="仿宋" w:eastAsia="仿宋" w:cs="仿宋"/>
                <w:color w:val="auto"/>
                <w:sz w:val="28"/>
                <w:szCs w:val="28"/>
              </w:rPr>
              <w:t>近30个。同时，公司</w:t>
            </w:r>
            <w:r>
              <w:rPr>
                <w:rFonts w:hint="eastAsia" w:ascii="仿宋" w:hAnsi="仿宋" w:eastAsia="仿宋" w:cs="仿宋"/>
                <w:color w:val="auto"/>
                <w:sz w:val="28"/>
                <w:szCs w:val="28"/>
                <w:lang w:val="en-US" w:eastAsia="zh-CN"/>
              </w:rPr>
              <w:t>计划在东南亚国家尝试</w:t>
            </w:r>
            <w:r>
              <w:rPr>
                <w:rFonts w:hint="eastAsia" w:ascii="仿宋" w:hAnsi="仿宋" w:eastAsia="仿宋" w:cs="仿宋"/>
                <w:color w:val="auto"/>
                <w:sz w:val="28"/>
                <w:szCs w:val="28"/>
              </w:rPr>
              <w:t>布局重卡充电站</w:t>
            </w:r>
            <w:r>
              <w:rPr>
                <w:rFonts w:hint="eastAsia" w:ascii="仿宋" w:hAnsi="仿宋" w:eastAsia="仿宋" w:cs="仿宋"/>
                <w:color w:val="auto"/>
                <w:sz w:val="28"/>
                <w:szCs w:val="28"/>
                <w:lang w:val="en-US" w:eastAsia="zh-CN"/>
              </w:rPr>
              <w:t>建设和运营</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具体进展以公告为准。</w:t>
            </w:r>
            <w:r>
              <w:rPr>
                <w:rFonts w:hint="eastAsia" w:ascii="仿宋" w:hAnsi="仿宋" w:eastAsia="仿宋" w:cs="仿宋"/>
                <w:color w:val="auto"/>
                <w:sz w:val="28"/>
                <w:szCs w:val="28"/>
                <w:lang w:val="en-US" w:eastAsia="zh-CN"/>
              </w:rPr>
              <w:br w:type="textWrapping"/>
            </w:r>
            <w:r>
              <w:rPr>
                <w:rFonts w:hint="eastAsia" w:ascii="仿宋" w:hAnsi="仿宋" w:eastAsia="仿宋" w:cs="仿宋"/>
                <w:b/>
                <w:bCs/>
                <w:color w:val="auto"/>
                <w:sz w:val="28"/>
                <w:szCs w:val="28"/>
                <w:lang w:val="en-US" w:eastAsia="zh-CN"/>
              </w:rPr>
              <w:t>16、公司公众号提及的跟华为合作的设备制造业务，现在进展及后期预期如何？</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答：</w:t>
            </w:r>
            <w:r>
              <w:rPr>
                <w:rFonts w:hint="eastAsia" w:ascii="仿宋" w:hAnsi="仿宋" w:eastAsia="仿宋" w:cs="仿宋"/>
                <w:i w:val="0"/>
                <w:iCs w:val="0"/>
                <w:caps w:val="0"/>
                <w:color w:val="auto"/>
                <w:spacing w:val="0"/>
                <w:sz w:val="28"/>
                <w:szCs w:val="28"/>
                <w:shd w:val="clear"/>
              </w:rPr>
              <w:t>作为华为兆瓦超充生态的核心共建者与重要合作伙伴，</w:t>
            </w:r>
            <w:r>
              <w:rPr>
                <w:rFonts w:hint="eastAsia" w:ascii="仿宋" w:hAnsi="仿宋" w:eastAsia="仿宋" w:cs="仿宋"/>
                <w:i w:val="0"/>
                <w:iCs w:val="0"/>
                <w:caps w:val="0"/>
                <w:color w:val="auto"/>
                <w:spacing w:val="0"/>
                <w:sz w:val="28"/>
                <w:szCs w:val="28"/>
                <w:shd w:val="clear"/>
                <w:lang w:val="en-US" w:eastAsia="zh-CN"/>
              </w:rPr>
              <w:t>公司</w:t>
            </w:r>
            <w:r>
              <w:rPr>
                <w:rFonts w:hint="eastAsia" w:ascii="仿宋" w:hAnsi="仿宋" w:eastAsia="仿宋" w:cs="仿宋"/>
                <w:i w:val="0"/>
                <w:iCs w:val="0"/>
                <w:caps w:val="0"/>
                <w:color w:val="auto"/>
                <w:spacing w:val="0"/>
                <w:sz w:val="28"/>
                <w:szCs w:val="28"/>
                <w:shd w:val="clear"/>
              </w:rPr>
              <w:t>早在今年的3月9日2026华为超充・重卡经销商生态大会上</w:t>
            </w:r>
            <w:r>
              <w:rPr>
                <w:rFonts w:hint="eastAsia" w:ascii="仿宋" w:hAnsi="仿宋" w:eastAsia="仿宋" w:cs="仿宋"/>
                <w:i w:val="0"/>
                <w:iCs w:val="0"/>
                <w:caps w:val="0"/>
                <w:color w:val="auto"/>
                <w:spacing w:val="0"/>
                <w:sz w:val="28"/>
                <w:szCs w:val="28"/>
                <w:shd w:val="clear"/>
                <w:lang w:eastAsia="zh-CN"/>
              </w:rPr>
              <w:t>，</w:t>
            </w:r>
            <w:r>
              <w:rPr>
                <w:rFonts w:hint="eastAsia" w:ascii="仿宋" w:hAnsi="仿宋" w:eastAsia="仿宋" w:cs="仿宋"/>
                <w:i w:val="0"/>
                <w:iCs w:val="0"/>
                <w:caps w:val="0"/>
                <w:color w:val="auto"/>
                <w:spacing w:val="0"/>
                <w:sz w:val="28"/>
                <w:szCs w:val="28"/>
                <w:shd w:val="clear"/>
                <w:lang w:val="en-US" w:eastAsia="zh-CN"/>
              </w:rPr>
              <w:t>公司</w:t>
            </w:r>
            <w:r>
              <w:rPr>
                <w:rFonts w:hint="eastAsia" w:ascii="仿宋" w:hAnsi="仿宋" w:eastAsia="仿宋" w:cs="仿宋"/>
                <w:i w:val="0"/>
                <w:iCs w:val="0"/>
                <w:caps w:val="0"/>
                <w:color w:val="auto"/>
                <w:spacing w:val="0"/>
                <w:sz w:val="28"/>
                <w:szCs w:val="28"/>
                <w:shd w:val="clear"/>
              </w:rPr>
              <w:t>便已重磅亮相，发布兆瓦级变充一体设备及预制舱变电站两大核心产品，推出四大灵活合作模式</w:t>
            </w:r>
            <w:r>
              <w:rPr>
                <w:rFonts w:hint="eastAsia" w:ascii="仿宋" w:hAnsi="仿宋" w:eastAsia="仿宋" w:cs="仿宋"/>
                <w:i w:val="0"/>
                <w:iCs w:val="0"/>
                <w:caps w:val="0"/>
                <w:color w:val="auto"/>
                <w:spacing w:val="0"/>
                <w:sz w:val="28"/>
                <w:szCs w:val="28"/>
                <w:shd w:val="clear"/>
                <w:lang w:eastAsia="zh-CN"/>
              </w:rPr>
              <w:t>；</w:t>
            </w:r>
            <w:r>
              <w:rPr>
                <w:rFonts w:hint="eastAsia" w:ascii="仿宋" w:hAnsi="仿宋" w:eastAsia="仿宋" w:cs="仿宋"/>
                <w:i w:val="0"/>
                <w:iCs w:val="0"/>
                <w:caps w:val="0"/>
                <w:color w:val="auto"/>
                <w:spacing w:val="0"/>
                <w:sz w:val="28"/>
                <w:szCs w:val="28"/>
                <w:shd w:val="clear" w:fill="auto"/>
              </w:rPr>
              <w:t>随着重卡充电产品成功投放与建站合作模式创新突破，这一全新业务组合正加速形成规模效应，将成为公司未来业绩增长的持续性引擎</w:t>
            </w:r>
            <w:r>
              <w:rPr>
                <w:rFonts w:hint="eastAsia" w:ascii="仿宋" w:hAnsi="仿宋" w:eastAsia="仿宋" w:cs="仿宋"/>
                <w:i w:val="0"/>
                <w:iCs w:val="0"/>
                <w:caps w:val="0"/>
                <w:color w:val="auto"/>
                <w:spacing w:val="0"/>
                <w:sz w:val="28"/>
                <w:szCs w:val="28"/>
                <w:shd w:val="clear"/>
                <w:lang w:eastAsia="zh-CN"/>
              </w:rPr>
              <w:t>。</w:t>
            </w:r>
            <w:r>
              <w:rPr>
                <w:rFonts w:hint="eastAsia" w:ascii="仿宋" w:hAnsi="仿宋" w:eastAsia="仿宋" w:cs="仿宋"/>
                <w:i w:val="0"/>
                <w:iCs w:val="0"/>
                <w:caps w:val="0"/>
                <w:color w:val="auto"/>
                <w:spacing w:val="0"/>
                <w:sz w:val="28"/>
                <w:szCs w:val="28"/>
                <w:shd w:val="clear"/>
                <w:lang w:val="en-US" w:eastAsia="zh-CN"/>
              </w:rPr>
              <w:t xml:space="preserve">   </w:t>
            </w: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、大宗期货铜价持续上涨，是否对公司利润有影响？公司是否采取了相应的对冲手段，比如外汇套期保值业务？</w:t>
            </w:r>
          </w:p>
          <w:p w14:paraId="0FB284B7">
            <w:pPr>
              <w:jc w:val="left"/>
              <w:rPr>
                <w:rFonts w:hint="eastAsia" w:ascii="仿宋" w:hAnsi="仿宋" w:eastAsia="仿宋" w:cs="仿宋"/>
                <w:b/>
                <w:bCs/>
                <w:color w:val="auto"/>
                <w:sz w:val="28"/>
                <w:szCs w:val="28"/>
              </w:rPr>
            </w:pPr>
            <w:r>
              <w:rPr>
                <w:rFonts w:hint="eastAsia" w:ascii="仿宋" w:hAnsi="仿宋" w:eastAsia="仿宋" w:cs="仿宋"/>
                <w:color w:val="auto"/>
                <w:sz w:val="28"/>
                <w:szCs w:val="28"/>
              </w:rPr>
              <w:t>答：铜作为输配电产品的主要原材料，其价格对公司的生产成本是有关键性影响。公司长期与客户保持良好的合作关系，具备一定的议价能力和市场竞争格局，一定程度上保障了部分成本压力转移空间；另外，公司持续提高技术创新，从技术端降本增效；此外，公司会根据市场环境评估，持续通过包括供应商锁价、优化库存等手段以应对原材料价格的剧烈波动</w:t>
            </w:r>
            <w:r>
              <w:rPr>
                <w:rFonts w:hint="eastAsia" w:ascii="仿宋" w:hAnsi="仿宋" w:eastAsia="仿宋" w:cs="仿宋"/>
                <w:color w:val="auto"/>
                <w:sz w:val="28"/>
                <w:szCs w:val="28"/>
                <w:lang w:eastAsia="zh-CN"/>
              </w:rPr>
              <w:t>。</w:t>
            </w:r>
          </w:p>
          <w:p w14:paraId="2E7572AE">
            <w:pPr>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8</w:t>
            </w:r>
            <w:r>
              <w:rPr>
                <w:rFonts w:hint="eastAsia" w:ascii="仿宋" w:hAnsi="仿宋" w:eastAsia="仿宋" w:cs="仿宋"/>
                <w:b/>
                <w:bCs/>
                <w:color w:val="auto"/>
                <w:sz w:val="28"/>
                <w:szCs w:val="28"/>
              </w:rPr>
              <w:t>、公司未来是否有其他战略投资规划？比如产业链其他板块的收并购，或者参与投资产业基金？</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答；公司重大投资规划以公告为准。</w:t>
            </w:r>
          </w:p>
          <w:p w14:paraId="44C1AFF0">
            <w:pPr>
              <w:jc w:val="left"/>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rPr>
              <w:t>、输配电及控制设备业务存在账期问题，避免应收账款坏账风险，公司是否有完善的风险统筹管理体系？</w:t>
            </w:r>
          </w:p>
          <w:p w14:paraId="7A36D1C4">
            <w:pPr>
              <w:jc w:val="left"/>
              <w:rPr>
                <w:rFonts w:hint="eastAsia" w:ascii="仿宋" w:hAnsi="仿宋" w:eastAsia="仿宋" w:cs="仿宋"/>
                <w:i w:val="0"/>
                <w:iCs w:val="0"/>
                <w:caps w:val="0"/>
                <w:color w:val="auto"/>
                <w:spacing w:val="0"/>
                <w:sz w:val="28"/>
                <w:szCs w:val="28"/>
                <w:shd w:val="clear"/>
              </w:rPr>
            </w:pPr>
            <w:r>
              <w:rPr>
                <w:rFonts w:hint="eastAsia" w:ascii="仿宋" w:hAnsi="仿宋" w:eastAsia="仿宋" w:cs="仿宋"/>
                <w:color w:val="auto"/>
                <w:sz w:val="28"/>
                <w:szCs w:val="28"/>
              </w:rPr>
              <w:t>答：</w:t>
            </w:r>
            <w:r>
              <w:rPr>
                <w:rFonts w:hint="eastAsia" w:ascii="仿宋" w:hAnsi="仿宋" w:eastAsia="仿宋" w:cs="仿宋"/>
                <w:i w:val="0"/>
                <w:iCs w:val="0"/>
                <w:caps w:val="0"/>
                <w:color w:val="auto"/>
                <w:spacing w:val="0"/>
                <w:sz w:val="28"/>
                <w:szCs w:val="28"/>
                <w:shd w:val="clear" w:fill="auto"/>
              </w:rPr>
              <w:t>公司高度重视营运资金管理与风险防控，已建立覆盖“事前评估、事中跟踪、事后处置”全流程的应收账款管控体系。通过严格的客户信用评级、动态账期管理及专项催收机制，有效控制坏账风险。目前公司账期结构健康，核心客户回款记录良好，整体风险处于可控区间。</w:t>
            </w:r>
          </w:p>
          <w:p w14:paraId="076AA4CE">
            <w:pPr>
              <w:numPr>
                <w:ilvl w:val="-1"/>
                <w:numId w:val="0"/>
              </w:numPr>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20、公司已经出现资产负债率高的财务情况，公司如何应对？</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答：</w:t>
            </w:r>
            <w:r>
              <w:rPr>
                <w:rFonts w:hint="eastAsia" w:ascii="仿宋" w:hAnsi="仿宋" w:eastAsia="仿宋" w:cs="仿宋"/>
                <w:i w:val="0"/>
                <w:iCs w:val="0"/>
                <w:caps w:val="0"/>
                <w:color w:val="auto"/>
                <w:spacing w:val="0"/>
                <w:sz w:val="28"/>
                <w:szCs w:val="28"/>
                <w:shd w:val="clear" w:fill="auto"/>
              </w:rPr>
              <w:t>针对资产负债率偏高的问题，公司已制定并正在执行多维度的降负债方案：一是</w:t>
            </w:r>
            <w:r>
              <w:rPr>
                <w:rFonts w:hint="eastAsia" w:ascii="仿宋" w:hAnsi="仿宋" w:eastAsia="仿宋" w:cs="仿宋"/>
                <w:b w:val="0"/>
                <w:bCs w:val="0"/>
                <w:i w:val="0"/>
                <w:iCs w:val="0"/>
                <w:caps w:val="0"/>
                <w:color w:val="auto"/>
                <w:spacing w:val="0"/>
                <w:sz w:val="28"/>
                <w:szCs w:val="28"/>
                <w:shd w:val="clear" w:fill="auto"/>
              </w:rPr>
              <w:t>开源</w:t>
            </w:r>
            <w:r>
              <w:rPr>
                <w:rFonts w:hint="eastAsia" w:ascii="仿宋" w:hAnsi="仿宋" w:eastAsia="仿宋" w:cs="仿宋"/>
                <w:i w:val="0"/>
                <w:iCs w:val="0"/>
                <w:caps w:val="0"/>
                <w:color w:val="auto"/>
                <w:spacing w:val="0"/>
                <w:sz w:val="28"/>
                <w:szCs w:val="28"/>
                <w:shd w:val="clear" w:fill="auto"/>
              </w:rPr>
              <w:t>，加大应收账款催收和票据贴现力度，并积极争取低息长期贷款；二是</w:t>
            </w:r>
            <w:r>
              <w:rPr>
                <w:rFonts w:hint="eastAsia" w:ascii="仿宋" w:hAnsi="仿宋" w:eastAsia="仿宋" w:cs="仿宋"/>
                <w:b w:val="0"/>
                <w:bCs w:val="0"/>
                <w:i w:val="0"/>
                <w:iCs w:val="0"/>
                <w:caps w:val="0"/>
                <w:color w:val="auto"/>
                <w:spacing w:val="0"/>
                <w:sz w:val="28"/>
                <w:szCs w:val="28"/>
                <w:shd w:val="clear" w:fill="auto"/>
              </w:rPr>
              <w:t>节流</w:t>
            </w:r>
            <w:r>
              <w:rPr>
                <w:rFonts w:hint="eastAsia" w:ascii="仿宋" w:hAnsi="仿宋" w:eastAsia="仿宋" w:cs="仿宋"/>
                <w:i w:val="0"/>
                <w:iCs w:val="0"/>
                <w:caps w:val="0"/>
                <w:color w:val="auto"/>
                <w:spacing w:val="0"/>
                <w:sz w:val="28"/>
                <w:szCs w:val="28"/>
                <w:shd w:val="clear" w:fill="auto"/>
              </w:rPr>
              <w:t>，严控非必要资本开支，提高预收款比例；三是</w:t>
            </w:r>
            <w:r>
              <w:rPr>
                <w:rFonts w:hint="eastAsia" w:ascii="仿宋" w:hAnsi="仿宋" w:eastAsia="仿宋" w:cs="仿宋"/>
                <w:b w:val="0"/>
                <w:bCs w:val="0"/>
                <w:i w:val="0"/>
                <w:iCs w:val="0"/>
                <w:caps w:val="0"/>
                <w:color w:val="auto"/>
                <w:spacing w:val="0"/>
                <w:sz w:val="28"/>
                <w:szCs w:val="28"/>
                <w:shd w:val="clear" w:fill="auto"/>
              </w:rPr>
              <w:t>增资</w:t>
            </w:r>
            <w:r>
              <w:rPr>
                <w:rFonts w:hint="eastAsia" w:ascii="仿宋" w:hAnsi="仿宋" w:eastAsia="仿宋" w:cs="仿宋"/>
                <w:i w:val="0"/>
                <w:iCs w:val="0"/>
                <w:caps w:val="0"/>
                <w:color w:val="auto"/>
                <w:spacing w:val="0"/>
                <w:sz w:val="28"/>
                <w:szCs w:val="28"/>
                <w:shd w:val="clear" w:fill="auto"/>
              </w:rPr>
              <w:t>，</w:t>
            </w:r>
            <w:r>
              <w:rPr>
                <w:rFonts w:hint="eastAsia" w:ascii="仿宋" w:hAnsi="仿宋" w:eastAsia="仿宋" w:cs="仿宋"/>
                <w:i w:val="0"/>
                <w:iCs w:val="0"/>
                <w:caps w:val="0"/>
                <w:color w:val="auto"/>
                <w:spacing w:val="0"/>
                <w:sz w:val="28"/>
                <w:szCs w:val="28"/>
                <w:shd w:val="clear"/>
                <w:lang w:val="en-US" w:eastAsia="zh-CN"/>
              </w:rPr>
              <w:t>公司业绩启动向大股东的定向</w:t>
            </w:r>
            <w:r>
              <w:rPr>
                <w:rFonts w:hint="eastAsia" w:ascii="仿宋" w:hAnsi="仿宋" w:eastAsia="仿宋" w:cs="仿宋"/>
                <w:i w:val="0"/>
                <w:iCs w:val="0"/>
                <w:caps w:val="0"/>
                <w:color w:val="auto"/>
                <w:spacing w:val="0"/>
                <w:sz w:val="28"/>
                <w:szCs w:val="28"/>
                <w:shd w:val="clear" w:fill="auto"/>
              </w:rPr>
              <w:t>股权融资。公司现金流足以支撑日常运营，风险整体可控。</w:t>
            </w:r>
          </w:p>
          <w:p w14:paraId="2C827A8D">
            <w:pPr>
              <w:numPr>
                <w:ilvl w:val="-1"/>
                <w:numId w:val="0"/>
              </w:numPr>
              <w:jc w:val="left"/>
              <w:rPr>
                <w:rFonts w:hint="default" w:eastAsia="仿宋"/>
                <w:color w:val="auto"/>
                <w:lang w:val="en-US" w:eastAsia="zh-CN"/>
              </w:rPr>
            </w:pPr>
            <w:r>
              <w:rPr>
                <w:rFonts w:hint="eastAsia" w:ascii="仿宋" w:hAnsi="仿宋" w:eastAsia="仿宋" w:cs="仿宋"/>
                <w:b/>
                <w:bCs/>
                <w:color w:val="auto"/>
                <w:sz w:val="28"/>
                <w:szCs w:val="28"/>
                <w:lang w:val="en-US" w:eastAsia="zh-CN"/>
              </w:rPr>
              <w:t>21、公司调整锁价定增融资方案是什么原因？有什么重大影响吗？</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答：</w:t>
            </w:r>
            <w:r>
              <w:rPr>
                <w:rFonts w:hint="eastAsia" w:ascii="仿宋" w:hAnsi="仿宋" w:eastAsia="仿宋" w:cs="仿宋"/>
                <w:i w:val="0"/>
                <w:iCs w:val="0"/>
                <w:caps w:val="0"/>
                <w:color w:val="auto"/>
                <w:spacing w:val="0"/>
                <w:sz w:val="28"/>
                <w:szCs w:val="28"/>
                <w:shd w:val="clear" w:fill="auto"/>
              </w:rPr>
              <w:t>调整是顺应市场环境的主动优化，目的是确保融资成功并保护原有股东利益，对公司经营和长期发展是正面影响。</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 xml:space="preserve">   </w:t>
            </w:r>
          </w:p>
        </w:tc>
      </w:tr>
      <w:tr w14:paraId="41C1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792" w:type="dxa"/>
          </w:tcPr>
          <w:p w14:paraId="6EE97E4A">
            <w:pPr>
              <w:spacing w:line="360" w:lineRule="auto"/>
              <w:jc w:val="center"/>
              <w:rPr>
                <w:b/>
                <w:bCs/>
                <w:color w:val="auto"/>
                <w:sz w:val="24"/>
                <w:szCs w:val="32"/>
              </w:rPr>
            </w:pPr>
            <w:r>
              <w:rPr>
                <w:rFonts w:hint="eastAsia" w:ascii="仿宋" w:hAnsi="仿宋" w:eastAsia="仿宋" w:cs="仿宋"/>
                <w:b/>
                <w:bCs/>
                <w:color w:val="auto"/>
                <w:spacing w:val="-2"/>
                <w:sz w:val="28"/>
                <w:szCs w:val="28"/>
              </w:rPr>
              <w:t xml:space="preserve"> 附件清单 (如有)</w:t>
            </w:r>
          </w:p>
        </w:tc>
        <w:tc>
          <w:tcPr>
            <w:tcW w:w="6662" w:type="dxa"/>
            <w:gridSpan w:val="2"/>
          </w:tcPr>
          <w:p w14:paraId="3DEB8F5C">
            <w:pPr>
              <w:spacing w:line="360" w:lineRule="auto"/>
              <w:jc w:val="both"/>
              <w:rPr>
                <w:color w:val="auto"/>
              </w:rPr>
            </w:pPr>
          </w:p>
        </w:tc>
      </w:tr>
      <w:tr w14:paraId="4FFD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2" w:type="dxa"/>
          </w:tcPr>
          <w:p w14:paraId="58B5C321">
            <w:pPr>
              <w:spacing w:line="360" w:lineRule="auto"/>
              <w:ind w:firstLine="277" w:firstLineChars="100"/>
              <w:jc w:val="left"/>
              <w:rPr>
                <w:rFonts w:hint="eastAsia" w:ascii="仿宋" w:hAnsi="仿宋" w:eastAsia="仿宋" w:cs="仿宋"/>
                <w:b/>
                <w:bCs/>
                <w:color w:val="auto"/>
                <w:spacing w:val="-2"/>
                <w:sz w:val="28"/>
                <w:szCs w:val="28"/>
              </w:rPr>
            </w:pPr>
            <w:r>
              <w:rPr>
                <w:rFonts w:hint="eastAsia" w:ascii="仿宋" w:hAnsi="仿宋" w:eastAsia="仿宋" w:cs="仿宋"/>
                <w:b/>
                <w:bCs/>
                <w:color w:val="auto"/>
                <w:spacing w:val="-2"/>
                <w:sz w:val="28"/>
                <w:szCs w:val="28"/>
              </w:rPr>
              <w:t>相关提示</w:t>
            </w:r>
          </w:p>
        </w:tc>
        <w:tc>
          <w:tcPr>
            <w:tcW w:w="6662" w:type="dxa"/>
            <w:gridSpan w:val="2"/>
          </w:tcPr>
          <w:p w14:paraId="3887B656">
            <w:pPr>
              <w:widowControl/>
              <w:spacing w:line="360" w:lineRule="auto"/>
              <w:jc w:val="left"/>
              <w:rPr>
                <w:color w:val="auto"/>
              </w:rPr>
            </w:pPr>
            <w:r>
              <w:rPr>
                <w:rFonts w:hint="eastAsia" w:ascii="仿宋" w:hAnsi="仿宋" w:eastAsia="仿宋" w:cs="仿宋"/>
                <w:color w:val="auto"/>
                <w:sz w:val="28"/>
                <w:szCs w:val="28"/>
              </w:rPr>
              <w:t>调研内容均不涉及公司内幕信息及相关未披露的重大事项信息。内容涉及对行业的预测、公司发展战略规划等相关内容，不能视作公司或公司管理层对行业、公司发展的承诺和保证，敬请广大投资者注意投资风险。</w:t>
            </w:r>
          </w:p>
        </w:tc>
      </w:tr>
    </w:tbl>
    <w:p w14:paraId="4BDA2492"/>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52418"/>
    <w:rsid w:val="00065631"/>
    <w:rsid w:val="00065EB1"/>
    <w:rsid w:val="00086FF0"/>
    <w:rsid w:val="00097FFB"/>
    <w:rsid w:val="000D4D80"/>
    <w:rsid w:val="000F3D26"/>
    <w:rsid w:val="00126AED"/>
    <w:rsid w:val="00142881"/>
    <w:rsid w:val="00172A27"/>
    <w:rsid w:val="00174AF0"/>
    <w:rsid w:val="00180DE1"/>
    <w:rsid w:val="00181A75"/>
    <w:rsid w:val="00194169"/>
    <w:rsid w:val="001B4E56"/>
    <w:rsid w:val="001B72C1"/>
    <w:rsid w:val="001C2038"/>
    <w:rsid w:val="001D35C7"/>
    <w:rsid w:val="001D4EFA"/>
    <w:rsid w:val="002005EA"/>
    <w:rsid w:val="002418BA"/>
    <w:rsid w:val="00254BBC"/>
    <w:rsid w:val="002655E7"/>
    <w:rsid w:val="00272127"/>
    <w:rsid w:val="0027620F"/>
    <w:rsid w:val="002A5024"/>
    <w:rsid w:val="0031124A"/>
    <w:rsid w:val="003368B2"/>
    <w:rsid w:val="00336BA3"/>
    <w:rsid w:val="003534BF"/>
    <w:rsid w:val="003A73B3"/>
    <w:rsid w:val="003B1706"/>
    <w:rsid w:val="003D1413"/>
    <w:rsid w:val="003E5AA6"/>
    <w:rsid w:val="00403D34"/>
    <w:rsid w:val="00414BB4"/>
    <w:rsid w:val="00436D28"/>
    <w:rsid w:val="00456294"/>
    <w:rsid w:val="00486805"/>
    <w:rsid w:val="004B0A7B"/>
    <w:rsid w:val="004E5ABD"/>
    <w:rsid w:val="004F5749"/>
    <w:rsid w:val="00514BE7"/>
    <w:rsid w:val="00515EDE"/>
    <w:rsid w:val="005A2DDF"/>
    <w:rsid w:val="005D4831"/>
    <w:rsid w:val="005D7DA2"/>
    <w:rsid w:val="005F416C"/>
    <w:rsid w:val="00601749"/>
    <w:rsid w:val="006227BD"/>
    <w:rsid w:val="00644BB0"/>
    <w:rsid w:val="006464D5"/>
    <w:rsid w:val="0067780C"/>
    <w:rsid w:val="006A0B21"/>
    <w:rsid w:val="006A68BB"/>
    <w:rsid w:val="006C3C21"/>
    <w:rsid w:val="006D3243"/>
    <w:rsid w:val="006E764C"/>
    <w:rsid w:val="00714693"/>
    <w:rsid w:val="00740926"/>
    <w:rsid w:val="007E6D44"/>
    <w:rsid w:val="00814B2F"/>
    <w:rsid w:val="00833C9D"/>
    <w:rsid w:val="008366D5"/>
    <w:rsid w:val="00862215"/>
    <w:rsid w:val="0088017F"/>
    <w:rsid w:val="008818C9"/>
    <w:rsid w:val="008A00DB"/>
    <w:rsid w:val="008A69FD"/>
    <w:rsid w:val="008C10A9"/>
    <w:rsid w:val="008C2D17"/>
    <w:rsid w:val="008C4853"/>
    <w:rsid w:val="008C60AF"/>
    <w:rsid w:val="00921781"/>
    <w:rsid w:val="00935E4B"/>
    <w:rsid w:val="00976954"/>
    <w:rsid w:val="009A6D94"/>
    <w:rsid w:val="009C378D"/>
    <w:rsid w:val="009D0775"/>
    <w:rsid w:val="009F6404"/>
    <w:rsid w:val="00A15A23"/>
    <w:rsid w:val="00A1652E"/>
    <w:rsid w:val="00A1748C"/>
    <w:rsid w:val="00A21894"/>
    <w:rsid w:val="00A40B7A"/>
    <w:rsid w:val="00A450B6"/>
    <w:rsid w:val="00A5380F"/>
    <w:rsid w:val="00A72B6A"/>
    <w:rsid w:val="00A74073"/>
    <w:rsid w:val="00A90D34"/>
    <w:rsid w:val="00A96CC9"/>
    <w:rsid w:val="00AB456F"/>
    <w:rsid w:val="00B010DC"/>
    <w:rsid w:val="00B27AB7"/>
    <w:rsid w:val="00B4710E"/>
    <w:rsid w:val="00B96C36"/>
    <w:rsid w:val="00BA5812"/>
    <w:rsid w:val="00BB67A9"/>
    <w:rsid w:val="00BF274D"/>
    <w:rsid w:val="00C114B4"/>
    <w:rsid w:val="00C15888"/>
    <w:rsid w:val="00C22483"/>
    <w:rsid w:val="00C31931"/>
    <w:rsid w:val="00C46D12"/>
    <w:rsid w:val="00C505DD"/>
    <w:rsid w:val="00C5503C"/>
    <w:rsid w:val="00CE55C5"/>
    <w:rsid w:val="00CE6ED0"/>
    <w:rsid w:val="00D10841"/>
    <w:rsid w:val="00D21930"/>
    <w:rsid w:val="00DA4071"/>
    <w:rsid w:val="00DE6EC6"/>
    <w:rsid w:val="00DF24CE"/>
    <w:rsid w:val="00DF708B"/>
    <w:rsid w:val="00E9768D"/>
    <w:rsid w:val="00EA1DC2"/>
    <w:rsid w:val="00EA2274"/>
    <w:rsid w:val="00EA2D9A"/>
    <w:rsid w:val="00EB5F7E"/>
    <w:rsid w:val="00EC1EEE"/>
    <w:rsid w:val="00ED7DCB"/>
    <w:rsid w:val="00F02C55"/>
    <w:rsid w:val="00F16D0B"/>
    <w:rsid w:val="00F17782"/>
    <w:rsid w:val="00F3330A"/>
    <w:rsid w:val="00F63F50"/>
    <w:rsid w:val="00F765A5"/>
    <w:rsid w:val="00F864BF"/>
    <w:rsid w:val="00FA00A3"/>
    <w:rsid w:val="00FA0617"/>
    <w:rsid w:val="00FA51AD"/>
    <w:rsid w:val="00FD1CC3"/>
    <w:rsid w:val="00FE1A6E"/>
    <w:rsid w:val="00FF4099"/>
    <w:rsid w:val="01284E1B"/>
    <w:rsid w:val="013E75F8"/>
    <w:rsid w:val="016420F2"/>
    <w:rsid w:val="01C20073"/>
    <w:rsid w:val="020060F9"/>
    <w:rsid w:val="02134CB8"/>
    <w:rsid w:val="027470CC"/>
    <w:rsid w:val="02E96BCD"/>
    <w:rsid w:val="02EE5EC8"/>
    <w:rsid w:val="02F32E0C"/>
    <w:rsid w:val="02F47D1B"/>
    <w:rsid w:val="03237D85"/>
    <w:rsid w:val="03986CEB"/>
    <w:rsid w:val="03BE368D"/>
    <w:rsid w:val="03C74BB5"/>
    <w:rsid w:val="042B21AE"/>
    <w:rsid w:val="04574920"/>
    <w:rsid w:val="04775F12"/>
    <w:rsid w:val="04E173D1"/>
    <w:rsid w:val="04F16AB7"/>
    <w:rsid w:val="051B0D6D"/>
    <w:rsid w:val="0536650D"/>
    <w:rsid w:val="054C52D8"/>
    <w:rsid w:val="05C124D3"/>
    <w:rsid w:val="05CE4BC5"/>
    <w:rsid w:val="069468A4"/>
    <w:rsid w:val="07293D6D"/>
    <w:rsid w:val="079239C5"/>
    <w:rsid w:val="079C3C62"/>
    <w:rsid w:val="07B94BDA"/>
    <w:rsid w:val="07C54B4B"/>
    <w:rsid w:val="07D102E3"/>
    <w:rsid w:val="07FF4FEA"/>
    <w:rsid w:val="08086333"/>
    <w:rsid w:val="083F6263"/>
    <w:rsid w:val="08406CE4"/>
    <w:rsid w:val="086053D6"/>
    <w:rsid w:val="08694E0E"/>
    <w:rsid w:val="08A95EF6"/>
    <w:rsid w:val="08B13535"/>
    <w:rsid w:val="08BD0334"/>
    <w:rsid w:val="09873FB3"/>
    <w:rsid w:val="09950955"/>
    <w:rsid w:val="09C676BC"/>
    <w:rsid w:val="0A2911E1"/>
    <w:rsid w:val="0AA52A4B"/>
    <w:rsid w:val="0AB96EDF"/>
    <w:rsid w:val="0B416CC0"/>
    <w:rsid w:val="0B482792"/>
    <w:rsid w:val="0B656DE1"/>
    <w:rsid w:val="0B7C0033"/>
    <w:rsid w:val="0B8B40BA"/>
    <w:rsid w:val="0B9A2D2D"/>
    <w:rsid w:val="0BBC492E"/>
    <w:rsid w:val="0BE53059"/>
    <w:rsid w:val="0C27489D"/>
    <w:rsid w:val="0CA2437E"/>
    <w:rsid w:val="0CC65D86"/>
    <w:rsid w:val="0CE813E4"/>
    <w:rsid w:val="0D1B1ACD"/>
    <w:rsid w:val="0D244E26"/>
    <w:rsid w:val="0D5355B7"/>
    <w:rsid w:val="0D553692"/>
    <w:rsid w:val="0D613090"/>
    <w:rsid w:val="0D9123B3"/>
    <w:rsid w:val="0D984241"/>
    <w:rsid w:val="0DA66F51"/>
    <w:rsid w:val="0DAA2575"/>
    <w:rsid w:val="0DBB7AFD"/>
    <w:rsid w:val="0DFB5FF5"/>
    <w:rsid w:val="0E4478C6"/>
    <w:rsid w:val="0E460794"/>
    <w:rsid w:val="0E461F04"/>
    <w:rsid w:val="0E637FDA"/>
    <w:rsid w:val="0EA15698"/>
    <w:rsid w:val="0F056591"/>
    <w:rsid w:val="0F080F08"/>
    <w:rsid w:val="0F585187"/>
    <w:rsid w:val="0F7D2198"/>
    <w:rsid w:val="0F8C6010"/>
    <w:rsid w:val="0FBE58EE"/>
    <w:rsid w:val="0FF54B8C"/>
    <w:rsid w:val="10072271"/>
    <w:rsid w:val="103121E7"/>
    <w:rsid w:val="103143DF"/>
    <w:rsid w:val="10583A7A"/>
    <w:rsid w:val="109B0818"/>
    <w:rsid w:val="10A739D5"/>
    <w:rsid w:val="10BB519D"/>
    <w:rsid w:val="10C10D6E"/>
    <w:rsid w:val="110A7E8F"/>
    <w:rsid w:val="1114107F"/>
    <w:rsid w:val="115D0AC9"/>
    <w:rsid w:val="11651119"/>
    <w:rsid w:val="11710A28"/>
    <w:rsid w:val="11A76ED1"/>
    <w:rsid w:val="11BB1862"/>
    <w:rsid w:val="11F47D3F"/>
    <w:rsid w:val="120224E3"/>
    <w:rsid w:val="12034295"/>
    <w:rsid w:val="1221208B"/>
    <w:rsid w:val="122F22A3"/>
    <w:rsid w:val="1253015A"/>
    <w:rsid w:val="12557603"/>
    <w:rsid w:val="127C6B6A"/>
    <w:rsid w:val="12B117A1"/>
    <w:rsid w:val="13566077"/>
    <w:rsid w:val="136046DE"/>
    <w:rsid w:val="13DC7C8A"/>
    <w:rsid w:val="13E23345"/>
    <w:rsid w:val="13FE2086"/>
    <w:rsid w:val="14307D5E"/>
    <w:rsid w:val="143E1595"/>
    <w:rsid w:val="14A800EA"/>
    <w:rsid w:val="157D5ACE"/>
    <w:rsid w:val="157E1EF2"/>
    <w:rsid w:val="15CB6F31"/>
    <w:rsid w:val="16302145"/>
    <w:rsid w:val="164E43BB"/>
    <w:rsid w:val="16665CBB"/>
    <w:rsid w:val="16791831"/>
    <w:rsid w:val="17271DF9"/>
    <w:rsid w:val="17443F1A"/>
    <w:rsid w:val="174B04D5"/>
    <w:rsid w:val="1763586C"/>
    <w:rsid w:val="1771193C"/>
    <w:rsid w:val="17887D5F"/>
    <w:rsid w:val="17EF3F46"/>
    <w:rsid w:val="18057602"/>
    <w:rsid w:val="18756BA8"/>
    <w:rsid w:val="18824CEE"/>
    <w:rsid w:val="189A2BFA"/>
    <w:rsid w:val="189A34D5"/>
    <w:rsid w:val="18D41224"/>
    <w:rsid w:val="18EA4FC5"/>
    <w:rsid w:val="18F97D87"/>
    <w:rsid w:val="19252D8F"/>
    <w:rsid w:val="193B413F"/>
    <w:rsid w:val="19933997"/>
    <w:rsid w:val="19B10934"/>
    <w:rsid w:val="1A4D521D"/>
    <w:rsid w:val="1A506DCE"/>
    <w:rsid w:val="1AEB69E4"/>
    <w:rsid w:val="1B0D155D"/>
    <w:rsid w:val="1B2C2344"/>
    <w:rsid w:val="1B3D709A"/>
    <w:rsid w:val="1BB71CD0"/>
    <w:rsid w:val="1BE2740F"/>
    <w:rsid w:val="1C0702B5"/>
    <w:rsid w:val="1C0A2C53"/>
    <w:rsid w:val="1C142B6E"/>
    <w:rsid w:val="1C164930"/>
    <w:rsid w:val="1C385050"/>
    <w:rsid w:val="1C3927D6"/>
    <w:rsid w:val="1C8F11FD"/>
    <w:rsid w:val="1CA05B4B"/>
    <w:rsid w:val="1CDE5159"/>
    <w:rsid w:val="1CEF5573"/>
    <w:rsid w:val="1D100F23"/>
    <w:rsid w:val="1D232A04"/>
    <w:rsid w:val="1D4B6CB9"/>
    <w:rsid w:val="1D6C418B"/>
    <w:rsid w:val="1DAE510B"/>
    <w:rsid w:val="1DBD4D7F"/>
    <w:rsid w:val="1E102EF7"/>
    <w:rsid w:val="1E5438BD"/>
    <w:rsid w:val="1E5953A7"/>
    <w:rsid w:val="1E7E4D14"/>
    <w:rsid w:val="1EBC5191"/>
    <w:rsid w:val="1F1F369F"/>
    <w:rsid w:val="1F690F58"/>
    <w:rsid w:val="20272301"/>
    <w:rsid w:val="20382140"/>
    <w:rsid w:val="20452672"/>
    <w:rsid w:val="20653548"/>
    <w:rsid w:val="207842BC"/>
    <w:rsid w:val="20A35799"/>
    <w:rsid w:val="20A8063A"/>
    <w:rsid w:val="21135143"/>
    <w:rsid w:val="21245CDD"/>
    <w:rsid w:val="213B6D8D"/>
    <w:rsid w:val="21464F13"/>
    <w:rsid w:val="216E7866"/>
    <w:rsid w:val="22170A70"/>
    <w:rsid w:val="221C5C74"/>
    <w:rsid w:val="222D5297"/>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58710C"/>
    <w:rsid w:val="24605395"/>
    <w:rsid w:val="2462649A"/>
    <w:rsid w:val="24D05488"/>
    <w:rsid w:val="251807D0"/>
    <w:rsid w:val="253D070B"/>
    <w:rsid w:val="255363D8"/>
    <w:rsid w:val="259B1AA7"/>
    <w:rsid w:val="259B44F8"/>
    <w:rsid w:val="259E5319"/>
    <w:rsid w:val="26924584"/>
    <w:rsid w:val="26A42BA9"/>
    <w:rsid w:val="276A122F"/>
    <w:rsid w:val="27714256"/>
    <w:rsid w:val="277574DF"/>
    <w:rsid w:val="27C96CC8"/>
    <w:rsid w:val="27D259A3"/>
    <w:rsid w:val="27E9286C"/>
    <w:rsid w:val="285A7228"/>
    <w:rsid w:val="289E62C6"/>
    <w:rsid w:val="28BB5582"/>
    <w:rsid w:val="28D61962"/>
    <w:rsid w:val="29B50E26"/>
    <w:rsid w:val="29E3139F"/>
    <w:rsid w:val="2A3B763C"/>
    <w:rsid w:val="2A6F1301"/>
    <w:rsid w:val="2A99107E"/>
    <w:rsid w:val="2AA1140C"/>
    <w:rsid w:val="2AC428D0"/>
    <w:rsid w:val="2ACB2C0E"/>
    <w:rsid w:val="2AD029CD"/>
    <w:rsid w:val="2AE11247"/>
    <w:rsid w:val="2AE4326A"/>
    <w:rsid w:val="2B74156D"/>
    <w:rsid w:val="2BB459BA"/>
    <w:rsid w:val="2C0E531F"/>
    <w:rsid w:val="2C4E7372"/>
    <w:rsid w:val="2CA27CCF"/>
    <w:rsid w:val="2CEF2903"/>
    <w:rsid w:val="2CF63EA5"/>
    <w:rsid w:val="2D412918"/>
    <w:rsid w:val="2D61440C"/>
    <w:rsid w:val="2D6F0515"/>
    <w:rsid w:val="2DCE2070"/>
    <w:rsid w:val="2DE80973"/>
    <w:rsid w:val="2DE92F75"/>
    <w:rsid w:val="2DEF266F"/>
    <w:rsid w:val="2E0E4369"/>
    <w:rsid w:val="2E53443E"/>
    <w:rsid w:val="2E617528"/>
    <w:rsid w:val="2E805365"/>
    <w:rsid w:val="2E913E63"/>
    <w:rsid w:val="2EC01514"/>
    <w:rsid w:val="2F125AA3"/>
    <w:rsid w:val="2F302D5E"/>
    <w:rsid w:val="2F4900A4"/>
    <w:rsid w:val="2F623869"/>
    <w:rsid w:val="2F837401"/>
    <w:rsid w:val="2F857D67"/>
    <w:rsid w:val="2FE2647C"/>
    <w:rsid w:val="3024536D"/>
    <w:rsid w:val="30385986"/>
    <w:rsid w:val="304C7546"/>
    <w:rsid w:val="306D0A4D"/>
    <w:rsid w:val="30BE5A67"/>
    <w:rsid w:val="30C955DC"/>
    <w:rsid w:val="30DE58EA"/>
    <w:rsid w:val="3115045E"/>
    <w:rsid w:val="31200E47"/>
    <w:rsid w:val="314B2DA7"/>
    <w:rsid w:val="31B77767"/>
    <w:rsid w:val="31CB61DD"/>
    <w:rsid w:val="31D86852"/>
    <w:rsid w:val="322375EB"/>
    <w:rsid w:val="325A1988"/>
    <w:rsid w:val="325B4961"/>
    <w:rsid w:val="32843012"/>
    <w:rsid w:val="32AA07AD"/>
    <w:rsid w:val="32AB26B5"/>
    <w:rsid w:val="32B7761C"/>
    <w:rsid w:val="32D63C1D"/>
    <w:rsid w:val="32F347CF"/>
    <w:rsid w:val="33015C82"/>
    <w:rsid w:val="337D071D"/>
    <w:rsid w:val="337D72C7"/>
    <w:rsid w:val="33F97BC3"/>
    <w:rsid w:val="342D2050"/>
    <w:rsid w:val="349B1368"/>
    <w:rsid w:val="34A05977"/>
    <w:rsid w:val="34D32B0A"/>
    <w:rsid w:val="350543B6"/>
    <w:rsid w:val="354107BC"/>
    <w:rsid w:val="35501E23"/>
    <w:rsid w:val="35672E55"/>
    <w:rsid w:val="35675E3D"/>
    <w:rsid w:val="35934A0F"/>
    <w:rsid w:val="35AD18B2"/>
    <w:rsid w:val="35D07322"/>
    <w:rsid w:val="36071C0F"/>
    <w:rsid w:val="361A78AC"/>
    <w:rsid w:val="36366780"/>
    <w:rsid w:val="36A52284"/>
    <w:rsid w:val="36C53729"/>
    <w:rsid w:val="370E17C2"/>
    <w:rsid w:val="372806CC"/>
    <w:rsid w:val="376D444E"/>
    <w:rsid w:val="37751BCC"/>
    <w:rsid w:val="37B620E2"/>
    <w:rsid w:val="37CA5DC3"/>
    <w:rsid w:val="37FA6FA7"/>
    <w:rsid w:val="380E7807"/>
    <w:rsid w:val="3811361D"/>
    <w:rsid w:val="38336ACB"/>
    <w:rsid w:val="385C3FDB"/>
    <w:rsid w:val="388F0AF6"/>
    <w:rsid w:val="38AE0D00"/>
    <w:rsid w:val="38AE38A9"/>
    <w:rsid w:val="38AF62FB"/>
    <w:rsid w:val="38BC1488"/>
    <w:rsid w:val="39333B77"/>
    <w:rsid w:val="398E0301"/>
    <w:rsid w:val="39AC6D2C"/>
    <w:rsid w:val="39BE02CB"/>
    <w:rsid w:val="39D82F9C"/>
    <w:rsid w:val="3A3F2259"/>
    <w:rsid w:val="3A4C28FB"/>
    <w:rsid w:val="3A7B6A9F"/>
    <w:rsid w:val="3AA30888"/>
    <w:rsid w:val="3B133C60"/>
    <w:rsid w:val="3B235B76"/>
    <w:rsid w:val="3B275D45"/>
    <w:rsid w:val="3B331C0C"/>
    <w:rsid w:val="3B653F56"/>
    <w:rsid w:val="3B961557"/>
    <w:rsid w:val="3B9A1C8B"/>
    <w:rsid w:val="3BFF3EE8"/>
    <w:rsid w:val="3C487939"/>
    <w:rsid w:val="3C506111"/>
    <w:rsid w:val="3CA04076"/>
    <w:rsid w:val="3CDE390D"/>
    <w:rsid w:val="3CDE58E9"/>
    <w:rsid w:val="3CE5188C"/>
    <w:rsid w:val="3CF63A53"/>
    <w:rsid w:val="3D171075"/>
    <w:rsid w:val="3D6C377B"/>
    <w:rsid w:val="3D6D6452"/>
    <w:rsid w:val="3D724579"/>
    <w:rsid w:val="3DB42DAD"/>
    <w:rsid w:val="3DE607E1"/>
    <w:rsid w:val="3DE9412E"/>
    <w:rsid w:val="3DF169B0"/>
    <w:rsid w:val="3DFD2205"/>
    <w:rsid w:val="3E170F3B"/>
    <w:rsid w:val="3E1D6BA4"/>
    <w:rsid w:val="3E4A58E8"/>
    <w:rsid w:val="3E83372B"/>
    <w:rsid w:val="3E8E421E"/>
    <w:rsid w:val="3E9660B6"/>
    <w:rsid w:val="3EAE2E24"/>
    <w:rsid w:val="3EB27BA5"/>
    <w:rsid w:val="3EE52729"/>
    <w:rsid w:val="3F141D55"/>
    <w:rsid w:val="3F244CC1"/>
    <w:rsid w:val="3F530871"/>
    <w:rsid w:val="3F5C46E6"/>
    <w:rsid w:val="3F6708E2"/>
    <w:rsid w:val="3FA253C9"/>
    <w:rsid w:val="3FC227CD"/>
    <w:rsid w:val="40403448"/>
    <w:rsid w:val="40E35ECB"/>
    <w:rsid w:val="41105DF3"/>
    <w:rsid w:val="411E4B7E"/>
    <w:rsid w:val="41486274"/>
    <w:rsid w:val="41D62EBD"/>
    <w:rsid w:val="4272634B"/>
    <w:rsid w:val="427E51A4"/>
    <w:rsid w:val="427F3FDA"/>
    <w:rsid w:val="42BC2416"/>
    <w:rsid w:val="42E42BC9"/>
    <w:rsid w:val="431762B8"/>
    <w:rsid w:val="435C0B63"/>
    <w:rsid w:val="438049FB"/>
    <w:rsid w:val="438F11EC"/>
    <w:rsid w:val="43C628AC"/>
    <w:rsid w:val="43EE4CC7"/>
    <w:rsid w:val="449129B0"/>
    <w:rsid w:val="449A6D4F"/>
    <w:rsid w:val="44A1445C"/>
    <w:rsid w:val="44B65017"/>
    <w:rsid w:val="44CA3141"/>
    <w:rsid w:val="44CB61A9"/>
    <w:rsid w:val="44D00A48"/>
    <w:rsid w:val="44DA7E8F"/>
    <w:rsid w:val="44DE5295"/>
    <w:rsid w:val="450F48DF"/>
    <w:rsid w:val="4527524F"/>
    <w:rsid w:val="454F3AE7"/>
    <w:rsid w:val="456D3C36"/>
    <w:rsid w:val="457101E2"/>
    <w:rsid w:val="458B74A6"/>
    <w:rsid w:val="45ED7D4D"/>
    <w:rsid w:val="461B65AA"/>
    <w:rsid w:val="462705C0"/>
    <w:rsid w:val="46393B5F"/>
    <w:rsid w:val="46655F66"/>
    <w:rsid w:val="46820218"/>
    <w:rsid w:val="46DB13AA"/>
    <w:rsid w:val="477F3EB0"/>
    <w:rsid w:val="47D013F3"/>
    <w:rsid w:val="47D33A8B"/>
    <w:rsid w:val="47DE6C76"/>
    <w:rsid w:val="47E17BFB"/>
    <w:rsid w:val="47F42887"/>
    <w:rsid w:val="48140987"/>
    <w:rsid w:val="48512FD1"/>
    <w:rsid w:val="488E4926"/>
    <w:rsid w:val="489A7C6C"/>
    <w:rsid w:val="4929619B"/>
    <w:rsid w:val="492D57AE"/>
    <w:rsid w:val="492E4EFC"/>
    <w:rsid w:val="49A64064"/>
    <w:rsid w:val="49BB3561"/>
    <w:rsid w:val="49BC3603"/>
    <w:rsid w:val="49C600F0"/>
    <w:rsid w:val="4A0E0038"/>
    <w:rsid w:val="4A147191"/>
    <w:rsid w:val="4A6F2AC4"/>
    <w:rsid w:val="4ACB30BA"/>
    <w:rsid w:val="4AEB6431"/>
    <w:rsid w:val="4B021694"/>
    <w:rsid w:val="4B1D4687"/>
    <w:rsid w:val="4B553E21"/>
    <w:rsid w:val="4B6E7038"/>
    <w:rsid w:val="4B7F5B7B"/>
    <w:rsid w:val="4BB96A04"/>
    <w:rsid w:val="4BC41C91"/>
    <w:rsid w:val="4C3C26CF"/>
    <w:rsid w:val="4C4A7997"/>
    <w:rsid w:val="4C4F2E23"/>
    <w:rsid w:val="4D072F6F"/>
    <w:rsid w:val="4D0E77BC"/>
    <w:rsid w:val="4D2A4B20"/>
    <w:rsid w:val="4D4001B9"/>
    <w:rsid w:val="4D774051"/>
    <w:rsid w:val="4D8D73BE"/>
    <w:rsid w:val="4DA11701"/>
    <w:rsid w:val="4DA51E86"/>
    <w:rsid w:val="4DAC62CE"/>
    <w:rsid w:val="4DD40B5B"/>
    <w:rsid w:val="4E0261A4"/>
    <w:rsid w:val="4E5715CC"/>
    <w:rsid w:val="4E676345"/>
    <w:rsid w:val="4ED478D5"/>
    <w:rsid w:val="4EE96D5A"/>
    <w:rsid w:val="4F6A0636"/>
    <w:rsid w:val="4FAF178A"/>
    <w:rsid w:val="4FDD5DBB"/>
    <w:rsid w:val="50157CD3"/>
    <w:rsid w:val="509831AF"/>
    <w:rsid w:val="50A21DBF"/>
    <w:rsid w:val="50AC0E6C"/>
    <w:rsid w:val="5154665E"/>
    <w:rsid w:val="515A6091"/>
    <w:rsid w:val="51B57115"/>
    <w:rsid w:val="51E14A36"/>
    <w:rsid w:val="52126329"/>
    <w:rsid w:val="521640C9"/>
    <w:rsid w:val="52470583"/>
    <w:rsid w:val="52E3448B"/>
    <w:rsid w:val="52E602D1"/>
    <w:rsid w:val="533453A9"/>
    <w:rsid w:val="539A209A"/>
    <w:rsid w:val="53B3096B"/>
    <w:rsid w:val="53D505E2"/>
    <w:rsid w:val="53EE6EF4"/>
    <w:rsid w:val="5432079C"/>
    <w:rsid w:val="54777864"/>
    <w:rsid w:val="548F745F"/>
    <w:rsid w:val="54B17FBE"/>
    <w:rsid w:val="54B87904"/>
    <w:rsid w:val="54FF0C91"/>
    <w:rsid w:val="552807EF"/>
    <w:rsid w:val="55772575"/>
    <w:rsid w:val="557D4CE3"/>
    <w:rsid w:val="55985C34"/>
    <w:rsid w:val="55D21A3E"/>
    <w:rsid w:val="562A186C"/>
    <w:rsid w:val="563313AB"/>
    <w:rsid w:val="56D1536B"/>
    <w:rsid w:val="571A1A7B"/>
    <w:rsid w:val="574D22F3"/>
    <w:rsid w:val="57723FD4"/>
    <w:rsid w:val="57B57EBE"/>
    <w:rsid w:val="57B92425"/>
    <w:rsid w:val="57BB500C"/>
    <w:rsid w:val="57CE581F"/>
    <w:rsid w:val="57D66975"/>
    <w:rsid w:val="57DC2701"/>
    <w:rsid w:val="58134E48"/>
    <w:rsid w:val="58A843C6"/>
    <w:rsid w:val="592301E1"/>
    <w:rsid w:val="59554E3B"/>
    <w:rsid w:val="596D1838"/>
    <w:rsid w:val="597C4D04"/>
    <w:rsid w:val="59917A86"/>
    <w:rsid w:val="59A10231"/>
    <w:rsid w:val="5A1E7263"/>
    <w:rsid w:val="5A4F7C8D"/>
    <w:rsid w:val="5A561049"/>
    <w:rsid w:val="5A7F55EC"/>
    <w:rsid w:val="5ADD3AB9"/>
    <w:rsid w:val="5B1C014C"/>
    <w:rsid w:val="5B673C31"/>
    <w:rsid w:val="5B765CFE"/>
    <w:rsid w:val="5C2D2CA7"/>
    <w:rsid w:val="5C472799"/>
    <w:rsid w:val="5C7A734A"/>
    <w:rsid w:val="5CA87D85"/>
    <w:rsid w:val="5CCC76A3"/>
    <w:rsid w:val="5CD61BD7"/>
    <w:rsid w:val="5CD858CE"/>
    <w:rsid w:val="5CDD1CAA"/>
    <w:rsid w:val="5CFF1C77"/>
    <w:rsid w:val="5D156F6C"/>
    <w:rsid w:val="5D2A4E86"/>
    <w:rsid w:val="5D2C2FFF"/>
    <w:rsid w:val="5D5C2BD8"/>
    <w:rsid w:val="5DB161AF"/>
    <w:rsid w:val="5E1E4AD4"/>
    <w:rsid w:val="5E467271"/>
    <w:rsid w:val="5E745CD6"/>
    <w:rsid w:val="5E754F3D"/>
    <w:rsid w:val="5EA17BBA"/>
    <w:rsid w:val="5EC30CE3"/>
    <w:rsid w:val="5EFA3382"/>
    <w:rsid w:val="5EFE4B3A"/>
    <w:rsid w:val="5F237F75"/>
    <w:rsid w:val="5F8B0BDC"/>
    <w:rsid w:val="5F9D130A"/>
    <w:rsid w:val="5FF55C85"/>
    <w:rsid w:val="603E5D79"/>
    <w:rsid w:val="606C06C2"/>
    <w:rsid w:val="60EC5EF2"/>
    <w:rsid w:val="60F5274C"/>
    <w:rsid w:val="614D033F"/>
    <w:rsid w:val="622938BA"/>
    <w:rsid w:val="622946BC"/>
    <w:rsid w:val="624928CA"/>
    <w:rsid w:val="629D2A1F"/>
    <w:rsid w:val="62ED08B8"/>
    <w:rsid w:val="62ED61DB"/>
    <w:rsid w:val="62F13719"/>
    <w:rsid w:val="62FD6687"/>
    <w:rsid w:val="63076D99"/>
    <w:rsid w:val="6360392C"/>
    <w:rsid w:val="63860BC4"/>
    <w:rsid w:val="63A64A02"/>
    <w:rsid w:val="63A92E44"/>
    <w:rsid w:val="63CA23DA"/>
    <w:rsid w:val="63FE402F"/>
    <w:rsid w:val="643636A3"/>
    <w:rsid w:val="64442C0B"/>
    <w:rsid w:val="64587300"/>
    <w:rsid w:val="646D40E8"/>
    <w:rsid w:val="64757877"/>
    <w:rsid w:val="648512ED"/>
    <w:rsid w:val="64D40EFE"/>
    <w:rsid w:val="64E66515"/>
    <w:rsid w:val="659A151F"/>
    <w:rsid w:val="65C11893"/>
    <w:rsid w:val="65D442A0"/>
    <w:rsid w:val="65FF3F09"/>
    <w:rsid w:val="660D737A"/>
    <w:rsid w:val="660F6630"/>
    <w:rsid w:val="66E77804"/>
    <w:rsid w:val="66EC0AF7"/>
    <w:rsid w:val="66F03B9D"/>
    <w:rsid w:val="67873875"/>
    <w:rsid w:val="67FF4F72"/>
    <w:rsid w:val="680D6EB2"/>
    <w:rsid w:val="68353326"/>
    <w:rsid w:val="687E75D9"/>
    <w:rsid w:val="68D53F0D"/>
    <w:rsid w:val="68D5791B"/>
    <w:rsid w:val="68DA4C11"/>
    <w:rsid w:val="68E90A30"/>
    <w:rsid w:val="691F0A55"/>
    <w:rsid w:val="69232A11"/>
    <w:rsid w:val="69304D10"/>
    <w:rsid w:val="69677714"/>
    <w:rsid w:val="69855FE9"/>
    <w:rsid w:val="69877951"/>
    <w:rsid w:val="69F22D5A"/>
    <w:rsid w:val="69F83958"/>
    <w:rsid w:val="6A1A08A5"/>
    <w:rsid w:val="6A1B0A0D"/>
    <w:rsid w:val="6A2626FA"/>
    <w:rsid w:val="6A462E5B"/>
    <w:rsid w:val="6A870E0F"/>
    <w:rsid w:val="6A9B2674"/>
    <w:rsid w:val="6AAC573D"/>
    <w:rsid w:val="6AAE3893"/>
    <w:rsid w:val="6AF77660"/>
    <w:rsid w:val="6B51584D"/>
    <w:rsid w:val="6B832956"/>
    <w:rsid w:val="6B8754D9"/>
    <w:rsid w:val="6C0F7FD7"/>
    <w:rsid w:val="6C1F46EB"/>
    <w:rsid w:val="6C242858"/>
    <w:rsid w:val="6C5E0429"/>
    <w:rsid w:val="6C8E1655"/>
    <w:rsid w:val="6C90660F"/>
    <w:rsid w:val="6CCB19FA"/>
    <w:rsid w:val="6CF773AB"/>
    <w:rsid w:val="6D9F0B20"/>
    <w:rsid w:val="6DCF6E1E"/>
    <w:rsid w:val="6E0B7382"/>
    <w:rsid w:val="6E950837"/>
    <w:rsid w:val="6F2F2727"/>
    <w:rsid w:val="6F6A3147"/>
    <w:rsid w:val="6F7D7EAF"/>
    <w:rsid w:val="6F83464F"/>
    <w:rsid w:val="6FC40824"/>
    <w:rsid w:val="6FE52CEE"/>
    <w:rsid w:val="6FF66AA9"/>
    <w:rsid w:val="703B4EA9"/>
    <w:rsid w:val="70C920F0"/>
    <w:rsid w:val="70DE6F6B"/>
    <w:rsid w:val="70E51CD3"/>
    <w:rsid w:val="71655E64"/>
    <w:rsid w:val="71B457F4"/>
    <w:rsid w:val="71CA4040"/>
    <w:rsid w:val="72D679F5"/>
    <w:rsid w:val="72EA55A2"/>
    <w:rsid w:val="72F55AC2"/>
    <w:rsid w:val="732140CC"/>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6BE285E"/>
    <w:rsid w:val="770370DE"/>
    <w:rsid w:val="771E1BA7"/>
    <w:rsid w:val="7744501C"/>
    <w:rsid w:val="776C4A2B"/>
    <w:rsid w:val="77752FD1"/>
    <w:rsid w:val="77A80CB1"/>
    <w:rsid w:val="77C1619A"/>
    <w:rsid w:val="77C31E96"/>
    <w:rsid w:val="78273E7E"/>
    <w:rsid w:val="78793C5B"/>
    <w:rsid w:val="78CC2A74"/>
    <w:rsid w:val="78E006B5"/>
    <w:rsid w:val="78F60B5A"/>
    <w:rsid w:val="790330FE"/>
    <w:rsid w:val="79554276"/>
    <w:rsid w:val="796C5D0E"/>
    <w:rsid w:val="79715375"/>
    <w:rsid w:val="799F35DD"/>
    <w:rsid w:val="79A25B8B"/>
    <w:rsid w:val="7A0F3269"/>
    <w:rsid w:val="7A1C5541"/>
    <w:rsid w:val="7A401BAE"/>
    <w:rsid w:val="7A7A220B"/>
    <w:rsid w:val="7AAB7433"/>
    <w:rsid w:val="7BE37F78"/>
    <w:rsid w:val="7BF46C63"/>
    <w:rsid w:val="7BFA1CF7"/>
    <w:rsid w:val="7C38637B"/>
    <w:rsid w:val="7CD460A4"/>
    <w:rsid w:val="7CE1144E"/>
    <w:rsid w:val="7CF36E72"/>
    <w:rsid w:val="7D7D2D75"/>
    <w:rsid w:val="7D935417"/>
    <w:rsid w:val="7DE12EA3"/>
    <w:rsid w:val="7E041932"/>
    <w:rsid w:val="7E0603C0"/>
    <w:rsid w:val="7E1C06D7"/>
    <w:rsid w:val="7E9706B7"/>
    <w:rsid w:val="7EFB200E"/>
    <w:rsid w:val="7F64612E"/>
    <w:rsid w:val="7F7C724C"/>
    <w:rsid w:val="7FC7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4"/>
    <w:basedOn w:val="1"/>
    <w:next w:val="4"/>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180" w:after="180"/>
    </w:pPr>
  </w:style>
  <w:style w:type="paragraph" w:styleId="5">
    <w:name w:val="annotation text"/>
    <w:basedOn w:val="1"/>
    <w:link w:val="19"/>
    <w:qFormat/>
    <w:uiPriority w:val="0"/>
    <w:pPr>
      <w:jc w:val="left"/>
    </w:pPr>
  </w:style>
  <w:style w:type="paragraph" w:styleId="6">
    <w:name w:val="Body Text Indent 2"/>
    <w:basedOn w:val="1"/>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4"/>
    <w:link w:val="9"/>
    <w:qFormat/>
    <w:uiPriority w:val="0"/>
    <w:rPr>
      <w:kern w:val="2"/>
      <w:sz w:val="18"/>
      <w:szCs w:val="18"/>
    </w:rPr>
  </w:style>
  <w:style w:type="character" w:customStyle="1" w:styleId="18">
    <w:name w:val="页脚 字符"/>
    <w:basedOn w:val="14"/>
    <w:link w:val="8"/>
    <w:qFormat/>
    <w:uiPriority w:val="0"/>
    <w:rPr>
      <w:kern w:val="2"/>
      <w:sz w:val="18"/>
      <w:szCs w:val="18"/>
    </w:rPr>
  </w:style>
  <w:style w:type="character" w:customStyle="1" w:styleId="19">
    <w:name w:val="批注文字 字符"/>
    <w:basedOn w:val="14"/>
    <w:link w:val="5"/>
    <w:qFormat/>
    <w:uiPriority w:val="0"/>
    <w:rPr>
      <w:kern w:val="2"/>
      <w:sz w:val="21"/>
      <w:szCs w:val="24"/>
    </w:rPr>
  </w:style>
  <w:style w:type="character" w:customStyle="1" w:styleId="20">
    <w:name w:val="批注主题 字符"/>
    <w:basedOn w:val="19"/>
    <w:link w:val="11"/>
    <w:qFormat/>
    <w:uiPriority w:val="0"/>
    <w:rPr>
      <w:b/>
      <w:bCs/>
      <w:kern w:val="2"/>
      <w:sz w:val="21"/>
      <w:szCs w:val="24"/>
    </w:rPr>
  </w:style>
  <w:style w:type="character" w:customStyle="1" w:styleId="21">
    <w:name w:val="批注框文本 字符"/>
    <w:basedOn w:val="14"/>
    <w:link w:val="7"/>
    <w:qFormat/>
    <w:uiPriority w:val="0"/>
    <w:rPr>
      <w:kern w:val="2"/>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4">
    <w:name w:val="年报正文"/>
    <w:basedOn w:val="1"/>
    <w:qFormat/>
    <w:uiPriority w:val="0"/>
    <w:pPr>
      <w:spacing w:before="120" w:beforeLines="50" w:line="360" w:lineRule="auto"/>
      <w:ind w:firstLine="480" w:firstLineChars="200"/>
    </w:pPr>
  </w:style>
  <w:style w:type="paragraph" w:customStyle="1" w:styleId="25">
    <w:name w:val="First Paragraph"/>
    <w:basedOn w:val="4"/>
    <w:next w:val="4"/>
    <w:qFormat/>
    <w:uiPriority w:val="0"/>
  </w:style>
  <w:style w:type="paragraph" w:customStyle="1" w:styleId="26">
    <w:name w:val="_Style 75"/>
    <w:basedOn w:val="27"/>
    <w:qFormat/>
    <w:uiPriority w:val="34"/>
    <w:pPr>
      <w:widowControl w:val="0"/>
      <w:ind w:firstLine="420" w:firstLineChars="200"/>
      <w:jc w:val="both"/>
    </w:pPr>
    <w:rPr>
      <w:rFonts w:ascii="Calibri" w:hAnsi="Calibri" w:cs="Times New Roman"/>
      <w:kern w:val="2"/>
      <w:szCs w:val="22"/>
    </w:rPr>
  </w:style>
  <w:style w:type="paragraph" w:customStyle="1" w:styleId="27">
    <w:name w:val="_Style 46"/>
    <w:qFormat/>
    <w:uiPriority w:val="0"/>
    <w:rPr>
      <w:rFonts w:ascii="宋体" w:hAnsi="宋体" w:eastAsia="宋体" w:cs="宋体"/>
      <w:szCs w:val="24"/>
      <w:lang w:val="en-US" w:eastAsia="zh-CN" w:bidi="ar-SA"/>
    </w:rPr>
  </w:style>
  <w:style w:type="paragraph" w:customStyle="1" w:styleId="28">
    <w:name w:val="_Style 6"/>
    <w:basedOn w:val="1"/>
    <w:qFormat/>
    <w:uiPriority w:val="34"/>
    <w:pPr>
      <w:ind w:firstLine="420" w:firstLineChars="200"/>
    </w:pPr>
    <w:rPr>
      <w:rFonts w:ascii="Calibri" w:hAnsi="Calibri" w:eastAsia="宋体" w:cs="Times New Roman"/>
      <w:szCs w:val="22"/>
    </w:rPr>
  </w:style>
  <w:style w:type="paragraph" w:customStyle="1" w:styleId="2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3620</Words>
  <Characters>3696</Characters>
  <Lines>33</Lines>
  <Paragraphs>9</Paragraphs>
  <TotalTime>203</TotalTime>
  <ScaleCrop>false</ScaleCrop>
  <LinksUpToDate>false</LinksUpToDate>
  <CharactersWithSpaces>3742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2026-06-09T06:23:58Z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CCB04678E8C14D47A2E90BEF05790401_13</vt:lpwstr>
  </property>
  <property fmtid="{D5CDD505-2E9C-101B-9397-08002B2CF9AE}" pid="4" name="KSOTemplateDocerSaveRecord">
    <vt:lpwstr>eyJoZGlkIjoiZDRhMTYxOGNmYWZhOTM4MWYxOTE1YTNhODg4NmU5ODUiLCJ1c2VySWQiOiI1ODE3NjQyMDYifQ==</vt:lpwstr>
  </property>
</Properties>
</file>