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990FC" w14:textId="77777777" w:rsidR="00B53AA6" w:rsidRDefault="00B41FAC">
      <w:pPr>
        <w:spacing w:before="226" w:line="219" w:lineRule="auto"/>
        <w:ind w:left="143"/>
        <w:rPr>
          <w:rFonts w:ascii="宋体" w:eastAsia="宋体" w:hAnsi="宋体" w:cs="宋体"/>
          <w:spacing w:val="-1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证券代码：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 xml:space="preserve">600256                               </w:t>
      </w: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 xml:space="preserve">              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证券简称：</w:t>
      </w:r>
      <w:proofErr w:type="gramStart"/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广汇能源</w:t>
      </w:r>
      <w:proofErr w:type="gramEnd"/>
    </w:p>
    <w:p w14:paraId="3C1BE166" w14:textId="77777777" w:rsidR="00B53AA6" w:rsidRDefault="00B53AA6">
      <w:pPr>
        <w:spacing w:line="264" w:lineRule="auto"/>
        <w:rPr>
          <w:lang w:eastAsia="zh-CN"/>
        </w:rPr>
      </w:pPr>
    </w:p>
    <w:p w14:paraId="14A2D555" w14:textId="77777777" w:rsidR="00B53AA6" w:rsidRDefault="00B53AA6">
      <w:pPr>
        <w:spacing w:line="265" w:lineRule="auto"/>
        <w:rPr>
          <w:lang w:eastAsia="zh-CN"/>
        </w:rPr>
      </w:pPr>
    </w:p>
    <w:p w14:paraId="45DED819" w14:textId="77777777" w:rsidR="00B53AA6" w:rsidRDefault="00B41FAC">
      <w:pPr>
        <w:spacing w:before="117" w:line="261" w:lineRule="auto"/>
        <w:ind w:left="2412" w:right="2610" w:firstLine="1"/>
        <w:jc w:val="center"/>
        <w:outlineLvl w:val="0"/>
        <w:rPr>
          <w:rFonts w:ascii="黑体" w:eastAsia="黑体" w:hAnsi="黑体" w:cs="黑体"/>
          <w:b/>
          <w:bCs/>
          <w:spacing w:val="-11"/>
          <w:sz w:val="36"/>
          <w:szCs w:val="36"/>
          <w:lang w:eastAsia="zh-CN"/>
        </w:rPr>
      </w:pPr>
      <w:proofErr w:type="gramStart"/>
      <w:r>
        <w:rPr>
          <w:rFonts w:ascii="黑体" w:eastAsia="黑体" w:hAnsi="黑体" w:cs="黑体"/>
          <w:b/>
          <w:bCs/>
          <w:spacing w:val="-11"/>
          <w:sz w:val="36"/>
          <w:szCs w:val="36"/>
          <w:lang w:eastAsia="zh-CN"/>
        </w:rPr>
        <w:t>广汇能源</w:t>
      </w:r>
      <w:proofErr w:type="gramEnd"/>
      <w:r>
        <w:rPr>
          <w:rFonts w:ascii="黑体" w:eastAsia="黑体" w:hAnsi="黑体" w:cs="黑体"/>
          <w:b/>
          <w:bCs/>
          <w:spacing w:val="-11"/>
          <w:sz w:val="36"/>
          <w:szCs w:val="36"/>
          <w:lang w:eastAsia="zh-CN"/>
        </w:rPr>
        <w:t>股份有限公司</w:t>
      </w:r>
    </w:p>
    <w:p w14:paraId="11151618" w14:textId="77777777" w:rsidR="00B53AA6" w:rsidRDefault="00B41FAC">
      <w:pPr>
        <w:spacing w:before="117" w:line="261" w:lineRule="auto"/>
        <w:ind w:left="2412" w:right="2610" w:firstLine="1"/>
        <w:jc w:val="center"/>
        <w:outlineLvl w:val="0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b/>
          <w:bCs/>
          <w:spacing w:val="-11"/>
          <w:sz w:val="36"/>
          <w:szCs w:val="36"/>
          <w:lang w:eastAsia="zh-CN"/>
        </w:rPr>
        <w:t>投资者关系活动记录表</w:t>
      </w:r>
    </w:p>
    <w:p w14:paraId="70FD567B" w14:textId="77777777" w:rsidR="00B53AA6" w:rsidRDefault="00B53AA6">
      <w:pPr>
        <w:spacing w:before="213"/>
        <w:rPr>
          <w:lang w:eastAsia="zh-CN"/>
        </w:rPr>
      </w:pPr>
    </w:p>
    <w:tbl>
      <w:tblPr>
        <w:tblStyle w:val="TableNormal"/>
        <w:tblW w:w="9905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9"/>
        <w:gridCol w:w="2864"/>
        <w:gridCol w:w="4942"/>
      </w:tblGrid>
      <w:tr w:rsidR="00B53AA6" w14:paraId="79B3FC61" w14:textId="77777777">
        <w:trPr>
          <w:trHeight w:val="1077"/>
        </w:trPr>
        <w:tc>
          <w:tcPr>
            <w:tcW w:w="2099" w:type="dxa"/>
            <w:vAlign w:val="center"/>
          </w:tcPr>
          <w:p w14:paraId="41EB9CA0" w14:textId="77777777" w:rsidR="00B53AA6" w:rsidRDefault="00B41FAC">
            <w:pPr>
              <w:pStyle w:val="TableText"/>
              <w:spacing w:before="78" w:line="373" w:lineRule="auto"/>
              <w:ind w:left="510" w:right="372" w:hanging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13"/>
                <w:sz w:val="24"/>
                <w:szCs w:val="24"/>
              </w:rPr>
              <w:t>投资者关系</w:t>
            </w:r>
            <w:r>
              <w:rPr>
                <w:b/>
                <w:bCs/>
                <w:spacing w:val="-12"/>
                <w:sz w:val="24"/>
                <w:szCs w:val="24"/>
              </w:rPr>
              <w:t>活动类别</w:t>
            </w:r>
            <w:proofErr w:type="spellEnd"/>
          </w:p>
        </w:tc>
        <w:tc>
          <w:tcPr>
            <w:tcW w:w="2864" w:type="dxa"/>
            <w:tcBorders>
              <w:right w:val="nil"/>
            </w:tcBorders>
          </w:tcPr>
          <w:p w14:paraId="06E48E5B" w14:textId="77777777" w:rsidR="00B53AA6" w:rsidRDefault="00B41FAC">
            <w:pPr>
              <w:pStyle w:val="TableText"/>
              <w:spacing w:before="210" w:line="207" w:lineRule="auto"/>
              <w:ind w:left="138"/>
              <w:rPr>
                <w:sz w:val="24"/>
                <w:szCs w:val="24"/>
                <w:lang w:eastAsia="zh-CN"/>
              </w:rPr>
            </w:pPr>
            <w:r>
              <w:rPr>
                <w:rFonts w:ascii="Segoe UI Symbol" w:eastAsia="Segoe UI Symbol" w:hAnsi="Segoe UI Symbol" w:cs="Segoe UI Symbol"/>
                <w:spacing w:val="-7"/>
                <w:sz w:val="24"/>
                <w:szCs w:val="24"/>
                <w:lang w:eastAsia="zh-CN"/>
              </w:rPr>
              <w:t>□</w:t>
            </w:r>
            <w:r>
              <w:rPr>
                <w:spacing w:val="-7"/>
                <w:sz w:val="24"/>
                <w:szCs w:val="24"/>
                <w:lang w:eastAsia="zh-CN"/>
              </w:rPr>
              <w:t>特定对象调研</w:t>
            </w:r>
          </w:p>
          <w:p w14:paraId="0935DF93" w14:textId="77777777" w:rsidR="00B53AA6" w:rsidRDefault="00B41FAC">
            <w:pPr>
              <w:pStyle w:val="TableText"/>
              <w:spacing w:before="204" w:line="207" w:lineRule="auto"/>
              <w:ind w:left="138"/>
              <w:rPr>
                <w:sz w:val="24"/>
                <w:szCs w:val="24"/>
                <w:lang w:eastAsia="zh-CN"/>
              </w:rPr>
            </w:pPr>
            <w:r>
              <w:rPr>
                <w:rFonts w:ascii="Segoe UI Symbol" w:eastAsia="Segoe UI Symbol" w:hAnsi="Segoe UI Symbol" w:cs="Segoe UI Symbol"/>
                <w:spacing w:val="-8"/>
                <w:sz w:val="24"/>
                <w:szCs w:val="24"/>
                <w:lang w:eastAsia="zh-CN"/>
              </w:rPr>
              <w:t>□</w:t>
            </w:r>
            <w:r>
              <w:rPr>
                <w:spacing w:val="-8"/>
                <w:sz w:val="24"/>
                <w:szCs w:val="24"/>
                <w:lang w:eastAsia="zh-CN"/>
              </w:rPr>
              <w:t>媒体采访</w:t>
            </w:r>
          </w:p>
          <w:p w14:paraId="72CECBD0" w14:textId="77777777" w:rsidR="00B53AA6" w:rsidRDefault="00B41FAC">
            <w:pPr>
              <w:pStyle w:val="TableText"/>
              <w:spacing w:before="206" w:line="207" w:lineRule="auto"/>
              <w:ind w:left="138"/>
              <w:rPr>
                <w:sz w:val="24"/>
                <w:szCs w:val="24"/>
                <w:lang w:eastAsia="zh-CN"/>
              </w:rPr>
            </w:pPr>
            <w:r>
              <w:rPr>
                <w:rFonts w:ascii="Segoe UI Symbol" w:eastAsia="Segoe UI Symbol" w:hAnsi="Segoe UI Symbol" w:cs="Segoe UI Symbol"/>
                <w:spacing w:val="-8"/>
                <w:sz w:val="24"/>
                <w:szCs w:val="24"/>
                <w:lang w:eastAsia="zh-CN"/>
              </w:rPr>
              <w:t>□</w:t>
            </w:r>
            <w:r>
              <w:rPr>
                <w:spacing w:val="-8"/>
                <w:sz w:val="24"/>
                <w:szCs w:val="24"/>
                <w:lang w:eastAsia="zh-CN"/>
              </w:rPr>
              <w:t>新闻发布会</w:t>
            </w:r>
          </w:p>
          <w:p w14:paraId="026DDA5C" w14:textId="77777777" w:rsidR="00B53AA6" w:rsidRDefault="00B41FAC">
            <w:pPr>
              <w:pStyle w:val="TableText"/>
              <w:spacing w:before="190" w:line="195" w:lineRule="auto"/>
              <w:ind w:left="139"/>
              <w:rPr>
                <w:sz w:val="24"/>
                <w:szCs w:val="24"/>
                <w:lang w:eastAsia="zh-CN"/>
              </w:rPr>
            </w:pPr>
            <w:r>
              <w:rPr>
                <w:rFonts w:ascii="Segoe UI Symbol" w:hAnsi="Segoe UI Symbol" w:cs="Segoe UI Symbol" w:hint="eastAsia"/>
                <w:spacing w:val="-8"/>
                <w:sz w:val="24"/>
                <w:szCs w:val="24"/>
                <w:lang w:eastAsia="zh-CN"/>
              </w:rPr>
              <w:t>☑</w:t>
            </w:r>
            <w:r>
              <w:rPr>
                <w:spacing w:val="-14"/>
                <w:sz w:val="24"/>
                <w:szCs w:val="24"/>
                <w:lang w:eastAsia="zh-CN"/>
              </w:rPr>
              <w:t>现场参观</w:t>
            </w:r>
          </w:p>
        </w:tc>
        <w:tc>
          <w:tcPr>
            <w:tcW w:w="4942" w:type="dxa"/>
            <w:tcBorders>
              <w:left w:val="nil"/>
            </w:tcBorders>
          </w:tcPr>
          <w:p w14:paraId="4B5EAF32" w14:textId="77777777" w:rsidR="00B53AA6" w:rsidRDefault="00B41FAC">
            <w:pPr>
              <w:pStyle w:val="TableText"/>
              <w:spacing w:before="208" w:line="207" w:lineRule="auto"/>
              <w:ind w:left="773"/>
              <w:rPr>
                <w:sz w:val="24"/>
                <w:szCs w:val="24"/>
                <w:lang w:eastAsia="zh-CN"/>
              </w:rPr>
            </w:pPr>
            <w:r>
              <w:rPr>
                <w:rFonts w:ascii="Segoe UI Symbol" w:eastAsia="Segoe UI Symbol" w:hAnsi="Segoe UI Symbol" w:cs="Segoe UI Symbol"/>
                <w:spacing w:val="-8"/>
                <w:sz w:val="24"/>
                <w:szCs w:val="24"/>
                <w:lang w:eastAsia="zh-CN"/>
              </w:rPr>
              <w:t>□</w:t>
            </w:r>
            <w:r>
              <w:rPr>
                <w:spacing w:val="-8"/>
                <w:sz w:val="24"/>
                <w:szCs w:val="24"/>
                <w:lang w:eastAsia="zh-CN"/>
              </w:rPr>
              <w:t>分析师会议</w:t>
            </w:r>
          </w:p>
          <w:p w14:paraId="0A73FEB7" w14:textId="77777777" w:rsidR="00B53AA6" w:rsidRDefault="00B41FAC">
            <w:pPr>
              <w:pStyle w:val="TableText"/>
              <w:spacing w:before="206" w:line="207" w:lineRule="auto"/>
              <w:ind w:left="773"/>
              <w:rPr>
                <w:sz w:val="24"/>
                <w:szCs w:val="24"/>
                <w:lang w:eastAsia="zh-CN"/>
              </w:rPr>
            </w:pPr>
            <w:bookmarkStart w:id="0" w:name="OLE_LINK5"/>
            <w:bookmarkStart w:id="1" w:name="OLE_LINK2"/>
            <w:r>
              <w:rPr>
                <w:rFonts w:ascii="Segoe UI Symbol" w:eastAsia="Segoe UI Symbol" w:hAnsi="Segoe UI Symbol" w:cs="Segoe UI Symbol"/>
                <w:spacing w:val="-8"/>
                <w:sz w:val="24"/>
                <w:szCs w:val="24"/>
                <w:lang w:eastAsia="zh-CN"/>
              </w:rPr>
              <w:t>□</w:t>
            </w:r>
            <w:bookmarkEnd w:id="0"/>
            <w:bookmarkEnd w:id="1"/>
            <w:r>
              <w:rPr>
                <w:spacing w:val="-8"/>
                <w:sz w:val="24"/>
                <w:szCs w:val="24"/>
                <w:lang w:eastAsia="zh-CN"/>
              </w:rPr>
              <w:t>业绩说明会</w:t>
            </w:r>
          </w:p>
          <w:p w14:paraId="1EFF6C07" w14:textId="77777777" w:rsidR="00B53AA6" w:rsidRDefault="00B41FAC">
            <w:pPr>
              <w:pStyle w:val="TableText"/>
              <w:spacing w:before="207" w:line="207" w:lineRule="auto"/>
              <w:ind w:left="734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pacing w:val="-8"/>
                <w:sz w:val="24"/>
                <w:szCs w:val="24"/>
                <w:lang w:eastAsia="zh-CN"/>
              </w:rPr>
              <w:t>□</w:t>
            </w:r>
            <w:proofErr w:type="spellStart"/>
            <w:r>
              <w:rPr>
                <w:spacing w:val="-8"/>
                <w:sz w:val="24"/>
                <w:szCs w:val="24"/>
              </w:rPr>
              <w:t>路演活动</w:t>
            </w:r>
            <w:proofErr w:type="spellEnd"/>
          </w:p>
          <w:p w14:paraId="47E00F33" w14:textId="77777777" w:rsidR="00B53AA6" w:rsidRDefault="00B41FAC">
            <w:pPr>
              <w:pStyle w:val="TableText"/>
              <w:spacing w:before="205" w:line="182" w:lineRule="auto"/>
              <w:ind w:left="600" w:firstLineChars="100" w:firstLine="231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pacing w:val="-9"/>
                <w:sz w:val="24"/>
                <w:szCs w:val="24"/>
              </w:rPr>
              <w:t>□</w:t>
            </w:r>
            <w:proofErr w:type="spellStart"/>
            <w:r>
              <w:rPr>
                <w:spacing w:val="-9"/>
                <w:sz w:val="24"/>
                <w:szCs w:val="24"/>
              </w:rPr>
              <w:t>其他</w:t>
            </w:r>
            <w:proofErr w:type="spellEnd"/>
          </w:p>
        </w:tc>
      </w:tr>
      <w:tr w:rsidR="00B53AA6" w14:paraId="0891501E" w14:textId="77777777">
        <w:trPr>
          <w:trHeight w:val="1686"/>
        </w:trPr>
        <w:tc>
          <w:tcPr>
            <w:tcW w:w="2099" w:type="dxa"/>
            <w:vAlign w:val="center"/>
          </w:tcPr>
          <w:p w14:paraId="08E601D0" w14:textId="77777777" w:rsidR="00B53AA6" w:rsidRDefault="00B41FAC">
            <w:pPr>
              <w:pStyle w:val="TableText"/>
              <w:spacing w:before="284" w:line="312" w:lineRule="auto"/>
              <w:ind w:left="373" w:right="261" w:hanging="114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11"/>
                <w:sz w:val="24"/>
                <w:szCs w:val="24"/>
                <w:lang w:eastAsia="zh-CN"/>
              </w:rPr>
              <w:t>参与单位名称</w:t>
            </w:r>
          </w:p>
        </w:tc>
        <w:tc>
          <w:tcPr>
            <w:tcW w:w="7806" w:type="dxa"/>
            <w:gridSpan w:val="2"/>
          </w:tcPr>
          <w:p w14:paraId="7AE043AD" w14:textId="77777777" w:rsidR="00B53AA6" w:rsidRDefault="00B41FAC">
            <w:pPr>
              <w:pStyle w:val="TableText"/>
              <w:spacing w:before="297" w:line="335" w:lineRule="auto"/>
              <w:ind w:left="12" w:right="73" w:firstLine="23"/>
              <w:rPr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上海证券报；南方基金；华泰证券；银河证券；中信建投；兴业证券；浦发银行；长江证券</w:t>
            </w:r>
            <w:r>
              <w:rPr>
                <w:spacing w:val="-3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富国基金</w:t>
            </w:r>
            <w:r>
              <w:rPr>
                <w:spacing w:val="-3"/>
                <w:sz w:val="24"/>
                <w:szCs w:val="24"/>
                <w:lang w:eastAsia="zh-CN"/>
              </w:rPr>
              <w:t>；</w:t>
            </w:r>
            <w:proofErr w:type="gramStart"/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招商信</w:t>
            </w:r>
            <w:proofErr w:type="gramEnd"/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诺</w:t>
            </w:r>
            <w:r>
              <w:rPr>
                <w:spacing w:val="-3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远信投资</w:t>
            </w:r>
            <w:r>
              <w:rPr>
                <w:spacing w:val="-3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东方基金</w:t>
            </w:r>
            <w:r>
              <w:rPr>
                <w:spacing w:val="-3"/>
                <w:sz w:val="24"/>
                <w:szCs w:val="24"/>
                <w:lang w:eastAsia="zh-CN"/>
              </w:rPr>
              <w:t>；</w:t>
            </w:r>
            <w:proofErr w:type="gramStart"/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聚鸣资产</w:t>
            </w:r>
            <w:proofErr w:type="gramEnd"/>
            <w:r>
              <w:rPr>
                <w:spacing w:val="-3"/>
                <w:sz w:val="24"/>
                <w:szCs w:val="24"/>
                <w:lang w:eastAsia="zh-CN"/>
              </w:rPr>
              <w:t>等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机构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7</w:t>
            </w:r>
            <w:r>
              <w:rPr>
                <w:spacing w:val="-3"/>
                <w:sz w:val="24"/>
                <w:szCs w:val="24"/>
                <w:lang w:eastAsia="zh-CN"/>
              </w:rPr>
              <w:t>3</w:t>
            </w:r>
            <w:r>
              <w:rPr>
                <w:spacing w:val="-3"/>
                <w:sz w:val="24"/>
                <w:szCs w:val="24"/>
                <w:lang w:eastAsia="zh-CN"/>
              </w:rPr>
              <w:t>位投资者（排名不分先后）</w:t>
            </w:r>
          </w:p>
        </w:tc>
      </w:tr>
      <w:tr w:rsidR="00B53AA6" w14:paraId="43E32880" w14:textId="77777777">
        <w:trPr>
          <w:trHeight w:val="90"/>
        </w:trPr>
        <w:tc>
          <w:tcPr>
            <w:tcW w:w="2099" w:type="dxa"/>
          </w:tcPr>
          <w:p w14:paraId="49BB4393" w14:textId="77777777" w:rsidR="00B53AA6" w:rsidRDefault="00B41FAC">
            <w:pPr>
              <w:pStyle w:val="TableText"/>
              <w:spacing w:before="237" w:line="200" w:lineRule="auto"/>
              <w:ind w:firstLineChars="300" w:firstLine="684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时</w:t>
            </w:r>
            <w:r>
              <w:rPr>
                <w:rFonts w:hint="eastAsia"/>
                <w:b/>
                <w:bCs/>
                <w:spacing w:val="-13"/>
                <w:sz w:val="24"/>
                <w:szCs w:val="24"/>
                <w:lang w:eastAsia="zh-CN"/>
              </w:rPr>
              <w:t xml:space="preserve">  </w:t>
            </w:r>
            <w:r>
              <w:rPr>
                <w:b/>
                <w:bCs/>
                <w:spacing w:val="-13"/>
                <w:sz w:val="24"/>
                <w:szCs w:val="24"/>
              </w:rPr>
              <w:t>间</w:t>
            </w:r>
          </w:p>
        </w:tc>
        <w:tc>
          <w:tcPr>
            <w:tcW w:w="7806" w:type="dxa"/>
            <w:gridSpan w:val="2"/>
          </w:tcPr>
          <w:p w14:paraId="301C2C7B" w14:textId="77777777" w:rsidR="00B53AA6" w:rsidRDefault="00B41FAC">
            <w:pPr>
              <w:pStyle w:val="TableText"/>
              <w:spacing w:before="250" w:line="207" w:lineRule="auto"/>
              <w:ind w:left="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202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6</w:t>
            </w:r>
            <w:r>
              <w:rPr>
                <w:spacing w:val="-3"/>
                <w:sz w:val="24"/>
                <w:szCs w:val="24"/>
              </w:rPr>
              <w:t>年</w:t>
            </w:r>
            <w:r>
              <w:rPr>
                <w:spacing w:val="-3"/>
                <w:sz w:val="24"/>
                <w:szCs w:val="24"/>
                <w:lang w:eastAsia="zh-CN"/>
              </w:rPr>
              <w:t>6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月</w:t>
            </w:r>
            <w:r>
              <w:rPr>
                <w:spacing w:val="-3"/>
                <w:sz w:val="24"/>
                <w:szCs w:val="24"/>
                <w:lang w:eastAsia="zh-CN"/>
              </w:rPr>
              <w:t>5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日</w:t>
            </w:r>
            <w:r>
              <w:rPr>
                <w:spacing w:val="-3"/>
                <w:sz w:val="24"/>
                <w:szCs w:val="24"/>
                <w:lang w:eastAsia="zh-CN"/>
              </w:rPr>
              <w:t>-6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月</w:t>
            </w:r>
            <w:r>
              <w:rPr>
                <w:spacing w:val="-3"/>
                <w:sz w:val="24"/>
                <w:szCs w:val="24"/>
                <w:lang w:eastAsia="zh-CN"/>
              </w:rPr>
              <w:t>9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日</w:t>
            </w:r>
          </w:p>
        </w:tc>
      </w:tr>
      <w:tr w:rsidR="00B53AA6" w14:paraId="281B1676" w14:textId="77777777">
        <w:trPr>
          <w:trHeight w:val="90"/>
        </w:trPr>
        <w:tc>
          <w:tcPr>
            <w:tcW w:w="2099" w:type="dxa"/>
          </w:tcPr>
          <w:p w14:paraId="7C958AB7" w14:textId="77777777" w:rsidR="00B53AA6" w:rsidRDefault="00B41FAC">
            <w:pPr>
              <w:pStyle w:val="TableText"/>
              <w:spacing w:before="242" w:line="200" w:lineRule="auto"/>
              <w:ind w:firstLineChars="300" w:firstLine="699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地</w:t>
            </w: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 xml:space="preserve">  </w:t>
            </w:r>
            <w:r>
              <w:rPr>
                <w:b/>
                <w:bCs/>
                <w:spacing w:val="-8"/>
                <w:sz w:val="24"/>
                <w:szCs w:val="24"/>
              </w:rPr>
              <w:t>点</w:t>
            </w:r>
          </w:p>
        </w:tc>
        <w:tc>
          <w:tcPr>
            <w:tcW w:w="7806" w:type="dxa"/>
            <w:gridSpan w:val="2"/>
          </w:tcPr>
          <w:p w14:paraId="0FF794FB" w14:textId="77777777" w:rsidR="00B53AA6" w:rsidRDefault="00B41FAC">
            <w:pPr>
              <w:pStyle w:val="TableText"/>
              <w:spacing w:before="252" w:line="210" w:lineRule="auto"/>
              <w:ind w:left="13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新疆维吾尔自治区乌鲁木齐市新华北路</w:t>
            </w:r>
            <w:proofErr w:type="gramStart"/>
            <w:r>
              <w:rPr>
                <w:spacing w:val="-2"/>
                <w:sz w:val="24"/>
                <w:szCs w:val="24"/>
                <w:lang w:eastAsia="zh-CN"/>
              </w:rPr>
              <w:t>165</w:t>
            </w:r>
            <w:r>
              <w:rPr>
                <w:spacing w:val="-2"/>
                <w:sz w:val="24"/>
                <w:szCs w:val="24"/>
                <w:lang w:eastAsia="zh-CN"/>
              </w:rPr>
              <w:t>号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广汇能源</w:t>
            </w:r>
            <w:proofErr w:type="gramEnd"/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大厦</w:t>
            </w:r>
          </w:p>
        </w:tc>
      </w:tr>
      <w:tr w:rsidR="00B53AA6" w14:paraId="24745C87" w14:textId="77777777">
        <w:trPr>
          <w:trHeight w:val="90"/>
        </w:trPr>
        <w:tc>
          <w:tcPr>
            <w:tcW w:w="2099" w:type="dxa"/>
          </w:tcPr>
          <w:p w14:paraId="323965F7" w14:textId="77777777" w:rsidR="00B53AA6" w:rsidRDefault="00B41FAC">
            <w:pPr>
              <w:pStyle w:val="TableText"/>
              <w:spacing w:before="229" w:line="287" w:lineRule="auto"/>
              <w:ind w:left="547" w:right="213" w:hanging="240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11"/>
                <w:sz w:val="24"/>
                <w:szCs w:val="24"/>
                <w:lang w:eastAsia="zh-CN"/>
              </w:rPr>
              <w:t>上市公司接待</w:t>
            </w:r>
            <w:r>
              <w:rPr>
                <w:b/>
                <w:bCs/>
                <w:spacing w:val="-10"/>
                <w:sz w:val="24"/>
                <w:szCs w:val="24"/>
                <w:lang w:eastAsia="zh-CN"/>
              </w:rPr>
              <w:t>人员姓名</w:t>
            </w:r>
          </w:p>
        </w:tc>
        <w:tc>
          <w:tcPr>
            <w:tcW w:w="7806" w:type="dxa"/>
            <w:gridSpan w:val="2"/>
          </w:tcPr>
          <w:p w14:paraId="5F0977F1" w14:textId="77777777" w:rsidR="00B53AA6" w:rsidRDefault="00B41FAC">
            <w:pPr>
              <w:pStyle w:val="TableText"/>
              <w:spacing w:before="245" w:line="219" w:lineRule="auto"/>
              <w:ind w:left="11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pacing w:val="-3"/>
                <w:sz w:val="24"/>
                <w:szCs w:val="24"/>
                <w:lang w:eastAsia="zh-CN"/>
              </w:rPr>
              <w:t>广汇能源</w:t>
            </w:r>
            <w:proofErr w:type="gramEnd"/>
            <w:r>
              <w:rPr>
                <w:spacing w:val="-3"/>
                <w:sz w:val="24"/>
                <w:szCs w:val="24"/>
                <w:lang w:eastAsia="zh-CN"/>
              </w:rPr>
              <w:t>副总经理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兼</w:t>
            </w:r>
            <w:r>
              <w:rPr>
                <w:spacing w:val="-3"/>
                <w:sz w:val="24"/>
                <w:szCs w:val="24"/>
                <w:lang w:eastAsia="zh-CN"/>
              </w:rPr>
              <w:t>董事会秘书</w:t>
            </w:r>
            <w:r>
              <w:rPr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3"/>
                <w:sz w:val="24"/>
                <w:szCs w:val="24"/>
                <w:lang w:eastAsia="zh-CN"/>
              </w:rPr>
              <w:t>阳贤</w:t>
            </w:r>
          </w:p>
          <w:p w14:paraId="094B2FC5" w14:textId="77777777" w:rsidR="00B53AA6" w:rsidRDefault="00B41FAC">
            <w:pPr>
              <w:pStyle w:val="TableText"/>
              <w:spacing w:before="126" w:line="220" w:lineRule="auto"/>
              <w:ind w:left="11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证券部相关人员</w:t>
            </w:r>
            <w:proofErr w:type="spellEnd"/>
          </w:p>
        </w:tc>
      </w:tr>
      <w:tr w:rsidR="00B53AA6" w14:paraId="47703028" w14:textId="77777777">
        <w:trPr>
          <w:trHeight w:val="70"/>
        </w:trPr>
        <w:tc>
          <w:tcPr>
            <w:tcW w:w="2099" w:type="dxa"/>
          </w:tcPr>
          <w:p w14:paraId="1F0E7738" w14:textId="77777777" w:rsidR="00B53AA6" w:rsidRDefault="00B53AA6">
            <w:pPr>
              <w:spacing w:line="273" w:lineRule="auto"/>
              <w:rPr>
                <w:lang w:eastAsia="zh-CN"/>
              </w:rPr>
            </w:pPr>
          </w:p>
          <w:p w14:paraId="09006076" w14:textId="77777777" w:rsidR="00B53AA6" w:rsidRDefault="00B53AA6">
            <w:pPr>
              <w:spacing w:line="273" w:lineRule="auto"/>
              <w:rPr>
                <w:lang w:eastAsia="zh-CN"/>
              </w:rPr>
            </w:pPr>
          </w:p>
          <w:p w14:paraId="6E813C6C" w14:textId="77777777" w:rsidR="00B53AA6" w:rsidRDefault="00B53AA6">
            <w:pPr>
              <w:spacing w:line="274" w:lineRule="auto"/>
              <w:rPr>
                <w:lang w:eastAsia="zh-CN"/>
              </w:rPr>
            </w:pPr>
          </w:p>
          <w:p w14:paraId="6EF7E5DB" w14:textId="77777777" w:rsidR="00B53AA6" w:rsidRDefault="00B53AA6">
            <w:pPr>
              <w:spacing w:line="274" w:lineRule="auto"/>
              <w:rPr>
                <w:lang w:eastAsia="zh-CN"/>
              </w:rPr>
            </w:pPr>
          </w:p>
          <w:p w14:paraId="3739EEAE" w14:textId="77777777" w:rsidR="00B53AA6" w:rsidRDefault="00B53AA6">
            <w:pPr>
              <w:spacing w:line="274" w:lineRule="auto"/>
              <w:rPr>
                <w:lang w:eastAsia="zh-CN"/>
              </w:rPr>
            </w:pPr>
          </w:p>
          <w:p w14:paraId="4486673F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7333B426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219314F6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2297DE49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373763D9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62FE40B0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4F049D5E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7F15FB88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095F8F30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3204E4CD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00CA6771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6FEEFACB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3E18260C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3F7879BE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0BE350A2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2A990BD4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4C67879A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3AC9F2A4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706E534B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537E5CA8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31B56EFA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186F2D69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7C2DDEA5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06C3676A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11631092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207F7A52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558467FD" w14:textId="77777777" w:rsidR="00B53AA6" w:rsidRDefault="00B53AA6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53964AB2" w14:textId="77777777" w:rsidR="00B53AA6" w:rsidRDefault="00B41FAC">
            <w:pPr>
              <w:pStyle w:val="TableText"/>
              <w:spacing w:before="78" w:line="372" w:lineRule="auto"/>
              <w:ind w:left="258" w:right="148" w:hanging="118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11"/>
                <w:sz w:val="24"/>
                <w:szCs w:val="24"/>
                <w:lang w:eastAsia="zh-CN"/>
              </w:rPr>
              <w:t>投资者关系活动</w:t>
            </w:r>
            <w:r>
              <w:rPr>
                <w:b/>
                <w:bCs/>
                <w:spacing w:val="-10"/>
                <w:sz w:val="24"/>
                <w:szCs w:val="24"/>
                <w:lang w:eastAsia="zh-CN"/>
              </w:rPr>
              <w:t>主要内容介绍</w:t>
            </w:r>
          </w:p>
        </w:tc>
        <w:tc>
          <w:tcPr>
            <w:tcW w:w="7806" w:type="dxa"/>
            <w:gridSpan w:val="2"/>
          </w:tcPr>
          <w:p w14:paraId="59E65CBD" w14:textId="77777777" w:rsidR="00B53AA6" w:rsidRDefault="00B41FAC">
            <w:pPr>
              <w:spacing w:line="360" w:lineRule="exact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lastRenderedPageBreak/>
              <w:t>1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新疆地区当前的水土保持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费政策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未来是否会有变化？煤炭资源税税率是多少？</w:t>
            </w:r>
          </w:p>
          <w:p w14:paraId="7580A070" w14:textId="77777777" w:rsidR="00B53AA6" w:rsidRDefault="00B41FA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答：目前水土保持补偿费政策无最新调整，公司仍按现行政策要求规范执行，合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缴纳相关费用。新疆当前的煤炭资源税税率为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9%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</w:p>
          <w:p w14:paraId="6F603BE3" w14:textId="77777777" w:rsidR="00B53AA6" w:rsidRDefault="00B53AA6">
            <w:pPr>
              <w:spacing w:line="360" w:lineRule="exact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14:paraId="57190159" w14:textId="77777777" w:rsidR="00B53AA6" w:rsidRDefault="00B41FAC">
            <w:pPr>
              <w:spacing w:line="360" w:lineRule="exact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公司今年强调从规模驱动迈向质量驱动，同时可能降低原煤产量目标，具体将采取哪些措施？</w:t>
            </w:r>
          </w:p>
          <w:p w14:paraId="75559FE6" w14:textId="77777777" w:rsidR="00B53AA6" w:rsidRDefault="00B41FA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答：公司煤炭销售实行随行就市、灵活调整的市场化定价机制。今年以来，价格回升态势明确。自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第四季度起，公司正式推进销售策略转型，从以往规模导向转向质量导向，核心思路不再将高附加值的富油煤当作普通动力煤对外销售，而是根据不同煤种的利润弹性，动态调整销量结构，坚持以效益最大化为经营目标。当前，区域富油煤市场供需格局持续改善，为公司实施差异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化销售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策略创造了有利条件，推动吨煤盈利水平快速修复，整体盈利能力稳步回升。</w:t>
            </w:r>
          </w:p>
          <w:p w14:paraId="5F02898E" w14:textId="77777777" w:rsidR="00B53AA6" w:rsidRDefault="00B53AA6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20DB68BB" w14:textId="77777777" w:rsidR="00B53AA6" w:rsidRDefault="00B41FAC">
            <w:pPr>
              <w:spacing w:line="360" w:lineRule="exact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lastRenderedPageBreak/>
              <w:t>3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公司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三、四季度是否会补足二季度欠缺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的长协供应量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？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三、四季度长协气源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供应是否稳定？</w:t>
            </w:r>
          </w:p>
          <w:p w14:paraId="1C4D8AB4" w14:textId="77777777" w:rsidR="00B53AA6" w:rsidRDefault="00B41FA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答：受中东冲突这一不可抗力因素影响，公司二季度气量出现欠量。目前，公司正积极与上游供应商道达尔沟通协商。由于三、四季度气源并非来自中东，因此不会受该事件影响，将照常履约。</w:t>
            </w:r>
          </w:p>
          <w:p w14:paraId="0D19C4DD" w14:textId="77777777" w:rsidR="00B53AA6" w:rsidRDefault="00B53AA6">
            <w:pPr>
              <w:spacing w:line="360" w:lineRule="exact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14:paraId="3F293963" w14:textId="7420B053" w:rsidR="00B53AA6" w:rsidRDefault="00B41FAC">
            <w:pPr>
              <w:spacing w:line="360" w:lineRule="exact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4.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关于新的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1500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万吨煤炭分级提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质利用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项目和富油煤高值化利用项目进展情况如何？</w:t>
            </w:r>
          </w:p>
          <w:p w14:paraId="524B037A" w14:textId="42A6BAB4" w:rsidR="00B53AA6" w:rsidRDefault="00B41FA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</w:t>
            </w:r>
            <w:bookmarkStart w:id="2" w:name="OLE_LINK6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公司目前正在加紧推进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1500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万吨的煤炭分级提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质利用项目环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评、能评相关工作</w:t>
            </w:r>
            <w:bookmarkEnd w:id="2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；富油煤</w:t>
            </w:r>
            <w:r w:rsidR="005C581F" w:rsidRPr="005C581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高值化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利用改造项目的相关审批手续已全部办结，目前也正按计划稳步推进。</w:t>
            </w:r>
          </w:p>
          <w:p w14:paraId="1588574D" w14:textId="77777777" w:rsidR="00B53AA6" w:rsidRDefault="00B53AA6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10D87C0A" w14:textId="77777777" w:rsidR="00B53AA6" w:rsidRDefault="00B41FAC">
            <w:pPr>
              <w:spacing w:line="360" w:lineRule="exact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伴随疆内众多煤化工项目逐步落地，公司煤炭销售在疆内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与疆外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的结构占比是否会发生变化？年内是否有望实现销量净增长？</w:t>
            </w:r>
          </w:p>
          <w:p w14:paraId="5C1B5895" w14:textId="77777777" w:rsidR="00B53AA6" w:rsidRDefault="00B41FA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公司煤炭销售战略已从过去追求规模转向如今注重质量，重点服务哈密本地的煤化工产业，确保区域原料煤供应稳定，从而持续提升煤炭资源价值和整体盈利能力。白石湖露天煤矿出产的原煤属于国内稀缺的富油气煤，资源品质优良、稀缺性突出。该原煤经热解分质利用后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单吨煤炭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可产出近百公斤油品，具备煤、油、气综合利用的特点，产品附加值优势明显。当前，哈密区域已有多项煤炭分级提质综合利用新项目落地，预计年内将带来约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25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万吨的新增原煤配套需求，这为公司打造了稳定且溢价能力强的本地消纳市场。当地煤化工企业对富油气煤有强烈的刚性需求，煤价承受能力强，经营韧性良好。鉴于疆内每吨煤的盈利优势明显，公司自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年以来持续优化销售结构，逐渐提升疆内煤炭销售比例，借助优质资源和本地高端消纳渠道，推动企业效益稳步增长。</w:t>
            </w:r>
          </w:p>
          <w:p w14:paraId="7D098343" w14:textId="77777777" w:rsidR="00B53AA6" w:rsidRDefault="00B53AA6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70FD9B3F" w14:textId="77777777" w:rsidR="00B53AA6" w:rsidRDefault="00B41FAC">
            <w:pPr>
              <w:spacing w:line="360" w:lineRule="exact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6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近期煤炭价格稳中有增，在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调整销售结构后，白石湖煤炭的销售均价是否能够提升？</w:t>
            </w:r>
          </w:p>
          <w:p w14:paraId="568E9A0C" w14:textId="77777777" w:rsidR="00B53AA6" w:rsidRDefault="00B41FA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</w:t>
            </w:r>
            <w:r>
              <w:rPr>
                <w:rFonts w:hint="eastAsia"/>
                <w:sz w:val="24"/>
                <w:lang w:eastAsia="zh-CN"/>
              </w:rPr>
              <w:t>当前，我国煤炭行业供应受产地安</w:t>
            </w:r>
            <w:proofErr w:type="gramStart"/>
            <w:r>
              <w:rPr>
                <w:rFonts w:hint="eastAsia"/>
                <w:sz w:val="24"/>
                <w:lang w:eastAsia="zh-CN"/>
              </w:rPr>
              <w:t>监趋严及</w:t>
            </w:r>
            <w:proofErr w:type="gramEnd"/>
            <w:r>
              <w:rPr>
                <w:rFonts w:hint="eastAsia"/>
                <w:sz w:val="24"/>
                <w:lang w:eastAsia="zh-CN"/>
              </w:rPr>
              <w:t>进口倒挂影响，煤炭供给受限，而需求受新增电力、化工用煤及厄尔尼诺气候等因素影响有改善预期，供需已逐步从平衡转为偏紧，价格中枢有望得到逐步抬升，在此基础上公司煤炭板块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价格及</w:t>
            </w:r>
            <w:r>
              <w:rPr>
                <w:rFonts w:hint="eastAsia"/>
                <w:sz w:val="24"/>
                <w:lang w:eastAsia="zh-CN"/>
              </w:rPr>
              <w:t>毛利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均</w:t>
            </w:r>
            <w:r>
              <w:rPr>
                <w:rFonts w:hint="eastAsia"/>
                <w:sz w:val="24"/>
                <w:lang w:eastAsia="zh-CN"/>
              </w:rPr>
              <w:t>有望迎来明显修复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。</w:t>
            </w:r>
          </w:p>
          <w:p w14:paraId="4623EE07" w14:textId="77777777" w:rsidR="00B53AA6" w:rsidRDefault="00B53AA6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5C3968AF" w14:textId="77777777" w:rsidR="00B53AA6" w:rsidRDefault="00B41FAC">
            <w:pPr>
              <w:spacing w:line="360" w:lineRule="exact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7.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如果国际油气价格持续保持高位，对新疆地区煤炭需求产生增量，新疆区域的煤炭核增产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能政策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是否有望放开？公司后续是否有新的核增产能计划？</w:t>
            </w:r>
          </w:p>
          <w:p w14:paraId="7E732CFD" w14:textId="77777777" w:rsidR="00B53AA6" w:rsidRDefault="00B41FA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答：当前国际油价维持高位，叠加中东冲突持续，国家能源安全战略优先级进一步提升，煤炭作为我国能源保供压舱石的作用愈发关键。新疆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lastRenderedPageBreak/>
              <w:t>是国内煤炭产能增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量核心区域，资源储备充足，有能力、也有意愿持续承担国家能源保供任务。目前新疆“十五五”规划已上报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国家发改委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待规划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批复后，全区煤炭产能核增及释放政策将会进一步明晰。后续公司也将会严格遵循相关政策导向，加快推进东部矿区的核准手续办理。</w:t>
            </w:r>
          </w:p>
          <w:p w14:paraId="4409990B" w14:textId="77777777" w:rsidR="00B53AA6" w:rsidRDefault="00B53AA6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7814C7D4" w14:textId="77777777" w:rsidR="00B53AA6" w:rsidRDefault="00B41FAC">
            <w:pPr>
              <w:spacing w:line="360" w:lineRule="exact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8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请问公司重点推进的项目和未来的业绩增长点有哪些？</w:t>
            </w:r>
          </w:p>
          <w:p w14:paraId="3C0456FD" w14:textId="77777777" w:rsidR="00B53AA6" w:rsidRDefault="00B41FA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答：目前，公司各项目建设工作稳步推进，重点聚焦东部矿区手续办理、油田区块勘探开发与煤化工装置提质增效改造等方面。</w:t>
            </w:r>
          </w:p>
          <w:p w14:paraId="15501F35" w14:textId="77777777" w:rsidR="00B53AA6" w:rsidRDefault="00B41FA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）在东部矿区方面，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年已经取得生态环境部对矿区总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修编的环评批复，开发定位由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“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适时开发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”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调整为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“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优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先开发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”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，目前正在全力推进东部矿区纳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及核准相关工作。东部矿区将成为公司</w:t>
            </w:r>
            <w:r>
              <w:rPr>
                <w:rFonts w:hint="eastAsia"/>
                <w:sz w:val="24"/>
                <w:lang w:eastAsia="zh-CN"/>
              </w:rPr>
              <w:t>核心利润增长点。</w:t>
            </w:r>
          </w:p>
          <w:p w14:paraId="474E1A19" w14:textId="77777777" w:rsidR="00B53AA6" w:rsidRDefault="00B41FA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）在油田区块勘探开发方面，本年度核心工作为落实稀油资源储量、推进勘探开发进程，目前围绕前期发现区块新规划的四口勘探井招标工作已全部完成，已启动钻探建设，整个钻探周期约为四个月；钻探完成后，开展储量评估工作，后续将逐步进入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探转采阶段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及规模化开发阶段。石油业务是公司</w:t>
            </w:r>
            <w:r>
              <w:rPr>
                <w:rFonts w:hint="eastAsia"/>
                <w:sz w:val="24"/>
                <w:lang w:eastAsia="zh-CN"/>
              </w:rPr>
              <w:t>重点培育的新增长极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。</w:t>
            </w:r>
          </w:p>
          <w:p w14:paraId="5CBB278B" w14:textId="1F460B0B" w:rsidR="00B53AA6" w:rsidRDefault="00B41FA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）在煤化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工板块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方面，公司将稳步推</w:t>
            </w:r>
            <w:r w:rsidR="00487CD0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进现有煤化工装置提质增效改造工作，重点推进清洁炼化公司富油煤高值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化利用及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1500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年煤炭分级提质项目。其中，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1500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年煤炭分级提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质项目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已完成备案，目前正全力推进能评、环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评相关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工作；</w:t>
            </w:r>
            <w:bookmarkStart w:id="3" w:name="OLE_LINK1"/>
            <w:bookmarkStart w:id="4" w:name="OLE_LINK3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富油煤高</w:t>
            </w:r>
            <w:r w:rsidR="00AD5B7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值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化</w:t>
            </w:r>
            <w:bookmarkEnd w:id="3"/>
            <w:bookmarkEnd w:id="4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利用改造完成后，相关产品产能规模将提升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40%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以上，盈利能力将得到显著改善。</w:t>
            </w:r>
          </w:p>
          <w:p w14:paraId="42AA38B6" w14:textId="77777777" w:rsidR="00B53AA6" w:rsidRDefault="00B53AA6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174E73EA" w14:textId="77777777" w:rsidR="00B53AA6" w:rsidRDefault="00B41FAC">
            <w:pPr>
              <w:spacing w:line="360" w:lineRule="exact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9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近期煤化工市场整体价格较好，请问公司煤化工产品的销售价格目前处于什么水平？</w:t>
            </w:r>
          </w:p>
          <w:p w14:paraId="36A40B0B" w14:textId="77777777" w:rsidR="00B53AA6" w:rsidRDefault="00B41FAC">
            <w:pPr>
              <w:spacing w:line="360" w:lineRule="exact"/>
              <w:ind w:firstLineChars="200" w:firstLine="48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答：当前煤化工市场整体持稳，各产品价格有涨有跌。其中，甲醇和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LNG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价格保持坚挺。甲醇价格较一季度涨幅明显，主要得益于区域供需格局改善，下游需求量较高。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LNG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销售价格亦有所上涨，核心原因是受中东冲突影响，国内进口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LNG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受限，而作为下游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LNG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工厂原料的管道气静态气源有限，供应端收缩推高价格，预计这一趋势仍将延续。此外，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提质煤价格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较一季度也有所上涨。</w:t>
            </w:r>
          </w:p>
          <w:p w14:paraId="2FD28135" w14:textId="77777777" w:rsidR="00B53AA6" w:rsidRDefault="00B41FA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短期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价格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略有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回调的产品主要是乙二醇和煤基油品。乙二醇主要因销往东部地区，价格与东部市场联动，近期出现一定回调；煤基油品价格同样有所回落，主要原因是区域下游供给偏宽松导致。</w:t>
            </w:r>
          </w:p>
          <w:p w14:paraId="268192F4" w14:textId="77777777" w:rsidR="00B53AA6" w:rsidRDefault="00B53AA6">
            <w:pPr>
              <w:spacing w:line="360" w:lineRule="exact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14:paraId="5F579F4A" w14:textId="77777777" w:rsidR="00B53AA6" w:rsidRDefault="00B41FAC">
            <w:pPr>
              <w:spacing w:line="360" w:lineRule="exact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10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能否介绍一下，二季度以来，公司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煤炭外销量的情况？</w:t>
            </w:r>
          </w:p>
          <w:p w14:paraId="106E21CD" w14:textId="77777777" w:rsidR="00B53AA6" w:rsidRDefault="00B41FA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lastRenderedPageBreak/>
              <w:t>答：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月份较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月份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销量环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比略有下降，主要系周边煤化工企业正在进行轮检，区域需求短期有所下调。但公司煤炭价格逐月环比有所改善，尽管销量略有减少，但吨煤净利润持续提升。</w:t>
            </w:r>
          </w:p>
          <w:p w14:paraId="6C137708" w14:textId="77777777" w:rsidR="00B53AA6" w:rsidRDefault="00B53AA6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1E8B3DAE" w14:textId="77777777" w:rsidR="00B53AA6" w:rsidRDefault="00B41FAC">
            <w:pPr>
              <w:spacing w:line="360" w:lineRule="exact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11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请问公司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万吨存量气源的销售情况如何？在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二季度长协气源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无法到岸的情况下，是否会导致该板块出现亏损？</w:t>
            </w:r>
          </w:p>
          <w:p w14:paraId="7C2E00E1" w14:textId="1B355E92" w:rsidR="00B53AA6" w:rsidRDefault="00B41FA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答：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公司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目前正在持续推进库存气的销售，因成本优势叠加市场售价明显提升</w:t>
            </w:r>
            <w:r w:rsidR="006E698A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吨产品毛利也在持续修复，具体盈利情况详见后期公司发布的相关定期报告。</w:t>
            </w:r>
          </w:p>
          <w:p w14:paraId="03D2C22F" w14:textId="77777777" w:rsidR="00B53AA6" w:rsidRDefault="00B53AA6">
            <w:pPr>
              <w:spacing w:line="360" w:lineRule="exact"/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</w:p>
        </w:tc>
      </w:tr>
      <w:tr w:rsidR="00B53AA6" w14:paraId="2E6067A5" w14:textId="77777777">
        <w:trPr>
          <w:trHeight w:val="90"/>
        </w:trPr>
        <w:tc>
          <w:tcPr>
            <w:tcW w:w="2099" w:type="dxa"/>
            <w:vAlign w:val="center"/>
          </w:tcPr>
          <w:p w14:paraId="35F45961" w14:textId="77777777" w:rsidR="00B53AA6" w:rsidRDefault="00B41FAC">
            <w:pPr>
              <w:pStyle w:val="TableText"/>
              <w:spacing w:before="233" w:line="219" w:lineRule="auto"/>
              <w:jc w:val="center"/>
              <w:rPr>
                <w:b/>
                <w:bCs/>
                <w:spacing w:val="-11"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13"/>
                <w:sz w:val="21"/>
                <w:szCs w:val="21"/>
              </w:rPr>
              <w:lastRenderedPageBreak/>
              <w:t>附件清单（如有</w:t>
            </w:r>
            <w:proofErr w:type="spellEnd"/>
            <w:r>
              <w:rPr>
                <w:b/>
                <w:bCs/>
                <w:spacing w:val="-13"/>
                <w:sz w:val="21"/>
                <w:szCs w:val="21"/>
              </w:rPr>
              <w:t>）</w:t>
            </w:r>
          </w:p>
        </w:tc>
        <w:tc>
          <w:tcPr>
            <w:tcW w:w="7806" w:type="dxa"/>
            <w:gridSpan w:val="2"/>
            <w:vAlign w:val="center"/>
          </w:tcPr>
          <w:p w14:paraId="734DF60E" w14:textId="77777777" w:rsidR="00B53AA6" w:rsidRDefault="00B53AA6">
            <w:pPr>
              <w:pStyle w:val="TableText"/>
              <w:spacing w:before="68" w:line="220" w:lineRule="auto"/>
              <w:rPr>
                <w:sz w:val="21"/>
                <w:szCs w:val="21"/>
                <w:lang w:eastAsia="zh-CN"/>
              </w:rPr>
            </w:pPr>
          </w:p>
          <w:p w14:paraId="5E7FE9AC" w14:textId="77777777" w:rsidR="00B53AA6" w:rsidRDefault="00B53AA6">
            <w:pPr>
              <w:pStyle w:val="TableText"/>
              <w:spacing w:before="68" w:line="220" w:lineRule="auto"/>
              <w:jc w:val="center"/>
              <w:rPr>
                <w:sz w:val="21"/>
                <w:szCs w:val="21"/>
                <w:lang w:eastAsia="zh-CN"/>
              </w:rPr>
            </w:pPr>
            <w:bookmarkStart w:id="5" w:name="_GoBack"/>
            <w:bookmarkEnd w:id="5"/>
          </w:p>
          <w:p w14:paraId="4B6F2277" w14:textId="77777777" w:rsidR="00B53AA6" w:rsidRDefault="00B41FAC">
            <w:pPr>
              <w:pStyle w:val="TableText"/>
              <w:spacing w:before="68" w:line="22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无</w:t>
            </w:r>
          </w:p>
          <w:p w14:paraId="345E61C3" w14:textId="77777777" w:rsidR="00B53AA6" w:rsidRDefault="00B53AA6">
            <w:pPr>
              <w:pStyle w:val="TableText"/>
              <w:spacing w:before="68" w:line="220" w:lineRule="auto"/>
              <w:jc w:val="center"/>
              <w:rPr>
                <w:sz w:val="21"/>
                <w:szCs w:val="21"/>
                <w:lang w:eastAsia="zh-CN"/>
              </w:rPr>
            </w:pPr>
          </w:p>
          <w:p w14:paraId="7A15B8D3" w14:textId="77777777" w:rsidR="00B53AA6" w:rsidRDefault="00B53AA6">
            <w:pPr>
              <w:pStyle w:val="TableText"/>
              <w:spacing w:before="68" w:line="220" w:lineRule="auto"/>
              <w:rPr>
                <w:lang w:eastAsia="zh-CN"/>
              </w:rPr>
            </w:pPr>
          </w:p>
        </w:tc>
      </w:tr>
      <w:tr w:rsidR="00B53AA6" w14:paraId="37E80CB7" w14:textId="77777777">
        <w:trPr>
          <w:trHeight w:val="90"/>
        </w:trPr>
        <w:tc>
          <w:tcPr>
            <w:tcW w:w="2099" w:type="dxa"/>
            <w:vAlign w:val="center"/>
          </w:tcPr>
          <w:p w14:paraId="4374FB7C" w14:textId="77777777" w:rsidR="00B53AA6" w:rsidRDefault="00B41FAC">
            <w:pPr>
              <w:pStyle w:val="TableText"/>
              <w:spacing w:before="232" w:line="220" w:lineRule="auto"/>
              <w:ind w:left="44"/>
              <w:jc w:val="center"/>
              <w:rPr>
                <w:b/>
                <w:bCs/>
                <w:spacing w:val="-11"/>
                <w:sz w:val="24"/>
                <w:szCs w:val="24"/>
              </w:rPr>
            </w:pPr>
            <w:r>
              <w:rPr>
                <w:b/>
                <w:bCs/>
                <w:spacing w:val="-25"/>
                <w:sz w:val="21"/>
                <w:szCs w:val="21"/>
              </w:rPr>
              <w:t>日</w:t>
            </w:r>
            <w:r>
              <w:rPr>
                <w:rFonts w:hint="eastAsia"/>
                <w:b/>
                <w:bCs/>
                <w:spacing w:val="-25"/>
                <w:sz w:val="21"/>
                <w:szCs w:val="21"/>
                <w:lang w:eastAsia="zh-CN"/>
              </w:rPr>
              <w:t xml:space="preserve">   </w:t>
            </w:r>
            <w:r>
              <w:rPr>
                <w:b/>
                <w:bCs/>
                <w:spacing w:val="-25"/>
                <w:sz w:val="21"/>
                <w:szCs w:val="21"/>
              </w:rPr>
              <w:t>期</w:t>
            </w:r>
          </w:p>
        </w:tc>
        <w:tc>
          <w:tcPr>
            <w:tcW w:w="7806" w:type="dxa"/>
            <w:gridSpan w:val="2"/>
            <w:vAlign w:val="center"/>
          </w:tcPr>
          <w:p w14:paraId="6A03CB10" w14:textId="77777777" w:rsidR="00B53AA6" w:rsidRDefault="00B53AA6">
            <w:pPr>
              <w:pStyle w:val="TableText"/>
              <w:spacing w:before="308" w:line="220" w:lineRule="auto"/>
              <w:ind w:left="25"/>
              <w:jc w:val="center"/>
              <w:rPr>
                <w:spacing w:val="-2"/>
                <w:sz w:val="21"/>
                <w:szCs w:val="21"/>
              </w:rPr>
            </w:pPr>
          </w:p>
          <w:p w14:paraId="0AC06A5A" w14:textId="77777777" w:rsidR="00B53AA6" w:rsidRDefault="00B41FAC">
            <w:pPr>
              <w:pStyle w:val="TableText"/>
              <w:spacing w:before="308" w:line="220" w:lineRule="auto"/>
              <w:ind w:left="25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</w:rPr>
              <w:t>202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6</w:t>
            </w:r>
            <w:r>
              <w:rPr>
                <w:spacing w:val="-2"/>
                <w:sz w:val="21"/>
                <w:szCs w:val="21"/>
              </w:rPr>
              <w:t>年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0</w:t>
            </w:r>
            <w:r>
              <w:rPr>
                <w:spacing w:val="-2"/>
                <w:sz w:val="21"/>
                <w:szCs w:val="21"/>
              </w:rPr>
              <w:t>6</w:t>
            </w:r>
            <w:r>
              <w:rPr>
                <w:spacing w:val="-2"/>
                <w:sz w:val="21"/>
                <w:szCs w:val="21"/>
              </w:rPr>
              <w:t>月</w:t>
            </w:r>
            <w:r>
              <w:rPr>
                <w:spacing w:val="-2"/>
                <w:sz w:val="21"/>
                <w:szCs w:val="21"/>
                <w:lang w:eastAsia="zh-CN"/>
              </w:rPr>
              <w:t>10</w:t>
            </w:r>
            <w:r>
              <w:rPr>
                <w:spacing w:val="-2"/>
                <w:sz w:val="21"/>
                <w:szCs w:val="21"/>
              </w:rPr>
              <w:t>日</w:t>
            </w:r>
          </w:p>
          <w:p w14:paraId="79E09604" w14:textId="77777777" w:rsidR="00B53AA6" w:rsidRDefault="00B53AA6">
            <w:pPr>
              <w:pStyle w:val="TableText"/>
              <w:spacing w:before="308" w:line="220" w:lineRule="auto"/>
              <w:ind w:left="25"/>
              <w:jc w:val="center"/>
              <w:rPr>
                <w:lang w:eastAsia="zh-CN"/>
              </w:rPr>
            </w:pPr>
          </w:p>
        </w:tc>
      </w:tr>
    </w:tbl>
    <w:p w14:paraId="5C3CACA8" w14:textId="77777777" w:rsidR="00B53AA6" w:rsidRDefault="00B53AA6">
      <w:pPr>
        <w:spacing w:line="89" w:lineRule="auto"/>
        <w:rPr>
          <w:sz w:val="2"/>
        </w:rPr>
      </w:pPr>
    </w:p>
    <w:p w14:paraId="1EB8A39E" w14:textId="77777777" w:rsidR="00B53AA6" w:rsidRDefault="00B53AA6">
      <w:pPr>
        <w:spacing w:line="89" w:lineRule="auto"/>
        <w:rPr>
          <w:sz w:val="2"/>
        </w:rPr>
      </w:pPr>
    </w:p>
    <w:p w14:paraId="2C699E2B" w14:textId="77777777" w:rsidR="00B53AA6" w:rsidRDefault="00B53AA6">
      <w:pPr>
        <w:spacing w:line="89" w:lineRule="auto"/>
        <w:rPr>
          <w:sz w:val="2"/>
        </w:rPr>
      </w:pPr>
    </w:p>
    <w:p w14:paraId="6AE5B32E" w14:textId="77777777" w:rsidR="00B53AA6" w:rsidRDefault="00B53AA6"/>
    <w:sectPr w:rsidR="00B53AA6">
      <w:footerReference w:type="default" r:id="rId7"/>
      <w:pgSz w:w="11910" w:h="16840"/>
      <w:pgMar w:top="1440" w:right="1080" w:bottom="144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8F01D" w14:textId="77777777" w:rsidR="00B41FAC" w:rsidRDefault="00B41FAC">
      <w:r>
        <w:separator/>
      </w:r>
    </w:p>
  </w:endnote>
  <w:endnote w:type="continuationSeparator" w:id="0">
    <w:p w14:paraId="161DCF87" w14:textId="77777777" w:rsidR="00B41FAC" w:rsidRDefault="00B4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597027"/>
    </w:sdtPr>
    <w:sdtEndPr/>
    <w:sdtContent>
      <w:p w14:paraId="6032CDF2" w14:textId="77777777" w:rsidR="00B53AA6" w:rsidRDefault="00B41F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35E" w:rsidRPr="00E3235E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14:paraId="2C286C2D" w14:textId="77777777" w:rsidR="00B53AA6" w:rsidRDefault="00B53A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FFB30" w14:textId="77777777" w:rsidR="00B41FAC" w:rsidRDefault="00B41FAC">
      <w:r>
        <w:separator/>
      </w:r>
    </w:p>
  </w:footnote>
  <w:footnote w:type="continuationSeparator" w:id="0">
    <w:p w14:paraId="318DE1A5" w14:textId="77777777" w:rsidR="00B41FAC" w:rsidRDefault="00B41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7D"/>
    <w:rsid w:val="00003529"/>
    <w:rsid w:val="00003632"/>
    <w:rsid w:val="00015A8E"/>
    <w:rsid w:val="00043FE9"/>
    <w:rsid w:val="00066DED"/>
    <w:rsid w:val="000752CD"/>
    <w:rsid w:val="00077201"/>
    <w:rsid w:val="00087C23"/>
    <w:rsid w:val="000A4A72"/>
    <w:rsid w:val="000B5404"/>
    <w:rsid w:val="000E7CF4"/>
    <w:rsid w:val="000F0077"/>
    <w:rsid w:val="000F2BB7"/>
    <w:rsid w:val="000F6A04"/>
    <w:rsid w:val="00114D7D"/>
    <w:rsid w:val="001214F4"/>
    <w:rsid w:val="00126014"/>
    <w:rsid w:val="00127720"/>
    <w:rsid w:val="00132901"/>
    <w:rsid w:val="00185DE5"/>
    <w:rsid w:val="00197479"/>
    <w:rsid w:val="001A3664"/>
    <w:rsid w:val="001A5705"/>
    <w:rsid w:val="001A5F77"/>
    <w:rsid w:val="001F0582"/>
    <w:rsid w:val="001F7917"/>
    <w:rsid w:val="00211F75"/>
    <w:rsid w:val="00221168"/>
    <w:rsid w:val="002245FC"/>
    <w:rsid w:val="00237434"/>
    <w:rsid w:val="00273089"/>
    <w:rsid w:val="002875BE"/>
    <w:rsid w:val="00291A96"/>
    <w:rsid w:val="002A2B8D"/>
    <w:rsid w:val="002A6CEA"/>
    <w:rsid w:val="002A78EC"/>
    <w:rsid w:val="002B2BF5"/>
    <w:rsid w:val="002B5C8F"/>
    <w:rsid w:val="002C1112"/>
    <w:rsid w:val="002C292B"/>
    <w:rsid w:val="002D34C3"/>
    <w:rsid w:val="002E635D"/>
    <w:rsid w:val="002F7BE3"/>
    <w:rsid w:val="0030457F"/>
    <w:rsid w:val="00312428"/>
    <w:rsid w:val="003137D5"/>
    <w:rsid w:val="00320AC3"/>
    <w:rsid w:val="00336FAE"/>
    <w:rsid w:val="0033793B"/>
    <w:rsid w:val="003446EE"/>
    <w:rsid w:val="00362C62"/>
    <w:rsid w:val="003A69A3"/>
    <w:rsid w:val="003B4A35"/>
    <w:rsid w:val="003D4197"/>
    <w:rsid w:val="003E1EF8"/>
    <w:rsid w:val="0040129C"/>
    <w:rsid w:val="004054BF"/>
    <w:rsid w:val="004266AA"/>
    <w:rsid w:val="00432438"/>
    <w:rsid w:val="00450CF9"/>
    <w:rsid w:val="004620C1"/>
    <w:rsid w:val="004717F8"/>
    <w:rsid w:val="004731F4"/>
    <w:rsid w:val="00482BD1"/>
    <w:rsid w:val="00487778"/>
    <w:rsid w:val="00487CD0"/>
    <w:rsid w:val="004A7B3B"/>
    <w:rsid w:val="005121FE"/>
    <w:rsid w:val="005224F6"/>
    <w:rsid w:val="005236F8"/>
    <w:rsid w:val="00524508"/>
    <w:rsid w:val="00530A32"/>
    <w:rsid w:val="00560223"/>
    <w:rsid w:val="00560523"/>
    <w:rsid w:val="005B1EF8"/>
    <w:rsid w:val="005C581F"/>
    <w:rsid w:val="005E4038"/>
    <w:rsid w:val="005F0939"/>
    <w:rsid w:val="0060531B"/>
    <w:rsid w:val="00610093"/>
    <w:rsid w:val="00610806"/>
    <w:rsid w:val="0062088D"/>
    <w:rsid w:val="006259E0"/>
    <w:rsid w:val="00633C27"/>
    <w:rsid w:val="0067089C"/>
    <w:rsid w:val="0068632E"/>
    <w:rsid w:val="00693058"/>
    <w:rsid w:val="006A1527"/>
    <w:rsid w:val="006C2F7D"/>
    <w:rsid w:val="006E0160"/>
    <w:rsid w:val="006E59CA"/>
    <w:rsid w:val="006E698A"/>
    <w:rsid w:val="006F11E6"/>
    <w:rsid w:val="007148FE"/>
    <w:rsid w:val="00745A89"/>
    <w:rsid w:val="00751ECB"/>
    <w:rsid w:val="00751FBC"/>
    <w:rsid w:val="00754701"/>
    <w:rsid w:val="00771C0E"/>
    <w:rsid w:val="0078729F"/>
    <w:rsid w:val="00793515"/>
    <w:rsid w:val="007C3EF3"/>
    <w:rsid w:val="007E56A1"/>
    <w:rsid w:val="007F5D0C"/>
    <w:rsid w:val="008111ED"/>
    <w:rsid w:val="00843BE8"/>
    <w:rsid w:val="00844E9D"/>
    <w:rsid w:val="00852F56"/>
    <w:rsid w:val="008574AD"/>
    <w:rsid w:val="008617E6"/>
    <w:rsid w:val="008D138C"/>
    <w:rsid w:val="008D41D2"/>
    <w:rsid w:val="008E2EAF"/>
    <w:rsid w:val="008E74D3"/>
    <w:rsid w:val="00921DF8"/>
    <w:rsid w:val="00933283"/>
    <w:rsid w:val="00934553"/>
    <w:rsid w:val="009442DC"/>
    <w:rsid w:val="009B6A0A"/>
    <w:rsid w:val="009F1ED5"/>
    <w:rsid w:val="00A57D5F"/>
    <w:rsid w:val="00A62AF3"/>
    <w:rsid w:val="00A7255F"/>
    <w:rsid w:val="00A74B2E"/>
    <w:rsid w:val="00A8006B"/>
    <w:rsid w:val="00AA0FFB"/>
    <w:rsid w:val="00AB1434"/>
    <w:rsid w:val="00AD5B78"/>
    <w:rsid w:val="00AE62A3"/>
    <w:rsid w:val="00AF1166"/>
    <w:rsid w:val="00B007F9"/>
    <w:rsid w:val="00B06FA2"/>
    <w:rsid w:val="00B1739C"/>
    <w:rsid w:val="00B21D1F"/>
    <w:rsid w:val="00B22DEE"/>
    <w:rsid w:val="00B41FAC"/>
    <w:rsid w:val="00B53AA6"/>
    <w:rsid w:val="00B6104F"/>
    <w:rsid w:val="00B70912"/>
    <w:rsid w:val="00B752BC"/>
    <w:rsid w:val="00B916E2"/>
    <w:rsid w:val="00B91BDD"/>
    <w:rsid w:val="00B93DBF"/>
    <w:rsid w:val="00BA2CEB"/>
    <w:rsid w:val="00BA426E"/>
    <w:rsid w:val="00BA7F3A"/>
    <w:rsid w:val="00BE64D8"/>
    <w:rsid w:val="00BF55DD"/>
    <w:rsid w:val="00C40B11"/>
    <w:rsid w:val="00C64BEB"/>
    <w:rsid w:val="00CA29CA"/>
    <w:rsid w:val="00CC64FF"/>
    <w:rsid w:val="00CC6626"/>
    <w:rsid w:val="00CE74E3"/>
    <w:rsid w:val="00D20981"/>
    <w:rsid w:val="00D4279C"/>
    <w:rsid w:val="00D52DE5"/>
    <w:rsid w:val="00D66713"/>
    <w:rsid w:val="00DA2427"/>
    <w:rsid w:val="00DD4BE6"/>
    <w:rsid w:val="00DF2361"/>
    <w:rsid w:val="00E3235E"/>
    <w:rsid w:val="00E36869"/>
    <w:rsid w:val="00E4660F"/>
    <w:rsid w:val="00E64DAD"/>
    <w:rsid w:val="00E80671"/>
    <w:rsid w:val="00E914FB"/>
    <w:rsid w:val="00EA2EEC"/>
    <w:rsid w:val="00EA5653"/>
    <w:rsid w:val="00EB4E10"/>
    <w:rsid w:val="00EC6110"/>
    <w:rsid w:val="00ED2CEC"/>
    <w:rsid w:val="00F11733"/>
    <w:rsid w:val="00F125BC"/>
    <w:rsid w:val="00F50328"/>
    <w:rsid w:val="00F54165"/>
    <w:rsid w:val="00F67151"/>
    <w:rsid w:val="00F94AE7"/>
    <w:rsid w:val="00FC279C"/>
    <w:rsid w:val="00FE5775"/>
    <w:rsid w:val="00FF2082"/>
    <w:rsid w:val="01883901"/>
    <w:rsid w:val="01BD7A4F"/>
    <w:rsid w:val="030F54CC"/>
    <w:rsid w:val="03CA29C7"/>
    <w:rsid w:val="05143B80"/>
    <w:rsid w:val="05821D18"/>
    <w:rsid w:val="07261BF2"/>
    <w:rsid w:val="08C2417F"/>
    <w:rsid w:val="0A5F5B47"/>
    <w:rsid w:val="0A7E581C"/>
    <w:rsid w:val="0BD229F1"/>
    <w:rsid w:val="0DED7863"/>
    <w:rsid w:val="0E653000"/>
    <w:rsid w:val="0E6A1E4A"/>
    <w:rsid w:val="0EFA41DB"/>
    <w:rsid w:val="11BF36B6"/>
    <w:rsid w:val="12220B51"/>
    <w:rsid w:val="12F86B39"/>
    <w:rsid w:val="137A4F81"/>
    <w:rsid w:val="13DD5026"/>
    <w:rsid w:val="13F04D2D"/>
    <w:rsid w:val="16322361"/>
    <w:rsid w:val="18014470"/>
    <w:rsid w:val="1A1008D4"/>
    <w:rsid w:val="1CCF5B1C"/>
    <w:rsid w:val="1DB47B00"/>
    <w:rsid w:val="1E0C793C"/>
    <w:rsid w:val="1E5E7A6C"/>
    <w:rsid w:val="1F2E5690"/>
    <w:rsid w:val="21BD7724"/>
    <w:rsid w:val="24030587"/>
    <w:rsid w:val="24CF6FCD"/>
    <w:rsid w:val="25C32DFD"/>
    <w:rsid w:val="282C77C8"/>
    <w:rsid w:val="2901302E"/>
    <w:rsid w:val="296A5517"/>
    <w:rsid w:val="29841E1A"/>
    <w:rsid w:val="29A50C45"/>
    <w:rsid w:val="2A432125"/>
    <w:rsid w:val="2A4C7C4B"/>
    <w:rsid w:val="2CFA0557"/>
    <w:rsid w:val="2FF67B04"/>
    <w:rsid w:val="314822F5"/>
    <w:rsid w:val="31EF7018"/>
    <w:rsid w:val="33964F33"/>
    <w:rsid w:val="33AD7074"/>
    <w:rsid w:val="34242218"/>
    <w:rsid w:val="35B54FC1"/>
    <w:rsid w:val="37446E85"/>
    <w:rsid w:val="37AC22ED"/>
    <w:rsid w:val="37E42938"/>
    <w:rsid w:val="38823E16"/>
    <w:rsid w:val="39495A88"/>
    <w:rsid w:val="3A6F486B"/>
    <w:rsid w:val="3AE72E6B"/>
    <w:rsid w:val="3BC52C1E"/>
    <w:rsid w:val="3D092B74"/>
    <w:rsid w:val="3D6F0FBA"/>
    <w:rsid w:val="3D945192"/>
    <w:rsid w:val="3DA07301"/>
    <w:rsid w:val="3DF56547"/>
    <w:rsid w:val="3E0F7557"/>
    <w:rsid w:val="3FA356C7"/>
    <w:rsid w:val="401E1B75"/>
    <w:rsid w:val="403D18AE"/>
    <w:rsid w:val="407927B7"/>
    <w:rsid w:val="408056CC"/>
    <w:rsid w:val="41390199"/>
    <w:rsid w:val="413E0517"/>
    <w:rsid w:val="41E01CE7"/>
    <w:rsid w:val="426C3402"/>
    <w:rsid w:val="44234D26"/>
    <w:rsid w:val="446F7A2D"/>
    <w:rsid w:val="447A4D50"/>
    <w:rsid w:val="4497145E"/>
    <w:rsid w:val="46464CA6"/>
    <w:rsid w:val="469F0913"/>
    <w:rsid w:val="46CB3641"/>
    <w:rsid w:val="48212BE3"/>
    <w:rsid w:val="4A183041"/>
    <w:rsid w:val="4AA30431"/>
    <w:rsid w:val="4AB47149"/>
    <w:rsid w:val="4C787385"/>
    <w:rsid w:val="4D1F1116"/>
    <w:rsid w:val="4DA16EA9"/>
    <w:rsid w:val="4DA25B6E"/>
    <w:rsid w:val="4EE9065B"/>
    <w:rsid w:val="4F3C2E33"/>
    <w:rsid w:val="4FED4628"/>
    <w:rsid w:val="508E282B"/>
    <w:rsid w:val="514C5F8F"/>
    <w:rsid w:val="527C5F55"/>
    <w:rsid w:val="545E206C"/>
    <w:rsid w:val="54E049C9"/>
    <w:rsid w:val="54EE6F59"/>
    <w:rsid w:val="55320D2F"/>
    <w:rsid w:val="55F96A00"/>
    <w:rsid w:val="565E627F"/>
    <w:rsid w:val="56AE3C10"/>
    <w:rsid w:val="56ED0ABE"/>
    <w:rsid w:val="58CE6FC1"/>
    <w:rsid w:val="5A1D0200"/>
    <w:rsid w:val="5A366373"/>
    <w:rsid w:val="5AD85C2E"/>
    <w:rsid w:val="5CFF3454"/>
    <w:rsid w:val="5DA95CF9"/>
    <w:rsid w:val="5DD45D06"/>
    <w:rsid w:val="5E035507"/>
    <w:rsid w:val="5E33114C"/>
    <w:rsid w:val="5E6160E7"/>
    <w:rsid w:val="5E941B9A"/>
    <w:rsid w:val="5F5B557E"/>
    <w:rsid w:val="604A517F"/>
    <w:rsid w:val="61C43B53"/>
    <w:rsid w:val="637D3ABD"/>
    <w:rsid w:val="63C948C4"/>
    <w:rsid w:val="652C22BE"/>
    <w:rsid w:val="652C4416"/>
    <w:rsid w:val="66464CBC"/>
    <w:rsid w:val="672D1356"/>
    <w:rsid w:val="67961102"/>
    <w:rsid w:val="68253764"/>
    <w:rsid w:val="68553172"/>
    <w:rsid w:val="68E6049F"/>
    <w:rsid w:val="68FD780B"/>
    <w:rsid w:val="6A553F09"/>
    <w:rsid w:val="6B9B646D"/>
    <w:rsid w:val="6B9D6AAA"/>
    <w:rsid w:val="6BC8166A"/>
    <w:rsid w:val="6C64581A"/>
    <w:rsid w:val="6DA63F32"/>
    <w:rsid w:val="740074BA"/>
    <w:rsid w:val="744321B9"/>
    <w:rsid w:val="74A8783F"/>
    <w:rsid w:val="74F57957"/>
    <w:rsid w:val="751853F4"/>
    <w:rsid w:val="752E01E8"/>
    <w:rsid w:val="772E2479"/>
    <w:rsid w:val="79B50936"/>
    <w:rsid w:val="79F006ED"/>
    <w:rsid w:val="7A323DAB"/>
    <w:rsid w:val="7A814F1E"/>
    <w:rsid w:val="7EEF18BB"/>
    <w:rsid w:val="7FA7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BF51CB-E440-4234-8C58-718D067A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  <w:style w:type="character" w:customStyle="1" w:styleId="Char0">
    <w:name w:val="页眉 Char"/>
    <w:basedOn w:val="a0"/>
    <w:link w:val="a4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3"/>
    <w:uiPriority w:val="99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customStyle="1" w:styleId="ds-markdown-paragraph">
    <w:name w:val="ds-markdown-paragraph"/>
    <w:basedOn w:val="a"/>
    <w:qFormat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2BDAE-6179-4882-8997-63774170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428</Words>
  <Characters>2444</Characters>
  <Application>Microsoft Office Word</Application>
  <DocSecurity>0</DocSecurity>
  <Lines>20</Lines>
  <Paragraphs>5</Paragraphs>
  <ScaleCrop>false</ScaleCrop>
  <Company>P R C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Windows User</cp:lastModifiedBy>
  <cp:revision>26</cp:revision>
  <cp:lastPrinted>2026-04-24T13:32:00Z</cp:lastPrinted>
  <dcterms:created xsi:type="dcterms:W3CDTF">2026-06-10T08:07:00Z</dcterms:created>
  <dcterms:modified xsi:type="dcterms:W3CDTF">2026-06-10T09:03:00Z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2026-04-24T15:49:31Z</vt:filetime>
  </property>
  <property fmtid="{D5CDD505-2E9C-101B-9397-08002B2CF9AE}" pid="4" name="KSOTemplateDocerSaveRecord">
    <vt:lpwstr>eyJoZGlkIjoiMDU4NzBkODE3OTZiMTI1ZTBlMTM4ZTg4YmZlODdjNDYiLCJ1c2VySWQiOiI0MDkyNTY1MTgifQ==</vt:lpwstr>
  </property>
  <property fmtid="{D5CDD505-2E9C-101B-9397-08002B2CF9AE}" pid="5" name="KSOProductBuildVer">
    <vt:lpwstr>2052-12.1.0.26895</vt:lpwstr>
  </property>
  <property fmtid="{D5CDD505-2E9C-101B-9397-08002B2CF9AE}" pid="6" name="ICV">
    <vt:lpwstr>BCE472AAD5B04317B512D3F543444BE9_13</vt:lpwstr>
  </property>
</Properties>
</file>