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B311" w14:textId="5F4437A1" w:rsidR="002463FC" w:rsidRPr="00B16C29" w:rsidRDefault="00000000">
      <w:pPr>
        <w:pStyle w:val="1"/>
        <w:rPr>
          <w:rFonts w:ascii="宋体" w:eastAsia="宋体" w:hAnsi="宋体" w:cs="宋体" w:hint="eastAsia"/>
          <w:b/>
          <w:bCs/>
          <w:sz w:val="24"/>
          <w:szCs w:val="24"/>
          <w:lang w:val="en-US"/>
        </w:rPr>
      </w:pPr>
      <w:r w:rsidRPr="00B16C29">
        <w:rPr>
          <w:rFonts w:ascii="宋体" w:eastAsia="宋体" w:hAnsi="宋体" w:cs="宋体" w:hint="eastAsia"/>
          <w:b/>
          <w:bCs/>
          <w:sz w:val="24"/>
          <w:szCs w:val="24"/>
          <w:lang w:val="en-US"/>
        </w:rPr>
        <w:t>证券代码：600981                                  证券简称：</w:t>
      </w:r>
      <w:proofErr w:type="gramStart"/>
      <w:r w:rsidRPr="00B16C29">
        <w:rPr>
          <w:rFonts w:ascii="宋体" w:eastAsia="宋体" w:hAnsi="宋体" w:cs="宋体" w:hint="eastAsia"/>
          <w:b/>
          <w:bCs/>
          <w:sz w:val="24"/>
          <w:szCs w:val="24"/>
          <w:lang w:val="en-US"/>
        </w:rPr>
        <w:t>苏豪汇</w:t>
      </w:r>
      <w:proofErr w:type="gramEnd"/>
      <w:r w:rsidRPr="00B16C29">
        <w:rPr>
          <w:rFonts w:ascii="宋体" w:eastAsia="宋体" w:hAnsi="宋体" w:cs="宋体" w:hint="eastAsia"/>
          <w:b/>
          <w:bCs/>
          <w:sz w:val="24"/>
          <w:szCs w:val="24"/>
          <w:lang w:val="en-US"/>
        </w:rPr>
        <w:t>鸿</w:t>
      </w:r>
    </w:p>
    <w:p w14:paraId="7AC67AA9" w14:textId="77777777" w:rsidR="002463FC" w:rsidRDefault="002463FC">
      <w:pPr>
        <w:spacing w:line="360" w:lineRule="auto"/>
        <w:jc w:val="center"/>
        <w:rPr>
          <w:rFonts w:ascii="宋体" w:eastAsia="宋体" w:hAnsi="宋体" w:cs="宋体" w:hint="eastAsia"/>
          <w:b/>
          <w:bCs/>
          <w:sz w:val="44"/>
          <w:szCs w:val="44"/>
        </w:rPr>
      </w:pPr>
    </w:p>
    <w:p w14:paraId="02BAADE8" w14:textId="77777777" w:rsidR="002463FC" w:rsidRDefault="00000000">
      <w:pPr>
        <w:spacing w:line="360" w:lineRule="auto"/>
        <w:jc w:val="center"/>
        <w:rPr>
          <w:rFonts w:ascii="宋体" w:eastAsia="宋体" w:hAnsi="宋体" w:cs="宋体" w:hint="eastAsia"/>
          <w:b/>
          <w:bCs/>
          <w:sz w:val="44"/>
          <w:szCs w:val="44"/>
        </w:rPr>
      </w:pPr>
      <w:bookmarkStart w:id="0" w:name="OLE_LINK1"/>
      <w:r>
        <w:rPr>
          <w:rFonts w:ascii="宋体" w:eastAsia="宋体" w:hAnsi="宋体" w:cs="宋体" w:hint="eastAsia"/>
          <w:b/>
          <w:bCs/>
          <w:sz w:val="44"/>
          <w:szCs w:val="44"/>
        </w:rPr>
        <w:t>江苏苏豪汇鸿集团股份有限公司</w:t>
      </w:r>
    </w:p>
    <w:p w14:paraId="003675DB" w14:textId="77777777" w:rsidR="002463FC"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投资者关系活动记录表</w:t>
      </w:r>
    </w:p>
    <w:bookmarkEnd w:id="0"/>
    <w:p w14:paraId="1EC9FA8F" w14:textId="77777777" w:rsidR="00193F94" w:rsidRPr="00193F94" w:rsidRDefault="00193F94">
      <w:pPr>
        <w:spacing w:line="360" w:lineRule="auto"/>
        <w:jc w:val="center"/>
        <w:rPr>
          <w:rFonts w:ascii="宋体" w:eastAsia="宋体" w:hAnsi="宋体" w:cs="宋体" w:hint="eastAsia"/>
          <w:sz w:val="20"/>
          <w:szCs w:val="20"/>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838"/>
        <w:gridCol w:w="7229"/>
      </w:tblGrid>
      <w:tr w:rsidR="002463FC" w:rsidRPr="0038798D" w14:paraId="3DF65588" w14:textId="77777777" w:rsidTr="004C4F2C">
        <w:trPr>
          <w:trHeight w:val="2886"/>
          <w:jc w:val="center"/>
        </w:trPr>
        <w:tc>
          <w:tcPr>
            <w:tcW w:w="1838" w:type="dxa"/>
            <w:vAlign w:val="center"/>
          </w:tcPr>
          <w:p w14:paraId="18B2BD12" w14:textId="77777777" w:rsidR="002463FC" w:rsidRPr="0038798D" w:rsidRDefault="00000000" w:rsidP="004C4F2C">
            <w:pPr>
              <w:pStyle w:val="TableParagraph"/>
              <w:spacing w:before="1" w:line="360" w:lineRule="auto"/>
              <w:jc w:val="both"/>
              <w:rPr>
                <w:rFonts w:ascii="宋体" w:eastAsia="宋体" w:hAnsi="宋体" w:cs="宋体" w:hint="eastAsia"/>
                <w:b/>
                <w:bCs/>
                <w:sz w:val="24"/>
                <w:szCs w:val="24"/>
              </w:rPr>
            </w:pPr>
            <w:r w:rsidRPr="0038798D">
              <w:rPr>
                <w:rFonts w:ascii="宋体" w:eastAsia="宋体" w:hAnsi="宋体" w:cs="宋体" w:hint="eastAsia"/>
                <w:b/>
                <w:bCs/>
                <w:sz w:val="24"/>
                <w:szCs w:val="24"/>
              </w:rPr>
              <w:t>投资者关系活动类别</w:t>
            </w:r>
          </w:p>
        </w:tc>
        <w:tc>
          <w:tcPr>
            <w:tcW w:w="7229" w:type="dxa"/>
            <w:vAlign w:val="center"/>
          </w:tcPr>
          <w:p w14:paraId="482993C0" w14:textId="32EE4A32" w:rsidR="002463FC" w:rsidRPr="0038798D" w:rsidRDefault="00000000" w:rsidP="00E84E15">
            <w:pPr>
              <w:pStyle w:val="TableParagraph"/>
              <w:tabs>
                <w:tab w:val="left" w:pos="2418"/>
              </w:tabs>
              <w:spacing w:before="1" w:line="360" w:lineRule="auto"/>
              <w:ind w:left="108"/>
              <w:jc w:val="both"/>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sidR="00E84E15">
                  <w:rPr>
                    <w:rFonts w:ascii="MS Gothic" w:eastAsia="MS Gothic" w:hAnsi="MS Gothic" w:cs="宋体" w:hint="eastAsia"/>
                    <w:sz w:val="24"/>
                    <w:szCs w:val="24"/>
                  </w:rPr>
                  <w:t>☐</w:t>
                </w:r>
              </w:sdtContent>
            </w:sdt>
            <w:r w:rsidRPr="0038798D">
              <w:rPr>
                <w:rFonts w:ascii="宋体" w:eastAsia="宋体" w:hAnsi="宋体" w:cs="宋体" w:hint="eastAsia"/>
                <w:sz w:val="24"/>
                <w:szCs w:val="24"/>
              </w:rPr>
              <w:t>特</w:t>
            </w:r>
            <w:r w:rsidRPr="0038798D">
              <w:rPr>
                <w:rFonts w:ascii="宋体" w:eastAsia="宋体" w:hAnsi="宋体" w:cs="宋体" w:hint="eastAsia"/>
                <w:spacing w:val="-3"/>
                <w:sz w:val="24"/>
                <w:szCs w:val="24"/>
              </w:rPr>
              <w:t>定</w:t>
            </w:r>
            <w:r w:rsidRPr="0038798D">
              <w:rPr>
                <w:rFonts w:ascii="宋体" w:eastAsia="宋体" w:hAnsi="宋体" w:cs="宋体" w:hint="eastAsia"/>
                <w:sz w:val="24"/>
                <w:szCs w:val="24"/>
              </w:rPr>
              <w:t>对</w:t>
            </w:r>
            <w:r w:rsidRPr="0038798D">
              <w:rPr>
                <w:rFonts w:ascii="宋体" w:eastAsia="宋体" w:hAnsi="宋体" w:cs="宋体" w:hint="eastAsia"/>
                <w:spacing w:val="-3"/>
                <w:sz w:val="24"/>
                <w:szCs w:val="24"/>
              </w:rPr>
              <w:t>象</w:t>
            </w:r>
            <w:r w:rsidRPr="0038798D">
              <w:rPr>
                <w:rFonts w:ascii="宋体" w:eastAsia="宋体" w:hAnsi="宋体" w:cs="宋体" w:hint="eastAsia"/>
                <w:sz w:val="24"/>
                <w:szCs w:val="24"/>
              </w:rPr>
              <w:t>调研</w:t>
            </w:r>
            <w:r w:rsidRPr="0038798D">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1"/>
                  <w14:checkedState w14:val="0052" w14:font="Wingdings 2"/>
                  <w14:uncheckedState w14:val="2610" w14:font="MS Gothic"/>
                </w14:checkbox>
              </w:sdtPr>
              <w:sdtContent>
                <w:r w:rsidR="001A168B" w:rsidRPr="0038798D">
                  <w:rPr>
                    <w:rFonts w:ascii="宋体" w:eastAsia="宋体" w:hAnsi="宋体" w:cs="宋体" w:hint="eastAsia"/>
                    <w:sz w:val="24"/>
                    <w:szCs w:val="24"/>
                  </w:rPr>
                  <w:sym w:font="Wingdings 2" w:char="F052"/>
                </w:r>
              </w:sdtContent>
            </w:sdt>
            <w:r w:rsidRPr="0038798D">
              <w:rPr>
                <w:rFonts w:ascii="宋体" w:eastAsia="宋体" w:hAnsi="宋体" w:cs="宋体" w:hint="eastAsia"/>
                <w:sz w:val="24"/>
                <w:szCs w:val="24"/>
              </w:rPr>
              <w:t>分</w:t>
            </w:r>
            <w:r w:rsidRPr="0038798D">
              <w:rPr>
                <w:rFonts w:ascii="宋体" w:eastAsia="宋体" w:hAnsi="宋体" w:cs="宋体" w:hint="eastAsia"/>
                <w:spacing w:val="-3"/>
                <w:sz w:val="24"/>
                <w:szCs w:val="24"/>
              </w:rPr>
              <w:t>析</w:t>
            </w:r>
            <w:r w:rsidRPr="0038798D">
              <w:rPr>
                <w:rFonts w:ascii="宋体" w:eastAsia="宋体" w:hAnsi="宋体" w:cs="宋体" w:hint="eastAsia"/>
                <w:sz w:val="24"/>
                <w:szCs w:val="24"/>
              </w:rPr>
              <w:t>师</w:t>
            </w:r>
            <w:r w:rsidRPr="0038798D">
              <w:rPr>
                <w:rFonts w:ascii="宋体" w:eastAsia="宋体" w:hAnsi="宋体" w:cs="宋体" w:hint="eastAsia"/>
                <w:spacing w:val="-3"/>
                <w:sz w:val="24"/>
                <w:szCs w:val="24"/>
              </w:rPr>
              <w:t>会</w:t>
            </w:r>
            <w:r w:rsidRPr="0038798D">
              <w:rPr>
                <w:rFonts w:ascii="宋体" w:eastAsia="宋体" w:hAnsi="宋体" w:cs="宋体" w:hint="eastAsia"/>
                <w:sz w:val="24"/>
                <w:szCs w:val="24"/>
              </w:rPr>
              <w:t>议</w:t>
            </w:r>
          </w:p>
          <w:p w14:paraId="34503400" w14:textId="01A91EAE" w:rsidR="002463FC" w:rsidRPr="0038798D" w:rsidRDefault="00000000" w:rsidP="00E84E15">
            <w:pPr>
              <w:pStyle w:val="TableParagraph"/>
              <w:tabs>
                <w:tab w:val="left" w:pos="2418"/>
              </w:tabs>
              <w:spacing w:line="360" w:lineRule="auto"/>
              <w:ind w:left="108"/>
              <w:jc w:val="both"/>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sidR="00113510">
                  <w:rPr>
                    <w:rFonts w:ascii="MS Gothic" w:eastAsia="MS Gothic" w:hAnsi="MS Gothic" w:cs="宋体" w:hint="eastAsia"/>
                    <w:sz w:val="24"/>
                    <w:szCs w:val="24"/>
                  </w:rPr>
                  <w:t>☐</w:t>
                </w:r>
              </w:sdtContent>
            </w:sdt>
            <w:r w:rsidRPr="0038798D">
              <w:rPr>
                <w:rFonts w:ascii="宋体" w:eastAsia="宋体" w:hAnsi="宋体" w:cs="宋体" w:hint="eastAsia"/>
                <w:sz w:val="24"/>
                <w:szCs w:val="24"/>
              </w:rPr>
              <w:t>媒</w:t>
            </w:r>
            <w:r w:rsidRPr="0038798D">
              <w:rPr>
                <w:rFonts w:ascii="宋体" w:eastAsia="宋体" w:hAnsi="宋体" w:cs="宋体" w:hint="eastAsia"/>
                <w:spacing w:val="-3"/>
                <w:sz w:val="24"/>
                <w:szCs w:val="24"/>
              </w:rPr>
              <w:t>体</w:t>
            </w:r>
            <w:r w:rsidRPr="0038798D">
              <w:rPr>
                <w:rFonts w:ascii="宋体" w:eastAsia="宋体" w:hAnsi="宋体" w:cs="宋体" w:hint="eastAsia"/>
                <w:sz w:val="24"/>
                <w:szCs w:val="24"/>
              </w:rPr>
              <w:t>采访</w:t>
            </w:r>
            <w:r w:rsidRPr="0038798D">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0"/>
                  <w14:checkedState w14:val="0052" w14:font="Wingdings 2"/>
                  <w14:uncheckedState w14:val="2610" w14:font="MS Gothic"/>
                </w14:checkbox>
              </w:sdtPr>
              <w:sdtContent>
                <w:r w:rsidR="001A168B" w:rsidRPr="0038798D">
                  <w:rPr>
                    <w:rFonts w:ascii="Segoe UI Symbol" w:eastAsia="宋体" w:hAnsi="Segoe UI Symbol" w:cs="Segoe UI Symbol"/>
                    <w:sz w:val="24"/>
                    <w:szCs w:val="24"/>
                  </w:rPr>
                  <w:t>☐</w:t>
                </w:r>
              </w:sdtContent>
            </w:sdt>
            <w:r w:rsidRPr="0038798D">
              <w:rPr>
                <w:rFonts w:ascii="宋体" w:eastAsia="宋体" w:hAnsi="宋体" w:cs="宋体" w:hint="eastAsia"/>
                <w:sz w:val="24"/>
                <w:szCs w:val="24"/>
              </w:rPr>
              <w:t>业</w:t>
            </w:r>
            <w:r w:rsidRPr="0038798D">
              <w:rPr>
                <w:rFonts w:ascii="宋体" w:eastAsia="宋体" w:hAnsi="宋体" w:cs="宋体" w:hint="eastAsia"/>
                <w:spacing w:val="-3"/>
                <w:sz w:val="24"/>
                <w:szCs w:val="24"/>
              </w:rPr>
              <w:t>绩</w:t>
            </w:r>
            <w:r w:rsidRPr="0038798D">
              <w:rPr>
                <w:rFonts w:ascii="宋体" w:eastAsia="宋体" w:hAnsi="宋体" w:cs="宋体" w:hint="eastAsia"/>
                <w:sz w:val="24"/>
                <w:szCs w:val="24"/>
              </w:rPr>
              <w:t>说</w:t>
            </w:r>
            <w:r w:rsidRPr="0038798D">
              <w:rPr>
                <w:rFonts w:ascii="宋体" w:eastAsia="宋体" w:hAnsi="宋体" w:cs="宋体" w:hint="eastAsia"/>
                <w:spacing w:val="-3"/>
                <w:sz w:val="24"/>
                <w:szCs w:val="24"/>
              </w:rPr>
              <w:t>明</w:t>
            </w:r>
            <w:r w:rsidRPr="0038798D">
              <w:rPr>
                <w:rFonts w:ascii="宋体" w:eastAsia="宋体" w:hAnsi="宋体" w:cs="宋体" w:hint="eastAsia"/>
                <w:sz w:val="24"/>
                <w:szCs w:val="24"/>
              </w:rPr>
              <w:t>会</w:t>
            </w:r>
          </w:p>
          <w:bookmarkStart w:id="1" w:name="OLE_LINK31"/>
          <w:p w14:paraId="2562C373" w14:textId="7C246E3C" w:rsidR="002463FC" w:rsidRPr="0038798D" w:rsidRDefault="00000000" w:rsidP="00E84E15">
            <w:pPr>
              <w:pStyle w:val="TableParagraph"/>
              <w:tabs>
                <w:tab w:val="left" w:pos="2418"/>
              </w:tabs>
              <w:spacing w:line="360" w:lineRule="auto"/>
              <w:ind w:left="108"/>
              <w:jc w:val="both"/>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sidR="00113510">
                  <w:rPr>
                    <w:rFonts w:ascii="MS Gothic" w:eastAsia="MS Gothic" w:hAnsi="MS Gothic" w:cs="宋体" w:hint="eastAsia"/>
                    <w:sz w:val="24"/>
                    <w:szCs w:val="24"/>
                  </w:rPr>
                  <w:t>☐</w:t>
                </w:r>
              </w:sdtContent>
            </w:sdt>
            <w:bookmarkEnd w:id="1"/>
            <w:r w:rsidRPr="0038798D">
              <w:rPr>
                <w:rFonts w:ascii="宋体" w:eastAsia="宋体" w:hAnsi="宋体" w:cs="宋体" w:hint="eastAsia"/>
                <w:sz w:val="24"/>
                <w:szCs w:val="24"/>
              </w:rPr>
              <w:t>新</w:t>
            </w:r>
            <w:r w:rsidRPr="0038798D">
              <w:rPr>
                <w:rFonts w:ascii="宋体" w:eastAsia="宋体" w:hAnsi="宋体" w:cs="宋体" w:hint="eastAsia"/>
                <w:spacing w:val="-3"/>
                <w:sz w:val="24"/>
                <w:szCs w:val="24"/>
              </w:rPr>
              <w:t>闻</w:t>
            </w:r>
            <w:r w:rsidRPr="0038798D">
              <w:rPr>
                <w:rFonts w:ascii="宋体" w:eastAsia="宋体" w:hAnsi="宋体" w:cs="宋体" w:hint="eastAsia"/>
                <w:sz w:val="24"/>
                <w:szCs w:val="24"/>
              </w:rPr>
              <w:t>发</w:t>
            </w:r>
            <w:r w:rsidRPr="0038798D">
              <w:rPr>
                <w:rFonts w:ascii="宋体" w:eastAsia="宋体" w:hAnsi="宋体" w:cs="宋体" w:hint="eastAsia"/>
                <w:spacing w:val="-3"/>
                <w:sz w:val="24"/>
                <w:szCs w:val="24"/>
              </w:rPr>
              <w:t>布</w:t>
            </w:r>
            <w:r w:rsidRPr="0038798D">
              <w:rPr>
                <w:rFonts w:ascii="宋体" w:eastAsia="宋体" w:hAnsi="宋体" w:cs="宋体" w:hint="eastAsia"/>
                <w:sz w:val="24"/>
                <w:szCs w:val="24"/>
              </w:rPr>
              <w:t>会</w:t>
            </w:r>
            <w:r w:rsidRPr="0038798D">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sidRPr="0038798D">
                  <w:rPr>
                    <w:rFonts w:ascii="Segoe UI Symbol" w:eastAsia="宋体" w:hAnsi="Segoe UI Symbol" w:cs="Segoe UI Symbol"/>
                    <w:sz w:val="24"/>
                    <w:szCs w:val="24"/>
                  </w:rPr>
                  <w:t>☐</w:t>
                </w:r>
              </w:sdtContent>
            </w:sdt>
            <w:r w:rsidRPr="0038798D">
              <w:rPr>
                <w:rFonts w:ascii="宋体" w:eastAsia="宋体" w:hAnsi="宋体" w:cs="宋体" w:hint="eastAsia"/>
                <w:sz w:val="24"/>
                <w:szCs w:val="24"/>
              </w:rPr>
              <w:t>路</w:t>
            </w:r>
            <w:r w:rsidRPr="0038798D">
              <w:rPr>
                <w:rFonts w:ascii="宋体" w:eastAsia="宋体" w:hAnsi="宋体" w:cs="宋体" w:hint="eastAsia"/>
                <w:spacing w:val="-3"/>
                <w:sz w:val="24"/>
                <w:szCs w:val="24"/>
              </w:rPr>
              <w:t>演</w:t>
            </w:r>
            <w:r w:rsidRPr="0038798D">
              <w:rPr>
                <w:rFonts w:ascii="宋体" w:eastAsia="宋体" w:hAnsi="宋体" w:cs="宋体" w:hint="eastAsia"/>
                <w:sz w:val="24"/>
                <w:szCs w:val="24"/>
              </w:rPr>
              <w:t>活动</w:t>
            </w:r>
          </w:p>
          <w:p w14:paraId="718CCF85" w14:textId="2CE5681B" w:rsidR="002463FC" w:rsidRPr="0038798D" w:rsidRDefault="00000000" w:rsidP="00E84E15">
            <w:pPr>
              <w:pStyle w:val="TableParagraph"/>
              <w:spacing w:line="360" w:lineRule="auto"/>
              <w:ind w:left="108"/>
              <w:jc w:val="both"/>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sidRPr="0038798D">
                  <w:rPr>
                    <w:rFonts w:ascii="Segoe UI Symbol" w:eastAsia="宋体" w:hAnsi="Segoe UI Symbol" w:cs="Segoe UI Symbol"/>
                    <w:sz w:val="24"/>
                    <w:szCs w:val="24"/>
                  </w:rPr>
                  <w:t>☐</w:t>
                </w:r>
              </w:sdtContent>
            </w:sdt>
            <w:r w:rsidRPr="0038798D">
              <w:rPr>
                <w:rFonts w:ascii="宋体" w:eastAsia="宋体" w:hAnsi="宋体" w:cs="宋体" w:hint="eastAsia"/>
                <w:sz w:val="24"/>
                <w:szCs w:val="24"/>
              </w:rPr>
              <w:t>现场参观</w:t>
            </w:r>
          </w:p>
          <w:p w14:paraId="56385484" w14:textId="77777777" w:rsidR="002463FC" w:rsidRPr="0038798D" w:rsidRDefault="00000000" w:rsidP="00E84E15">
            <w:pPr>
              <w:pStyle w:val="TableParagraph"/>
              <w:spacing w:line="360" w:lineRule="auto"/>
              <w:ind w:left="108"/>
              <w:jc w:val="both"/>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sidRPr="0038798D">
                  <w:rPr>
                    <w:rFonts w:ascii="Segoe UI Symbol" w:eastAsia="宋体" w:hAnsi="Segoe UI Symbol" w:cs="Segoe UI Symbol"/>
                    <w:sz w:val="24"/>
                    <w:szCs w:val="24"/>
                  </w:rPr>
                  <w:t>☐</w:t>
                </w:r>
              </w:sdtContent>
            </w:sdt>
            <w:r w:rsidRPr="0038798D">
              <w:rPr>
                <w:rFonts w:ascii="宋体" w:eastAsia="宋体" w:hAnsi="宋体" w:cs="宋体" w:hint="eastAsia"/>
                <w:sz w:val="24"/>
                <w:szCs w:val="24"/>
              </w:rPr>
              <w:t>其他（</w:t>
            </w:r>
            <w:proofErr w:type="gramStart"/>
            <w:r w:rsidRPr="0038798D">
              <w:rPr>
                <w:rFonts w:ascii="宋体" w:eastAsia="宋体" w:hAnsi="宋体" w:cs="宋体" w:hint="eastAsia"/>
                <w:sz w:val="24"/>
                <w:szCs w:val="24"/>
                <w:u w:val="single"/>
              </w:rPr>
              <w:t>请文字</w:t>
            </w:r>
            <w:proofErr w:type="gramEnd"/>
            <w:r w:rsidRPr="0038798D">
              <w:rPr>
                <w:rFonts w:ascii="宋体" w:eastAsia="宋体" w:hAnsi="宋体" w:cs="宋体" w:hint="eastAsia"/>
                <w:sz w:val="24"/>
                <w:szCs w:val="24"/>
                <w:u w:val="single"/>
              </w:rPr>
              <w:t>说明其他活动内容）</w:t>
            </w:r>
          </w:p>
        </w:tc>
      </w:tr>
      <w:tr w:rsidR="002463FC" w:rsidRPr="0038798D" w14:paraId="08D2E6A1" w14:textId="77777777" w:rsidTr="004C4F2C">
        <w:trPr>
          <w:trHeight w:val="1023"/>
          <w:jc w:val="center"/>
        </w:trPr>
        <w:tc>
          <w:tcPr>
            <w:tcW w:w="1838" w:type="dxa"/>
            <w:vAlign w:val="center"/>
          </w:tcPr>
          <w:p w14:paraId="78768320" w14:textId="3A57D7E3" w:rsidR="002463FC" w:rsidRPr="0038798D" w:rsidRDefault="00C952E7" w:rsidP="00E84E15">
            <w:pPr>
              <w:pStyle w:val="TableParagraph"/>
              <w:spacing w:before="1" w:line="360" w:lineRule="auto"/>
              <w:jc w:val="both"/>
              <w:rPr>
                <w:rFonts w:ascii="宋体" w:eastAsia="宋体" w:hAnsi="宋体" w:cs="宋体" w:hint="eastAsia"/>
                <w:b/>
                <w:bCs/>
                <w:sz w:val="24"/>
                <w:szCs w:val="24"/>
              </w:rPr>
            </w:pPr>
            <w:r w:rsidRPr="0038798D">
              <w:rPr>
                <w:rFonts w:ascii="宋体" w:eastAsia="宋体" w:hAnsi="宋体" w:cs="宋体" w:hint="eastAsia"/>
                <w:b/>
                <w:bCs/>
                <w:sz w:val="24"/>
                <w:szCs w:val="24"/>
              </w:rPr>
              <w:t>参与单位名称及人员姓名</w:t>
            </w:r>
          </w:p>
        </w:tc>
        <w:tc>
          <w:tcPr>
            <w:tcW w:w="7229" w:type="dxa"/>
            <w:vAlign w:val="center"/>
          </w:tcPr>
          <w:p w14:paraId="27FC9ECA" w14:textId="7034ED70" w:rsidR="002463FC" w:rsidRPr="0038798D" w:rsidRDefault="006E3CBA" w:rsidP="00E84E15">
            <w:pPr>
              <w:pStyle w:val="TableParagraph"/>
              <w:spacing w:before="1" w:line="360" w:lineRule="auto"/>
              <w:jc w:val="both"/>
              <w:rPr>
                <w:rFonts w:ascii="宋体" w:eastAsia="宋体" w:hAnsi="宋体" w:cs="宋体" w:hint="eastAsia"/>
                <w:sz w:val="24"/>
                <w:szCs w:val="24"/>
              </w:rPr>
            </w:pPr>
            <w:r w:rsidRPr="0038798D">
              <w:rPr>
                <w:rFonts w:ascii="宋体" w:eastAsia="宋体" w:hAnsi="宋体" w:cs="宋体" w:hint="eastAsia"/>
                <w:sz w:val="24"/>
                <w:szCs w:val="24"/>
              </w:rPr>
              <w:t>华安</w:t>
            </w:r>
            <w:r w:rsidR="00C952E7" w:rsidRPr="0038798D">
              <w:rPr>
                <w:rFonts w:ascii="宋体" w:eastAsia="宋体" w:hAnsi="宋体" w:cs="宋体" w:hint="eastAsia"/>
                <w:sz w:val="24"/>
                <w:szCs w:val="24"/>
              </w:rPr>
              <w:t>证券：</w:t>
            </w:r>
            <w:r w:rsidRPr="0038798D">
              <w:rPr>
                <w:rFonts w:ascii="宋体" w:eastAsia="宋体" w:hAnsi="宋体" w:cs="宋体" w:hint="eastAsia"/>
                <w:sz w:val="24"/>
                <w:szCs w:val="24"/>
              </w:rPr>
              <w:t>王洪岩</w:t>
            </w:r>
          </w:p>
        </w:tc>
      </w:tr>
      <w:tr w:rsidR="002463FC" w:rsidRPr="0038798D" w14:paraId="0E00FC3E" w14:textId="77777777" w:rsidTr="004C4F2C">
        <w:trPr>
          <w:trHeight w:val="677"/>
          <w:jc w:val="center"/>
        </w:trPr>
        <w:tc>
          <w:tcPr>
            <w:tcW w:w="1838" w:type="dxa"/>
            <w:vAlign w:val="center"/>
          </w:tcPr>
          <w:p w14:paraId="47B88CE4" w14:textId="77777777" w:rsidR="002463FC" w:rsidRPr="0038798D" w:rsidRDefault="00000000" w:rsidP="00E84E15">
            <w:pPr>
              <w:pStyle w:val="TableParagraph"/>
              <w:spacing w:before="1" w:line="360" w:lineRule="auto"/>
              <w:jc w:val="both"/>
              <w:rPr>
                <w:rFonts w:ascii="宋体" w:eastAsia="宋体" w:hAnsi="宋体" w:cs="宋体" w:hint="eastAsia"/>
                <w:b/>
                <w:bCs/>
                <w:sz w:val="24"/>
                <w:szCs w:val="24"/>
              </w:rPr>
            </w:pPr>
            <w:r w:rsidRPr="0038798D">
              <w:rPr>
                <w:rFonts w:ascii="宋体" w:eastAsia="宋体" w:hAnsi="宋体" w:cs="宋体" w:hint="eastAsia"/>
                <w:b/>
                <w:bCs/>
                <w:sz w:val="24"/>
                <w:szCs w:val="24"/>
              </w:rPr>
              <w:t>时间</w:t>
            </w:r>
          </w:p>
        </w:tc>
        <w:tc>
          <w:tcPr>
            <w:tcW w:w="7229" w:type="dxa"/>
            <w:vAlign w:val="center"/>
          </w:tcPr>
          <w:p w14:paraId="38241C4F" w14:textId="22166664" w:rsidR="002463FC" w:rsidRPr="0038798D" w:rsidRDefault="00000000" w:rsidP="00E84E15">
            <w:pPr>
              <w:pStyle w:val="TableParagraph"/>
              <w:spacing w:before="1" w:line="360" w:lineRule="auto"/>
              <w:jc w:val="both"/>
              <w:rPr>
                <w:rFonts w:ascii="宋体" w:eastAsia="宋体" w:hAnsi="宋体" w:cs="宋体" w:hint="eastAsia"/>
                <w:sz w:val="24"/>
                <w:szCs w:val="24"/>
              </w:rPr>
            </w:pPr>
            <w:bookmarkStart w:id="2" w:name="OLE_LINK7"/>
            <w:r w:rsidRPr="0038798D">
              <w:rPr>
                <w:rFonts w:ascii="宋体" w:eastAsia="宋体" w:hAnsi="宋体" w:cs="宋体" w:hint="eastAsia"/>
                <w:sz w:val="24"/>
                <w:szCs w:val="24"/>
              </w:rPr>
              <w:t>202</w:t>
            </w:r>
            <w:r w:rsidR="00CB7D9D" w:rsidRPr="0038798D">
              <w:rPr>
                <w:rFonts w:ascii="宋体" w:eastAsia="宋体" w:hAnsi="宋体" w:cs="宋体" w:hint="eastAsia"/>
                <w:sz w:val="24"/>
                <w:szCs w:val="24"/>
              </w:rPr>
              <w:t>6</w:t>
            </w:r>
            <w:r w:rsidRPr="0038798D">
              <w:rPr>
                <w:rFonts w:ascii="宋体" w:eastAsia="宋体" w:hAnsi="宋体" w:cs="宋体" w:hint="eastAsia"/>
                <w:sz w:val="24"/>
                <w:szCs w:val="24"/>
              </w:rPr>
              <w:t>年</w:t>
            </w:r>
            <w:r w:rsidR="00CB7D9D" w:rsidRPr="0038798D">
              <w:rPr>
                <w:rFonts w:ascii="宋体" w:eastAsia="宋体" w:hAnsi="宋体" w:cs="宋体" w:hint="eastAsia"/>
                <w:sz w:val="24"/>
                <w:szCs w:val="24"/>
              </w:rPr>
              <w:t>6</w:t>
            </w:r>
            <w:r w:rsidRPr="0038798D">
              <w:rPr>
                <w:rFonts w:ascii="宋体" w:eastAsia="宋体" w:hAnsi="宋体" w:cs="宋体" w:hint="eastAsia"/>
                <w:sz w:val="24"/>
                <w:szCs w:val="24"/>
              </w:rPr>
              <w:t>月</w:t>
            </w:r>
            <w:r w:rsidR="007F737D" w:rsidRPr="0038798D">
              <w:rPr>
                <w:rFonts w:ascii="宋体" w:eastAsia="宋体" w:hAnsi="宋体" w:cs="宋体" w:hint="eastAsia"/>
                <w:sz w:val="24"/>
                <w:szCs w:val="24"/>
              </w:rPr>
              <w:t>11</w:t>
            </w:r>
            <w:r w:rsidRPr="0038798D">
              <w:rPr>
                <w:rFonts w:ascii="宋体" w:eastAsia="宋体" w:hAnsi="宋体" w:cs="宋体" w:hint="eastAsia"/>
                <w:sz w:val="24"/>
                <w:szCs w:val="24"/>
              </w:rPr>
              <w:t>日</w:t>
            </w:r>
            <w:bookmarkEnd w:id="2"/>
            <w:r w:rsidRPr="0038798D">
              <w:rPr>
                <w:rFonts w:ascii="宋体" w:eastAsia="宋体" w:hAnsi="宋体" w:cs="宋体" w:hint="eastAsia"/>
                <w:sz w:val="24"/>
                <w:szCs w:val="24"/>
              </w:rPr>
              <w:t xml:space="preserve"> 10:00-11:00</w:t>
            </w:r>
          </w:p>
        </w:tc>
      </w:tr>
      <w:tr w:rsidR="002463FC" w:rsidRPr="0038798D" w14:paraId="449DB6EC" w14:textId="77777777" w:rsidTr="004C4F2C">
        <w:trPr>
          <w:trHeight w:val="671"/>
          <w:jc w:val="center"/>
        </w:trPr>
        <w:tc>
          <w:tcPr>
            <w:tcW w:w="1838" w:type="dxa"/>
            <w:vAlign w:val="center"/>
          </w:tcPr>
          <w:p w14:paraId="2FD0BBE4" w14:textId="77777777" w:rsidR="002463FC" w:rsidRPr="0038798D" w:rsidRDefault="00000000" w:rsidP="00E84E15">
            <w:pPr>
              <w:pStyle w:val="TableParagraph"/>
              <w:spacing w:before="1" w:line="360" w:lineRule="auto"/>
              <w:jc w:val="both"/>
              <w:rPr>
                <w:rFonts w:ascii="宋体" w:eastAsia="宋体" w:hAnsi="宋体" w:cs="宋体" w:hint="eastAsia"/>
                <w:b/>
                <w:bCs/>
                <w:sz w:val="24"/>
                <w:szCs w:val="24"/>
              </w:rPr>
            </w:pPr>
            <w:r w:rsidRPr="0038798D">
              <w:rPr>
                <w:rFonts w:ascii="宋体" w:eastAsia="宋体" w:hAnsi="宋体" w:cs="宋体" w:hint="eastAsia"/>
                <w:b/>
                <w:bCs/>
                <w:sz w:val="24"/>
                <w:szCs w:val="24"/>
              </w:rPr>
              <w:t>地点</w:t>
            </w:r>
          </w:p>
        </w:tc>
        <w:tc>
          <w:tcPr>
            <w:tcW w:w="7229" w:type="dxa"/>
            <w:vAlign w:val="center"/>
          </w:tcPr>
          <w:p w14:paraId="59710C1A" w14:textId="2F8B4B0E" w:rsidR="002463FC" w:rsidRPr="0038798D" w:rsidRDefault="002B4845" w:rsidP="00E84E15">
            <w:pPr>
              <w:pStyle w:val="TableParagraph"/>
              <w:spacing w:before="1" w:line="360" w:lineRule="auto"/>
              <w:jc w:val="both"/>
              <w:rPr>
                <w:rFonts w:ascii="宋体" w:eastAsia="宋体" w:hAnsi="宋体" w:cs="宋体" w:hint="eastAsia"/>
                <w:sz w:val="24"/>
                <w:szCs w:val="24"/>
              </w:rPr>
            </w:pPr>
            <w:proofErr w:type="gramStart"/>
            <w:r>
              <w:rPr>
                <w:rFonts w:ascii="宋体" w:eastAsia="宋体" w:hAnsi="宋体" w:cs="宋体" w:hint="eastAsia"/>
                <w:sz w:val="24"/>
                <w:szCs w:val="24"/>
              </w:rPr>
              <w:t>腾讯</w:t>
            </w:r>
            <w:r w:rsidR="00EB02A0" w:rsidRPr="0038798D">
              <w:rPr>
                <w:rFonts w:ascii="宋体" w:eastAsia="宋体" w:hAnsi="宋体" w:cs="宋体" w:hint="eastAsia"/>
                <w:sz w:val="24"/>
                <w:szCs w:val="24"/>
              </w:rPr>
              <w:t>会议</w:t>
            </w:r>
            <w:proofErr w:type="gramEnd"/>
          </w:p>
        </w:tc>
      </w:tr>
      <w:tr w:rsidR="002463FC" w:rsidRPr="0038798D" w14:paraId="7BB7A65E" w14:textId="77777777" w:rsidTr="004C4F2C">
        <w:trPr>
          <w:trHeight w:val="1418"/>
          <w:jc w:val="center"/>
        </w:trPr>
        <w:tc>
          <w:tcPr>
            <w:tcW w:w="1838" w:type="dxa"/>
            <w:vAlign w:val="center"/>
          </w:tcPr>
          <w:p w14:paraId="51623CC5" w14:textId="77777777" w:rsidR="002463FC" w:rsidRPr="0038798D" w:rsidRDefault="00000000" w:rsidP="00E84E15">
            <w:pPr>
              <w:pStyle w:val="TableParagraph"/>
              <w:spacing w:before="1" w:line="360" w:lineRule="auto"/>
              <w:jc w:val="both"/>
              <w:rPr>
                <w:rFonts w:ascii="宋体" w:eastAsia="宋体" w:hAnsi="宋体" w:cs="宋体" w:hint="eastAsia"/>
                <w:b/>
                <w:bCs/>
                <w:sz w:val="24"/>
                <w:szCs w:val="24"/>
              </w:rPr>
            </w:pPr>
            <w:r w:rsidRPr="0038798D">
              <w:rPr>
                <w:rFonts w:ascii="宋体" w:eastAsia="宋体" w:hAnsi="宋体" w:cs="宋体" w:hint="eastAsia"/>
                <w:b/>
                <w:bCs/>
                <w:sz w:val="24"/>
                <w:szCs w:val="24"/>
              </w:rPr>
              <w:t>上市公司接待人员姓名</w:t>
            </w:r>
          </w:p>
        </w:tc>
        <w:tc>
          <w:tcPr>
            <w:tcW w:w="7229" w:type="dxa"/>
            <w:vAlign w:val="center"/>
          </w:tcPr>
          <w:p w14:paraId="75F29807" w14:textId="77777777" w:rsidR="002B4845" w:rsidRDefault="00C952E7" w:rsidP="00E84E15">
            <w:pPr>
              <w:pStyle w:val="TableParagraph"/>
              <w:spacing w:line="360" w:lineRule="auto"/>
              <w:jc w:val="both"/>
              <w:rPr>
                <w:rFonts w:ascii="宋体" w:eastAsia="宋体" w:hAnsi="宋体" w:cs="宋体" w:hint="eastAsia"/>
                <w:sz w:val="24"/>
                <w:szCs w:val="24"/>
              </w:rPr>
            </w:pPr>
            <w:r w:rsidRPr="0038798D">
              <w:rPr>
                <w:rFonts w:ascii="宋体" w:eastAsia="宋体" w:hAnsi="宋体" w:cs="宋体" w:hint="eastAsia"/>
                <w:sz w:val="24"/>
                <w:szCs w:val="24"/>
              </w:rPr>
              <w:t>副总经理</w:t>
            </w:r>
            <w:r w:rsidR="004F44B8" w:rsidRPr="0038798D">
              <w:rPr>
                <w:rFonts w:ascii="宋体" w:eastAsia="宋体" w:hAnsi="宋体" w:cs="宋体" w:hint="eastAsia"/>
                <w:sz w:val="24"/>
                <w:szCs w:val="24"/>
              </w:rPr>
              <w:t xml:space="preserve">、总法律顾问 </w:t>
            </w:r>
            <w:r w:rsidRPr="0038798D">
              <w:rPr>
                <w:rFonts w:ascii="宋体" w:eastAsia="宋体" w:hAnsi="宋体" w:cs="宋体" w:hint="eastAsia"/>
                <w:sz w:val="24"/>
                <w:szCs w:val="24"/>
              </w:rPr>
              <w:t>刘晓文</w:t>
            </w:r>
            <w:r w:rsidR="00EB02A0" w:rsidRPr="0038798D">
              <w:rPr>
                <w:rFonts w:ascii="宋体" w:eastAsia="宋体" w:hAnsi="宋体" w:cs="宋体" w:hint="eastAsia"/>
                <w:sz w:val="24"/>
                <w:szCs w:val="24"/>
              </w:rPr>
              <w:t>；</w:t>
            </w:r>
          </w:p>
          <w:p w14:paraId="6DE63CEA" w14:textId="5F4F07FF" w:rsidR="00C952E7" w:rsidRPr="0038798D" w:rsidRDefault="00C952E7" w:rsidP="00E84E15">
            <w:pPr>
              <w:pStyle w:val="TableParagraph"/>
              <w:spacing w:line="360" w:lineRule="auto"/>
              <w:jc w:val="both"/>
              <w:rPr>
                <w:rFonts w:ascii="宋体" w:eastAsia="宋体" w:hAnsi="宋体" w:cs="宋体" w:hint="eastAsia"/>
                <w:sz w:val="24"/>
                <w:szCs w:val="24"/>
              </w:rPr>
            </w:pPr>
            <w:r w:rsidRPr="0038798D">
              <w:rPr>
                <w:rFonts w:ascii="宋体" w:eastAsia="宋体" w:hAnsi="宋体" w:cs="宋体"/>
                <w:sz w:val="24"/>
                <w:szCs w:val="24"/>
              </w:rPr>
              <w:t>董事会秘书 陆飞</w:t>
            </w:r>
            <w:r w:rsidR="00445A3B" w:rsidRPr="0038798D">
              <w:rPr>
                <w:rFonts w:ascii="宋体" w:eastAsia="宋体" w:hAnsi="宋体" w:cs="宋体" w:hint="eastAsia"/>
                <w:sz w:val="24"/>
                <w:szCs w:val="24"/>
              </w:rPr>
              <w:t>。</w:t>
            </w:r>
          </w:p>
        </w:tc>
      </w:tr>
      <w:tr w:rsidR="002463FC" w:rsidRPr="0038798D" w14:paraId="56BB8F72" w14:textId="77777777" w:rsidTr="00EA07A7">
        <w:trPr>
          <w:trHeight w:val="771"/>
          <w:jc w:val="center"/>
        </w:trPr>
        <w:tc>
          <w:tcPr>
            <w:tcW w:w="1838" w:type="dxa"/>
            <w:vAlign w:val="center"/>
          </w:tcPr>
          <w:p w14:paraId="4670A3B6" w14:textId="77777777" w:rsidR="002463FC" w:rsidRPr="0038798D" w:rsidRDefault="00000000" w:rsidP="00E84E15">
            <w:pPr>
              <w:pStyle w:val="TableParagraph"/>
              <w:spacing w:before="1" w:line="360" w:lineRule="auto"/>
              <w:jc w:val="both"/>
              <w:rPr>
                <w:rFonts w:ascii="宋体" w:eastAsia="宋体" w:hAnsi="宋体" w:cs="宋体" w:hint="eastAsia"/>
                <w:b/>
                <w:bCs/>
                <w:sz w:val="24"/>
                <w:szCs w:val="24"/>
              </w:rPr>
            </w:pPr>
            <w:r w:rsidRPr="0038798D">
              <w:rPr>
                <w:rFonts w:ascii="宋体" w:eastAsia="宋体" w:hAnsi="宋体" w:cs="宋体" w:hint="eastAsia"/>
                <w:b/>
                <w:bCs/>
                <w:sz w:val="24"/>
                <w:szCs w:val="24"/>
              </w:rPr>
              <w:t>投资者关系活动主要内容介绍</w:t>
            </w:r>
          </w:p>
        </w:tc>
        <w:tc>
          <w:tcPr>
            <w:tcW w:w="7229" w:type="dxa"/>
          </w:tcPr>
          <w:p w14:paraId="3199E33D" w14:textId="0DCB2FE8" w:rsidR="00EB02A0" w:rsidRPr="0038798D" w:rsidRDefault="002B4845" w:rsidP="00EA07A7">
            <w:pPr>
              <w:pStyle w:val="TableParagraph"/>
              <w:spacing w:before="100" w:beforeAutospacing="1" w:line="360" w:lineRule="auto"/>
              <w:contextualSpacing/>
              <w:jc w:val="both"/>
              <w:rPr>
                <w:rFonts w:ascii="宋体" w:eastAsia="宋体" w:hAnsi="宋体" w:cs="宋体" w:hint="eastAsia"/>
                <w:b/>
                <w:sz w:val="24"/>
                <w:szCs w:val="24"/>
              </w:rPr>
            </w:pPr>
            <w:r>
              <w:rPr>
                <w:rFonts w:ascii="宋体" w:eastAsia="宋体" w:hAnsi="宋体" w:cs="宋体" w:hint="eastAsia"/>
                <w:b/>
                <w:sz w:val="24"/>
                <w:szCs w:val="24"/>
              </w:rPr>
              <w:t>线上</w:t>
            </w:r>
            <w:r w:rsidR="004D5AFD" w:rsidRPr="0038798D">
              <w:rPr>
                <w:rFonts w:ascii="宋体" w:eastAsia="宋体" w:hAnsi="宋体" w:cs="宋体" w:hint="eastAsia"/>
                <w:b/>
                <w:sz w:val="24"/>
                <w:szCs w:val="24"/>
              </w:rPr>
              <w:t>会议交流</w:t>
            </w:r>
            <w:r>
              <w:rPr>
                <w:rFonts w:ascii="宋体" w:eastAsia="宋体" w:hAnsi="宋体" w:cs="宋体" w:hint="eastAsia"/>
                <w:b/>
                <w:sz w:val="24"/>
                <w:szCs w:val="24"/>
              </w:rPr>
              <w:t>主要</w:t>
            </w:r>
            <w:r w:rsidR="004D5AFD" w:rsidRPr="0038798D">
              <w:rPr>
                <w:rFonts w:ascii="宋体" w:eastAsia="宋体" w:hAnsi="宋体" w:cs="宋体" w:hint="eastAsia"/>
                <w:b/>
                <w:sz w:val="24"/>
                <w:szCs w:val="24"/>
              </w:rPr>
              <w:t>内容包括：</w:t>
            </w:r>
          </w:p>
          <w:p w14:paraId="6C2A45D3" w14:textId="1F4563A1" w:rsidR="003B51D8" w:rsidRPr="0038798D" w:rsidRDefault="00FF162B" w:rsidP="0038798D">
            <w:pPr>
              <w:pStyle w:val="TableParagraph"/>
              <w:spacing w:before="100" w:beforeAutospacing="1" w:line="360" w:lineRule="auto"/>
              <w:ind w:firstLineChars="200" w:firstLine="482"/>
              <w:contextualSpacing/>
              <w:jc w:val="both"/>
              <w:rPr>
                <w:rFonts w:ascii="宋体" w:eastAsia="宋体" w:hAnsi="宋体" w:cs="宋体" w:hint="eastAsia"/>
                <w:b/>
                <w:sz w:val="24"/>
                <w:szCs w:val="24"/>
              </w:rPr>
            </w:pPr>
            <w:bookmarkStart w:id="3" w:name="OLE_LINK18"/>
            <w:r>
              <w:rPr>
                <w:rFonts w:ascii="宋体" w:eastAsia="宋体" w:hAnsi="宋体" w:cs="宋体" w:hint="eastAsia"/>
                <w:b/>
                <w:sz w:val="24"/>
                <w:szCs w:val="24"/>
              </w:rPr>
              <w:t>1</w:t>
            </w:r>
            <w:r w:rsidR="004C2B1F">
              <w:rPr>
                <w:rFonts w:ascii="宋体" w:eastAsia="宋体" w:hAnsi="宋体" w:cs="宋体" w:hint="eastAsia"/>
                <w:b/>
                <w:sz w:val="24"/>
                <w:szCs w:val="24"/>
              </w:rPr>
              <w:t>.</w:t>
            </w:r>
            <w:r w:rsidR="009A6EFD">
              <w:rPr>
                <w:rFonts w:ascii="宋体" w:eastAsia="宋体" w:hAnsi="宋体" w:cs="宋体" w:hint="eastAsia"/>
                <w:b/>
                <w:sz w:val="24"/>
                <w:szCs w:val="24"/>
              </w:rPr>
              <w:t>问：</w:t>
            </w:r>
            <w:r w:rsidRPr="00FF162B">
              <w:rPr>
                <w:rFonts w:ascii="宋体" w:eastAsia="宋体" w:hAnsi="宋体" w:cs="宋体"/>
                <w:b/>
                <w:sz w:val="24"/>
                <w:szCs w:val="24"/>
              </w:rPr>
              <w:t>江苏苏豪汇鸿集团股份有限公司</w:t>
            </w:r>
            <w:r>
              <w:rPr>
                <w:rFonts w:ascii="宋体" w:eastAsia="宋体" w:hAnsi="宋体" w:cs="宋体" w:hint="eastAsia"/>
                <w:b/>
                <w:sz w:val="24"/>
                <w:szCs w:val="24"/>
              </w:rPr>
              <w:t>（以下简称</w:t>
            </w:r>
            <w:r w:rsidR="00FB6787">
              <w:rPr>
                <w:rFonts w:ascii="宋体" w:eastAsia="宋体" w:hAnsi="宋体" w:cs="宋体" w:hint="eastAsia"/>
                <w:b/>
                <w:sz w:val="24"/>
                <w:szCs w:val="24"/>
              </w:rPr>
              <w:t>“苏豪汇鸿”、</w:t>
            </w:r>
            <w:r>
              <w:rPr>
                <w:rFonts w:ascii="宋体" w:eastAsia="宋体" w:hAnsi="宋体" w:cs="宋体" w:hint="eastAsia"/>
                <w:b/>
                <w:sz w:val="24"/>
                <w:szCs w:val="24"/>
              </w:rPr>
              <w:t>“公司”）</w:t>
            </w:r>
            <w:r w:rsidRPr="00FF162B">
              <w:rPr>
                <w:rFonts w:ascii="宋体" w:eastAsia="宋体" w:hAnsi="宋体" w:hint="eastAsia"/>
                <w:b/>
                <w:bCs/>
                <w:sz w:val="24"/>
                <w:szCs w:val="28"/>
              </w:rPr>
              <w:t>于2025年末披露对证券名称进行变更，表述为</w:t>
            </w:r>
            <w:proofErr w:type="gramStart"/>
            <w:r w:rsidRPr="00FF162B">
              <w:rPr>
                <w:rFonts w:ascii="宋体" w:eastAsia="宋体" w:hAnsi="宋体" w:hint="eastAsia"/>
                <w:b/>
                <w:bCs/>
                <w:sz w:val="24"/>
                <w:szCs w:val="28"/>
              </w:rPr>
              <w:t>“</w:t>
            </w:r>
            <w:proofErr w:type="gramEnd"/>
            <w:r w:rsidRPr="00FF162B">
              <w:rPr>
                <w:rFonts w:ascii="宋体" w:eastAsia="宋体" w:hAnsi="宋体"/>
                <w:b/>
                <w:bCs/>
                <w:sz w:val="24"/>
                <w:szCs w:val="28"/>
              </w:rPr>
              <w:t>为全面融入江苏省苏豪控股集团有限公司（以下简称“苏豪控股集团”）</w:t>
            </w:r>
            <w:bookmarkStart w:id="4" w:name="OLE_LINK4"/>
            <w:r w:rsidRPr="00FF162B">
              <w:rPr>
                <w:rFonts w:ascii="宋体" w:eastAsia="宋体" w:hAnsi="宋体"/>
                <w:b/>
                <w:bCs/>
                <w:sz w:val="24"/>
                <w:szCs w:val="28"/>
              </w:rPr>
              <w:t>“建设世界一流企业”发展战略</w:t>
            </w:r>
            <w:bookmarkEnd w:id="4"/>
            <w:r w:rsidRPr="00FF162B">
              <w:rPr>
                <w:rFonts w:ascii="宋体" w:eastAsia="宋体" w:hAnsi="宋体"/>
                <w:b/>
                <w:bCs/>
                <w:sz w:val="24"/>
                <w:szCs w:val="28"/>
              </w:rPr>
              <w:t>，在苏</w:t>
            </w:r>
            <w:proofErr w:type="gramStart"/>
            <w:r w:rsidRPr="00FF162B">
              <w:rPr>
                <w:rFonts w:ascii="宋体" w:eastAsia="宋体" w:hAnsi="宋体"/>
                <w:b/>
                <w:bCs/>
                <w:sz w:val="24"/>
                <w:szCs w:val="28"/>
              </w:rPr>
              <w:t>豪</w:t>
            </w:r>
            <w:proofErr w:type="gramEnd"/>
            <w:r w:rsidRPr="00FF162B">
              <w:rPr>
                <w:rFonts w:ascii="宋体" w:eastAsia="宋体" w:hAnsi="宋体"/>
                <w:b/>
                <w:bCs/>
                <w:sz w:val="24"/>
                <w:szCs w:val="28"/>
              </w:rPr>
              <w:t>控股集团“强优稳好”发展主题中，更好适应发展战略需要，找准定位、明确方向</w:t>
            </w:r>
            <w:r w:rsidRPr="00FF162B">
              <w:rPr>
                <w:rFonts w:ascii="宋体" w:eastAsia="宋体" w:hAnsi="宋体" w:hint="eastAsia"/>
                <w:b/>
                <w:bCs/>
                <w:sz w:val="24"/>
                <w:szCs w:val="28"/>
              </w:rPr>
              <w:t>。</w:t>
            </w:r>
            <w:proofErr w:type="gramStart"/>
            <w:r w:rsidRPr="00FF162B">
              <w:rPr>
                <w:rFonts w:ascii="宋体" w:eastAsia="宋体" w:hAnsi="宋体" w:hint="eastAsia"/>
                <w:b/>
                <w:bCs/>
                <w:sz w:val="24"/>
                <w:szCs w:val="28"/>
              </w:rPr>
              <w:t>”</w:t>
            </w:r>
            <w:proofErr w:type="gramEnd"/>
            <w:r w:rsidRPr="00FF162B">
              <w:rPr>
                <w:rFonts w:ascii="宋体" w:eastAsia="宋体" w:hAnsi="宋体" w:hint="eastAsia"/>
                <w:b/>
                <w:bCs/>
                <w:sz w:val="24"/>
                <w:szCs w:val="28"/>
              </w:rPr>
              <w:t>请问，这一变更的实质意义在于什么？与江苏苏豪控股集团之间的定位具体是什么？苏豪集团对公司有哪些方面的支持？</w:t>
            </w:r>
          </w:p>
          <w:p w14:paraId="3E569E96" w14:textId="24A58638" w:rsidR="00FF162B" w:rsidRPr="00FF162B" w:rsidRDefault="00FF162B" w:rsidP="000155CE">
            <w:pPr>
              <w:pStyle w:val="TableParagraph"/>
              <w:spacing w:before="100" w:beforeAutospacing="1" w:line="360" w:lineRule="auto"/>
              <w:ind w:firstLineChars="200" w:firstLine="480"/>
              <w:contextualSpacing/>
              <w:jc w:val="both"/>
              <w:rPr>
                <w:rFonts w:ascii="宋体" w:eastAsia="宋体" w:hAnsi="宋体" w:cs="宋体" w:hint="eastAsia"/>
                <w:bCs/>
                <w:sz w:val="24"/>
                <w:szCs w:val="24"/>
              </w:rPr>
            </w:pPr>
            <w:r>
              <w:rPr>
                <w:rFonts w:ascii="宋体" w:eastAsia="宋体" w:hAnsi="宋体" w:cs="宋体" w:hint="eastAsia"/>
                <w:bCs/>
                <w:sz w:val="24"/>
                <w:szCs w:val="24"/>
              </w:rPr>
              <w:lastRenderedPageBreak/>
              <w:t>答：</w:t>
            </w:r>
            <w:r w:rsidRPr="00FF162B">
              <w:rPr>
                <w:rFonts w:ascii="宋体" w:eastAsia="宋体" w:hAnsi="宋体" w:cs="宋体"/>
                <w:bCs/>
                <w:sz w:val="24"/>
                <w:szCs w:val="24"/>
              </w:rPr>
              <w:t>2025年9月，公司全称由“江苏汇鸿国际集团股份有限公司”变更为“江苏苏豪汇鸿集团股份有限公司”，证券简称由“汇鸿集团”变更为“苏豪汇鸿”，一方面是深化国企改革落地，顺应江苏省属国有外贸企业整合改革部署，锚定苏豪控股集团整体战略的标志性落地举措，另一方面是统筹品牌体系建设，纳入“苏豪”统一品牌矩阵，借助省属千亿级国资平台公信力，提升资本市场、产业端与合作客户辨识度，实现苏豪控股集团旗下多家上市主体品牌集约化运营。苏豪</w:t>
            </w:r>
            <w:proofErr w:type="gramStart"/>
            <w:r w:rsidRPr="00FF162B">
              <w:rPr>
                <w:rFonts w:ascii="宋体" w:eastAsia="宋体" w:hAnsi="宋体" w:cs="宋体"/>
                <w:bCs/>
                <w:sz w:val="24"/>
                <w:szCs w:val="24"/>
              </w:rPr>
              <w:t>汇鸿系苏豪</w:t>
            </w:r>
            <w:proofErr w:type="gramEnd"/>
            <w:r w:rsidRPr="00FF162B">
              <w:rPr>
                <w:rFonts w:ascii="宋体" w:eastAsia="宋体" w:hAnsi="宋体" w:cs="宋体"/>
                <w:bCs/>
                <w:sz w:val="24"/>
                <w:szCs w:val="24"/>
              </w:rPr>
              <w:t>控股集团下属专注于以大宗商品相关业务的子公司。通过变更公司名称及简称，也有利于进一步理顺母子公司战略协同机制，依托苏豪控股集团品牌及资源优势，</w:t>
            </w:r>
            <w:r w:rsidR="000155CE">
              <w:rPr>
                <w:rFonts w:ascii="宋体" w:eastAsia="宋体" w:hAnsi="宋体" w:cs="宋体" w:hint="eastAsia"/>
                <w:bCs/>
                <w:sz w:val="24"/>
                <w:szCs w:val="24"/>
              </w:rPr>
              <w:t>增强核心功能，</w:t>
            </w:r>
            <w:r w:rsidR="000155CE" w:rsidRPr="000155CE">
              <w:rPr>
                <w:rFonts w:ascii="宋体" w:eastAsia="宋体" w:hAnsi="宋体" w:cs="宋体"/>
                <w:bCs/>
                <w:sz w:val="24"/>
                <w:szCs w:val="24"/>
              </w:rPr>
              <w:t>充分发挥作为国有上市公司的平台优势，</w:t>
            </w:r>
            <w:r w:rsidRPr="00FF162B">
              <w:rPr>
                <w:rFonts w:ascii="宋体" w:eastAsia="宋体" w:hAnsi="宋体" w:cs="宋体"/>
                <w:bCs/>
                <w:sz w:val="24"/>
                <w:szCs w:val="24"/>
              </w:rPr>
              <w:t>进一步优化业务布局、拓宽资源渠道，助力公司依托苏豪控股集团平台提质增效、稳健经营，进一步夯实长期发展根基，更好地服务</w:t>
            </w:r>
            <w:r w:rsidR="00622DD6">
              <w:rPr>
                <w:rFonts w:ascii="宋体" w:eastAsia="宋体" w:hAnsi="宋体" w:cs="宋体" w:hint="eastAsia"/>
                <w:bCs/>
                <w:sz w:val="24"/>
                <w:szCs w:val="24"/>
              </w:rPr>
              <w:t>公司</w:t>
            </w:r>
            <w:r w:rsidRPr="00FF162B">
              <w:rPr>
                <w:rFonts w:ascii="宋体" w:eastAsia="宋体" w:hAnsi="宋体" w:cs="宋体"/>
                <w:bCs/>
                <w:sz w:val="24"/>
                <w:szCs w:val="24"/>
              </w:rPr>
              <w:t>发展战略。</w:t>
            </w:r>
          </w:p>
          <w:p w14:paraId="1E99943F" w14:textId="533DDEB7" w:rsidR="00D37D8C" w:rsidRPr="0038798D" w:rsidRDefault="002D56F0" w:rsidP="0038798D">
            <w:pPr>
              <w:pStyle w:val="TableParagraph"/>
              <w:spacing w:before="100" w:beforeAutospacing="1" w:line="360" w:lineRule="auto"/>
              <w:ind w:firstLineChars="200" w:firstLine="482"/>
              <w:contextualSpacing/>
              <w:jc w:val="both"/>
              <w:rPr>
                <w:rFonts w:ascii="宋体" w:eastAsia="宋体" w:hAnsi="宋体" w:cs="宋体" w:hint="eastAsia"/>
                <w:b/>
                <w:sz w:val="24"/>
                <w:szCs w:val="24"/>
              </w:rPr>
            </w:pPr>
            <w:bookmarkStart w:id="5" w:name="OLE_LINK21"/>
            <w:bookmarkEnd w:id="3"/>
            <w:r>
              <w:rPr>
                <w:rFonts w:ascii="宋体" w:eastAsia="宋体" w:hAnsi="宋体" w:cs="宋体" w:hint="eastAsia"/>
                <w:b/>
                <w:sz w:val="24"/>
                <w:szCs w:val="24"/>
              </w:rPr>
              <w:t>2</w:t>
            </w:r>
            <w:r w:rsidR="00D37D8C" w:rsidRPr="0038798D">
              <w:rPr>
                <w:rFonts w:ascii="宋体" w:eastAsia="宋体" w:hAnsi="宋体" w:cs="宋体" w:hint="eastAsia"/>
                <w:b/>
                <w:sz w:val="24"/>
                <w:szCs w:val="24"/>
              </w:rPr>
              <w:t>.</w:t>
            </w:r>
            <w:r w:rsidR="009A6EFD">
              <w:rPr>
                <w:rFonts w:ascii="宋体" w:eastAsia="宋体" w:hAnsi="宋体" w:cs="宋体" w:hint="eastAsia"/>
                <w:b/>
                <w:sz w:val="24"/>
                <w:szCs w:val="24"/>
              </w:rPr>
              <w:t>问：</w:t>
            </w:r>
            <w:r w:rsidR="00D37D8C" w:rsidRPr="0038798D">
              <w:rPr>
                <w:rFonts w:ascii="宋体" w:eastAsia="宋体" w:hAnsi="宋体" w:cs="宋体" w:hint="eastAsia"/>
                <w:b/>
                <w:sz w:val="24"/>
                <w:szCs w:val="24"/>
              </w:rPr>
              <w:t>公司在</w:t>
            </w:r>
            <w:r w:rsidR="009A6EFD">
              <w:rPr>
                <w:rFonts w:ascii="宋体" w:eastAsia="宋体" w:hAnsi="宋体" w:cs="宋体" w:hint="eastAsia"/>
                <w:b/>
                <w:sz w:val="24"/>
                <w:szCs w:val="24"/>
              </w:rPr>
              <w:t>设计研发、智能制造等</w:t>
            </w:r>
            <w:bookmarkStart w:id="6" w:name="OLE_LINK14"/>
            <w:r w:rsidR="00D37D8C" w:rsidRPr="0038798D">
              <w:rPr>
                <w:rFonts w:ascii="宋体" w:eastAsia="宋体" w:hAnsi="宋体" w:cs="宋体" w:hint="eastAsia"/>
                <w:b/>
                <w:sz w:val="24"/>
                <w:szCs w:val="24"/>
              </w:rPr>
              <w:t>数字化</w:t>
            </w:r>
            <w:bookmarkEnd w:id="6"/>
            <w:r w:rsidR="00BC3098">
              <w:rPr>
                <w:rFonts w:ascii="宋体" w:eastAsia="宋体" w:hAnsi="宋体" w:cs="宋体" w:hint="eastAsia"/>
                <w:b/>
                <w:sz w:val="24"/>
                <w:szCs w:val="24"/>
              </w:rPr>
              <w:t>转型</w:t>
            </w:r>
            <w:r w:rsidR="009A6EFD">
              <w:rPr>
                <w:rFonts w:ascii="宋体" w:eastAsia="宋体" w:hAnsi="宋体" w:cs="宋体" w:hint="eastAsia"/>
                <w:b/>
                <w:sz w:val="24"/>
                <w:szCs w:val="24"/>
              </w:rPr>
              <w:t>方面有哪些</w:t>
            </w:r>
            <w:r w:rsidR="00D37D8C" w:rsidRPr="0038798D">
              <w:rPr>
                <w:rFonts w:ascii="宋体" w:eastAsia="宋体" w:hAnsi="宋体" w:cs="宋体" w:hint="eastAsia"/>
                <w:b/>
                <w:sz w:val="24"/>
                <w:szCs w:val="24"/>
              </w:rPr>
              <w:t>发展？</w:t>
            </w:r>
          </w:p>
          <w:p w14:paraId="13B045A4" w14:textId="1684E365" w:rsidR="00C74F89" w:rsidRPr="00C74F89" w:rsidRDefault="009A6EFD" w:rsidP="0078767A">
            <w:pPr>
              <w:pStyle w:val="TableParagraph"/>
              <w:spacing w:before="100" w:beforeAutospacing="1" w:line="360" w:lineRule="auto"/>
              <w:ind w:firstLineChars="200" w:firstLine="480"/>
              <w:contextualSpacing/>
              <w:jc w:val="both"/>
              <w:rPr>
                <w:rFonts w:ascii="宋体" w:eastAsia="宋体" w:hAnsi="宋体" w:cs="宋体" w:hint="eastAsia"/>
                <w:bCs/>
                <w:sz w:val="24"/>
                <w:szCs w:val="24"/>
              </w:rPr>
            </w:pPr>
            <w:r>
              <w:rPr>
                <w:rFonts w:ascii="宋体" w:eastAsia="宋体" w:hAnsi="宋体" w:cs="宋体" w:hint="eastAsia"/>
                <w:bCs/>
                <w:sz w:val="24"/>
                <w:szCs w:val="24"/>
              </w:rPr>
              <w:t>答：</w:t>
            </w:r>
            <w:r w:rsidR="00D37D8C" w:rsidRPr="0038798D">
              <w:rPr>
                <w:rFonts w:ascii="宋体" w:eastAsia="宋体" w:hAnsi="宋体" w:cs="宋体" w:hint="eastAsia"/>
                <w:bCs/>
                <w:sz w:val="24"/>
                <w:szCs w:val="24"/>
              </w:rPr>
              <w:t>公司</w:t>
            </w:r>
            <w:r w:rsidR="001577DE">
              <w:rPr>
                <w:rFonts w:ascii="宋体" w:eastAsia="宋体" w:hAnsi="宋体" w:cs="宋体" w:hint="eastAsia"/>
                <w:bCs/>
                <w:sz w:val="24"/>
                <w:szCs w:val="24"/>
              </w:rPr>
              <w:t>立足传统外贸根基，持续</w:t>
            </w:r>
            <w:r w:rsidR="00D37D8C" w:rsidRPr="0038798D">
              <w:rPr>
                <w:rFonts w:ascii="宋体" w:eastAsia="宋体" w:hAnsi="宋体" w:cs="宋体" w:hint="eastAsia"/>
                <w:bCs/>
                <w:sz w:val="24"/>
                <w:szCs w:val="24"/>
              </w:rPr>
              <w:t>打造新产品、培育新业态、创造新模式、加速新布局，</w:t>
            </w:r>
            <w:r w:rsidR="001577DE" w:rsidRPr="001577DE">
              <w:rPr>
                <w:rFonts w:ascii="宋体" w:eastAsia="宋体" w:hAnsi="宋体" w:cs="宋体"/>
                <w:bCs/>
                <w:sz w:val="24"/>
                <w:szCs w:val="24"/>
              </w:rPr>
              <w:t>全面推进各业务板块数字化、智能化升级</w:t>
            </w:r>
            <w:r w:rsidR="00D37D8C" w:rsidRPr="0038798D">
              <w:rPr>
                <w:rFonts w:ascii="宋体" w:eastAsia="宋体" w:hAnsi="宋体" w:cs="宋体" w:hint="eastAsia"/>
                <w:bCs/>
                <w:sz w:val="24"/>
                <w:szCs w:val="24"/>
              </w:rPr>
              <w:t>。</w:t>
            </w:r>
            <w:r w:rsidR="0078767A">
              <w:rPr>
                <w:rFonts w:ascii="宋体" w:eastAsia="宋体" w:hAnsi="宋体" w:cs="宋体" w:hint="eastAsia"/>
                <w:bCs/>
                <w:sz w:val="24"/>
                <w:szCs w:val="24"/>
              </w:rPr>
              <w:t>供应链运营板块，食品生鲜业务方面，公司子公司</w:t>
            </w:r>
            <w:bookmarkStart w:id="7" w:name="OLE_LINK15"/>
            <w:r w:rsidR="00790767" w:rsidRPr="00790767">
              <w:rPr>
                <w:rFonts w:ascii="宋体" w:eastAsia="宋体" w:hAnsi="宋体" w:cs="宋体"/>
                <w:bCs/>
                <w:sz w:val="24"/>
                <w:szCs w:val="24"/>
              </w:rPr>
              <w:t>江苏苏豪天鹏农产品集团有限公司</w:t>
            </w:r>
            <w:bookmarkEnd w:id="7"/>
            <w:r w:rsidR="0078767A" w:rsidRPr="0078767A">
              <w:rPr>
                <w:rFonts w:ascii="宋体" w:eastAsia="宋体" w:hAnsi="宋体" w:cs="宋体"/>
                <w:bCs/>
                <w:sz w:val="24"/>
                <w:szCs w:val="24"/>
              </w:rPr>
              <w:t>联合江南大学</w:t>
            </w:r>
            <w:r w:rsidR="00B65ABC">
              <w:rPr>
                <w:rFonts w:ascii="宋体" w:eastAsia="宋体" w:hAnsi="宋体" w:cs="宋体" w:hint="eastAsia"/>
                <w:bCs/>
                <w:sz w:val="24"/>
                <w:szCs w:val="24"/>
              </w:rPr>
              <w:t>开展技术攻关</w:t>
            </w:r>
            <w:r w:rsidR="0078767A" w:rsidRPr="0078767A">
              <w:rPr>
                <w:rFonts w:ascii="宋体" w:eastAsia="宋体" w:hAnsi="宋体" w:cs="宋体"/>
                <w:bCs/>
                <w:sz w:val="24"/>
                <w:szCs w:val="24"/>
              </w:rPr>
              <w:t>，</w:t>
            </w:r>
            <w:r w:rsidR="00B65ABC">
              <w:rPr>
                <w:rFonts w:ascii="宋体" w:eastAsia="宋体" w:hAnsi="宋体" w:cs="宋体" w:hint="eastAsia"/>
                <w:bCs/>
                <w:sz w:val="24"/>
                <w:szCs w:val="24"/>
              </w:rPr>
              <w:t>解决</w:t>
            </w:r>
            <w:r w:rsidR="0078767A" w:rsidRPr="0078767A">
              <w:rPr>
                <w:rFonts w:ascii="宋体" w:eastAsia="宋体" w:hAnsi="宋体" w:cs="宋体"/>
                <w:bCs/>
                <w:sz w:val="24"/>
                <w:szCs w:val="24"/>
              </w:rPr>
              <w:t>猪里脊肉持水性等</w:t>
            </w:r>
            <w:r w:rsidR="00B65ABC">
              <w:rPr>
                <w:rFonts w:ascii="宋体" w:eastAsia="宋体" w:hAnsi="宋体" w:cs="宋体" w:hint="eastAsia"/>
                <w:bCs/>
                <w:sz w:val="24"/>
                <w:szCs w:val="24"/>
              </w:rPr>
              <w:t>行业</w:t>
            </w:r>
            <w:r w:rsidR="0078767A" w:rsidRPr="0078767A">
              <w:rPr>
                <w:rFonts w:ascii="宋体" w:eastAsia="宋体" w:hAnsi="宋体" w:cs="宋体"/>
                <w:bCs/>
                <w:sz w:val="24"/>
                <w:szCs w:val="24"/>
              </w:rPr>
              <w:t>难题，</w:t>
            </w:r>
            <w:r w:rsidR="00B65ABC">
              <w:rPr>
                <w:rFonts w:ascii="宋体" w:eastAsia="宋体" w:hAnsi="宋体" w:cs="宋体" w:hint="eastAsia"/>
                <w:bCs/>
                <w:sz w:val="24"/>
                <w:szCs w:val="24"/>
              </w:rPr>
              <w:t>成功研发</w:t>
            </w:r>
            <w:r w:rsidR="0078767A" w:rsidRPr="0078767A">
              <w:rPr>
                <w:rFonts w:ascii="宋体" w:eastAsia="宋体" w:hAnsi="宋体" w:cs="宋体"/>
                <w:bCs/>
                <w:sz w:val="24"/>
                <w:szCs w:val="24"/>
              </w:rPr>
              <w:t>3款</w:t>
            </w:r>
            <w:proofErr w:type="gramStart"/>
            <w:r w:rsidR="0078767A" w:rsidRPr="0078767A">
              <w:rPr>
                <w:rFonts w:ascii="宋体" w:eastAsia="宋体" w:hAnsi="宋体" w:cs="宋体"/>
                <w:bCs/>
                <w:sz w:val="24"/>
                <w:szCs w:val="24"/>
              </w:rPr>
              <w:t>生鲜短保预制</w:t>
            </w:r>
            <w:proofErr w:type="gramEnd"/>
            <w:r w:rsidR="0078767A" w:rsidRPr="0078767A">
              <w:rPr>
                <w:rFonts w:ascii="宋体" w:eastAsia="宋体" w:hAnsi="宋体" w:cs="宋体"/>
                <w:bCs/>
                <w:sz w:val="24"/>
                <w:szCs w:val="24"/>
              </w:rPr>
              <w:t>菜，2项专利进入实质审查阶段。</w:t>
            </w:r>
            <w:r w:rsidR="00C74F89">
              <w:rPr>
                <w:rFonts w:ascii="宋体" w:eastAsia="宋体" w:hAnsi="宋体" w:cs="宋体" w:hint="eastAsia"/>
                <w:bCs/>
                <w:sz w:val="24"/>
                <w:szCs w:val="24"/>
              </w:rPr>
              <w:t>绿色循环</w:t>
            </w:r>
            <w:r w:rsidR="0078767A">
              <w:rPr>
                <w:rFonts w:ascii="宋体" w:eastAsia="宋体" w:hAnsi="宋体" w:cs="宋体" w:hint="eastAsia"/>
                <w:bCs/>
                <w:sz w:val="24"/>
                <w:szCs w:val="24"/>
              </w:rPr>
              <w:t>业务方面</w:t>
            </w:r>
            <w:r w:rsidR="00C74F89">
              <w:rPr>
                <w:rFonts w:ascii="宋体" w:eastAsia="宋体" w:hAnsi="宋体" w:cs="宋体" w:hint="eastAsia"/>
                <w:bCs/>
                <w:sz w:val="24"/>
                <w:szCs w:val="24"/>
              </w:rPr>
              <w:t>，公司子公司</w:t>
            </w:r>
            <w:r w:rsidR="00790767" w:rsidRPr="00790767">
              <w:rPr>
                <w:rFonts w:ascii="宋体" w:eastAsia="宋体" w:hAnsi="宋体" w:cs="宋体"/>
                <w:bCs/>
                <w:sz w:val="24"/>
                <w:szCs w:val="24"/>
              </w:rPr>
              <w:t>江苏苏豪亚森木业有限公司</w:t>
            </w:r>
            <w:r w:rsidR="00B65ABC">
              <w:rPr>
                <w:rFonts w:ascii="宋体" w:eastAsia="宋体" w:hAnsi="宋体" w:cs="宋体" w:hint="eastAsia"/>
                <w:bCs/>
                <w:sz w:val="24"/>
                <w:szCs w:val="24"/>
              </w:rPr>
              <w:t>成立</w:t>
            </w:r>
            <w:r w:rsidR="0078767A" w:rsidRPr="0078767A">
              <w:rPr>
                <w:rFonts w:ascii="宋体" w:eastAsia="宋体" w:hAnsi="宋体" w:cs="宋体"/>
                <w:bCs/>
                <w:sz w:val="24"/>
                <w:szCs w:val="24"/>
              </w:rPr>
              <w:t>纤维板研发中心</w:t>
            </w:r>
            <w:r w:rsidR="0078767A">
              <w:rPr>
                <w:rFonts w:ascii="宋体" w:eastAsia="宋体" w:hAnsi="宋体" w:cs="宋体" w:hint="eastAsia"/>
                <w:bCs/>
                <w:sz w:val="24"/>
                <w:szCs w:val="24"/>
              </w:rPr>
              <w:t>，其</w:t>
            </w:r>
            <w:r w:rsidR="00F13BE3">
              <w:rPr>
                <w:rFonts w:ascii="宋体" w:eastAsia="宋体" w:hAnsi="宋体" w:cs="宋体" w:hint="eastAsia"/>
                <w:bCs/>
                <w:sz w:val="24"/>
                <w:szCs w:val="24"/>
              </w:rPr>
              <w:t>参股公司</w:t>
            </w:r>
            <w:r w:rsidR="00F13BE3" w:rsidRPr="00F13BE3">
              <w:rPr>
                <w:rFonts w:ascii="宋体" w:eastAsia="宋体" w:hAnsi="宋体" w:cs="宋体"/>
                <w:bCs/>
                <w:sz w:val="24"/>
                <w:szCs w:val="24"/>
              </w:rPr>
              <w:t>沭阳亚森同汇实业有限公司</w:t>
            </w:r>
            <w:r w:rsidR="000338CC">
              <w:rPr>
                <w:rFonts w:ascii="宋体" w:eastAsia="宋体" w:hAnsi="宋体" w:cs="宋体" w:hint="eastAsia"/>
                <w:bCs/>
                <w:sz w:val="24"/>
                <w:szCs w:val="24"/>
              </w:rPr>
              <w:t>（以下简称“亚森同汇”）</w:t>
            </w:r>
            <w:r w:rsidR="00B65ABC">
              <w:rPr>
                <w:rFonts w:ascii="宋体" w:eastAsia="宋体" w:hAnsi="宋体" w:cs="宋体" w:hint="eastAsia"/>
                <w:bCs/>
                <w:sz w:val="24"/>
                <w:szCs w:val="24"/>
              </w:rPr>
              <w:t>获评</w:t>
            </w:r>
            <w:r w:rsidR="0078767A">
              <w:rPr>
                <w:rFonts w:ascii="宋体" w:eastAsia="宋体" w:hAnsi="宋体" w:cs="宋体" w:hint="eastAsia"/>
                <w:bCs/>
                <w:sz w:val="24"/>
                <w:szCs w:val="24"/>
              </w:rPr>
              <w:t>2025年</w:t>
            </w:r>
            <w:r w:rsidR="00F13BE3" w:rsidRPr="00F13BE3">
              <w:rPr>
                <w:rFonts w:ascii="宋体" w:eastAsia="宋体" w:hAnsi="宋体" w:cs="宋体"/>
                <w:bCs/>
                <w:sz w:val="24"/>
                <w:szCs w:val="24"/>
              </w:rPr>
              <w:t>江苏省先进级智能工厂</w:t>
            </w:r>
            <w:r w:rsidR="00F13BE3">
              <w:rPr>
                <w:rFonts w:ascii="宋体" w:eastAsia="宋体" w:hAnsi="宋体" w:cs="宋体" w:hint="eastAsia"/>
                <w:bCs/>
                <w:sz w:val="24"/>
                <w:szCs w:val="24"/>
              </w:rPr>
              <w:t>，</w:t>
            </w:r>
            <w:r w:rsidR="00B65ABC" w:rsidRPr="00B65ABC">
              <w:rPr>
                <w:rFonts w:ascii="宋体" w:eastAsia="宋体" w:hAnsi="宋体" w:cs="宋体"/>
                <w:bCs/>
                <w:sz w:val="24"/>
                <w:szCs w:val="24"/>
              </w:rPr>
              <w:t>通过智能化改造，实现产能弹性调配、生产动态优化与资源高效利用</w:t>
            </w:r>
            <w:r w:rsidR="000338CC" w:rsidRPr="000338CC">
              <w:rPr>
                <w:rFonts w:ascii="宋体" w:eastAsia="宋体" w:hAnsi="宋体" w:cs="宋体"/>
                <w:bCs/>
                <w:sz w:val="24"/>
                <w:szCs w:val="24"/>
              </w:rPr>
              <w:t>。</w:t>
            </w:r>
            <w:r>
              <w:rPr>
                <w:rFonts w:ascii="宋体" w:eastAsia="宋体" w:hAnsi="宋体" w:cs="宋体" w:hint="eastAsia"/>
                <w:bCs/>
                <w:sz w:val="24"/>
                <w:szCs w:val="24"/>
              </w:rPr>
              <w:t>纺织服装</w:t>
            </w:r>
            <w:r w:rsidR="0078767A">
              <w:rPr>
                <w:rFonts w:ascii="宋体" w:eastAsia="宋体" w:hAnsi="宋体" w:cs="宋体" w:hint="eastAsia"/>
                <w:bCs/>
                <w:sz w:val="24"/>
                <w:szCs w:val="24"/>
              </w:rPr>
              <w:t>业务方面</w:t>
            </w:r>
            <w:r>
              <w:rPr>
                <w:rFonts w:ascii="宋体" w:eastAsia="宋体" w:hAnsi="宋体" w:cs="宋体" w:hint="eastAsia"/>
                <w:bCs/>
                <w:sz w:val="24"/>
                <w:szCs w:val="24"/>
              </w:rPr>
              <w:t>，</w:t>
            </w:r>
            <w:r w:rsidR="00F13BE3">
              <w:rPr>
                <w:rFonts w:ascii="宋体" w:eastAsia="宋体" w:hAnsi="宋体" w:cs="宋体" w:hint="eastAsia"/>
                <w:bCs/>
                <w:sz w:val="24"/>
                <w:szCs w:val="24"/>
              </w:rPr>
              <w:t>公司子公司</w:t>
            </w:r>
            <w:bookmarkStart w:id="8" w:name="OLE_LINK16"/>
            <w:r w:rsidR="00790767" w:rsidRPr="00790767">
              <w:rPr>
                <w:rFonts w:ascii="宋体" w:eastAsia="宋体" w:hAnsi="宋体" w:cs="宋体"/>
                <w:bCs/>
                <w:sz w:val="24"/>
                <w:szCs w:val="24"/>
              </w:rPr>
              <w:t>江苏苏豪中锦发展有限公司</w:t>
            </w:r>
            <w:bookmarkEnd w:id="8"/>
            <w:r w:rsidR="00D37D8C" w:rsidRPr="0038798D">
              <w:rPr>
                <w:rFonts w:ascii="宋体" w:eastAsia="宋体" w:hAnsi="宋体" w:cs="宋体" w:hint="eastAsia"/>
                <w:bCs/>
                <w:sz w:val="24"/>
                <w:szCs w:val="24"/>
              </w:rPr>
              <w:t>构建“技术引领、设计赋能、数字驱动”体系，</w:t>
            </w:r>
            <w:r w:rsidR="00DF17C8">
              <w:rPr>
                <w:rFonts w:ascii="宋体" w:eastAsia="宋体" w:hAnsi="宋体" w:cs="宋体" w:hint="eastAsia"/>
                <w:bCs/>
                <w:sz w:val="24"/>
                <w:szCs w:val="24"/>
              </w:rPr>
              <w:t>运用</w:t>
            </w:r>
            <w:r w:rsidR="00D37D8C" w:rsidRPr="0038798D">
              <w:rPr>
                <w:rFonts w:ascii="宋体" w:eastAsia="宋体" w:hAnsi="宋体" w:cs="宋体" w:hint="eastAsia"/>
                <w:bCs/>
                <w:sz w:val="24"/>
                <w:szCs w:val="24"/>
              </w:rPr>
              <w:t>AI</w:t>
            </w:r>
            <w:r w:rsidR="00DF17C8">
              <w:rPr>
                <w:rFonts w:ascii="宋体" w:eastAsia="宋体" w:hAnsi="宋体" w:cs="宋体" w:hint="eastAsia"/>
                <w:bCs/>
                <w:sz w:val="24"/>
                <w:szCs w:val="24"/>
              </w:rPr>
              <w:t>技术</w:t>
            </w:r>
            <w:r w:rsidR="00D37D8C" w:rsidRPr="0038798D">
              <w:rPr>
                <w:rFonts w:ascii="宋体" w:eastAsia="宋体" w:hAnsi="宋体" w:cs="宋体" w:hint="eastAsia"/>
                <w:bCs/>
                <w:sz w:val="24"/>
                <w:szCs w:val="24"/>
              </w:rPr>
              <w:t>完成589款款式设计，输出21份行业趋势分析报告；</w:t>
            </w:r>
            <w:r w:rsidR="00790767" w:rsidRPr="00790767">
              <w:rPr>
                <w:rFonts w:ascii="宋体" w:eastAsia="宋体" w:hAnsi="宋体" w:cs="宋体"/>
                <w:bCs/>
                <w:sz w:val="24"/>
                <w:szCs w:val="24"/>
              </w:rPr>
              <w:t>江苏苏豪中天控股有限公司</w:t>
            </w:r>
            <w:r w:rsidR="00DF17C8">
              <w:rPr>
                <w:rFonts w:ascii="宋体" w:eastAsia="宋体" w:hAnsi="宋体" w:cs="宋体" w:hint="eastAsia"/>
                <w:bCs/>
                <w:sz w:val="24"/>
                <w:szCs w:val="24"/>
              </w:rPr>
              <w:t>依托</w:t>
            </w:r>
            <w:r w:rsidR="00D37D8C" w:rsidRPr="0038798D">
              <w:rPr>
                <w:rFonts w:ascii="宋体" w:eastAsia="宋体" w:hAnsi="宋体" w:cs="宋体" w:hint="eastAsia"/>
                <w:bCs/>
                <w:sz w:val="24"/>
                <w:szCs w:val="24"/>
              </w:rPr>
              <w:t>Style3D平台，创新</w:t>
            </w:r>
            <w:r w:rsidR="00DF17C8">
              <w:rPr>
                <w:rFonts w:ascii="宋体" w:eastAsia="宋体" w:hAnsi="宋体" w:cs="宋体" w:hint="eastAsia"/>
                <w:bCs/>
                <w:sz w:val="24"/>
                <w:szCs w:val="24"/>
              </w:rPr>
              <w:t>打造</w:t>
            </w:r>
            <w:r w:rsidR="00D37D8C" w:rsidRPr="0038798D">
              <w:rPr>
                <w:rFonts w:ascii="宋体" w:eastAsia="宋体" w:hAnsi="宋体" w:cs="宋体" w:hint="eastAsia"/>
                <w:bCs/>
                <w:sz w:val="24"/>
                <w:szCs w:val="24"/>
              </w:rPr>
              <w:t>“AI真人模特上身面料+动态走秀视频”展示方案，</w:t>
            </w:r>
            <w:r w:rsidR="00DF17C8">
              <w:rPr>
                <w:rFonts w:ascii="宋体" w:eastAsia="宋体" w:hAnsi="宋体" w:cs="宋体" w:hint="eastAsia"/>
                <w:bCs/>
                <w:sz w:val="24"/>
                <w:szCs w:val="24"/>
              </w:rPr>
              <w:t>实现</w:t>
            </w:r>
            <w:r w:rsidR="00D37D8C" w:rsidRPr="0038798D">
              <w:rPr>
                <w:rFonts w:ascii="宋体" w:eastAsia="宋体" w:hAnsi="宋体" w:cs="宋体" w:hint="eastAsia"/>
                <w:bCs/>
                <w:sz w:val="24"/>
                <w:szCs w:val="24"/>
              </w:rPr>
              <w:t>面料</w:t>
            </w:r>
            <w:r w:rsidR="00DF17C8">
              <w:rPr>
                <w:rFonts w:ascii="宋体" w:eastAsia="宋体" w:hAnsi="宋体" w:cs="宋体" w:hint="eastAsia"/>
                <w:bCs/>
                <w:sz w:val="24"/>
                <w:szCs w:val="24"/>
              </w:rPr>
              <w:t>展示从静态向</w:t>
            </w:r>
            <w:r w:rsidR="00D37D8C" w:rsidRPr="0038798D">
              <w:rPr>
                <w:rFonts w:ascii="宋体" w:eastAsia="宋体" w:hAnsi="宋体" w:cs="宋体" w:hint="eastAsia"/>
                <w:bCs/>
                <w:sz w:val="24"/>
                <w:szCs w:val="24"/>
              </w:rPr>
              <w:t>沉浸式</w:t>
            </w:r>
            <w:r w:rsidR="00DF17C8">
              <w:rPr>
                <w:rFonts w:ascii="宋体" w:eastAsia="宋体" w:hAnsi="宋体" w:cs="宋体" w:hint="eastAsia"/>
                <w:bCs/>
                <w:sz w:val="24"/>
                <w:szCs w:val="24"/>
              </w:rPr>
              <w:t>动态升级</w:t>
            </w:r>
            <w:r w:rsidR="00D37D8C" w:rsidRPr="0038798D">
              <w:rPr>
                <w:rFonts w:ascii="宋体" w:eastAsia="宋体" w:hAnsi="宋体" w:cs="宋体" w:hint="eastAsia"/>
                <w:bCs/>
                <w:sz w:val="24"/>
                <w:szCs w:val="24"/>
              </w:rPr>
              <w:t>。</w:t>
            </w:r>
            <w:r w:rsidR="00C74F89" w:rsidRPr="00C74F89">
              <w:rPr>
                <w:rFonts w:ascii="宋体" w:eastAsia="宋体" w:hAnsi="宋体" w:cs="宋体" w:hint="eastAsia"/>
                <w:bCs/>
                <w:sz w:val="24"/>
                <w:szCs w:val="24"/>
              </w:rPr>
              <w:t>同时，公司</w:t>
            </w:r>
            <w:r w:rsidR="00C74F89" w:rsidRPr="00C74F89">
              <w:rPr>
                <w:rFonts w:ascii="宋体" w:eastAsia="宋体" w:hAnsi="宋体"/>
                <w:sz w:val="24"/>
                <w:szCs w:val="28"/>
              </w:rPr>
              <w:t>持续</w:t>
            </w:r>
            <w:r w:rsidR="00DF17C8">
              <w:rPr>
                <w:rFonts w:ascii="宋体" w:eastAsia="宋体" w:hAnsi="宋体" w:hint="eastAsia"/>
                <w:sz w:val="24"/>
                <w:szCs w:val="28"/>
              </w:rPr>
              <w:t>探索</w:t>
            </w:r>
            <w:r w:rsidR="00C74F89" w:rsidRPr="00C74F89">
              <w:rPr>
                <w:rFonts w:ascii="宋体" w:eastAsia="宋体" w:hAnsi="宋体"/>
                <w:sz w:val="24"/>
                <w:szCs w:val="28"/>
              </w:rPr>
              <w:t>提升跨境电</w:t>
            </w:r>
            <w:proofErr w:type="gramStart"/>
            <w:r w:rsidR="00C74F89" w:rsidRPr="00C74F89">
              <w:rPr>
                <w:rFonts w:ascii="宋体" w:eastAsia="宋体" w:hAnsi="宋体"/>
                <w:sz w:val="24"/>
                <w:szCs w:val="28"/>
              </w:rPr>
              <w:t>商业务</w:t>
            </w:r>
            <w:proofErr w:type="gramEnd"/>
            <w:r w:rsidR="00C74F89" w:rsidRPr="00C74F89">
              <w:rPr>
                <w:rFonts w:ascii="宋体" w:eastAsia="宋体" w:hAnsi="宋体"/>
                <w:sz w:val="24"/>
                <w:szCs w:val="28"/>
              </w:rPr>
              <w:t>占比和</w:t>
            </w:r>
            <w:proofErr w:type="gramStart"/>
            <w:r w:rsidR="00C74F89" w:rsidRPr="00C74F89">
              <w:rPr>
                <w:rFonts w:ascii="宋体" w:eastAsia="宋体" w:hAnsi="宋体"/>
                <w:sz w:val="24"/>
                <w:szCs w:val="28"/>
              </w:rPr>
              <w:lastRenderedPageBreak/>
              <w:t>质效</w:t>
            </w:r>
            <w:proofErr w:type="gramEnd"/>
            <w:r w:rsidR="00C74F89" w:rsidRPr="00C74F89">
              <w:rPr>
                <w:rFonts w:ascii="宋体" w:eastAsia="宋体" w:hAnsi="宋体" w:hint="eastAsia"/>
                <w:sz w:val="24"/>
                <w:szCs w:val="28"/>
              </w:rPr>
              <w:t>，</w:t>
            </w:r>
            <w:r w:rsidR="00C74F89" w:rsidRPr="00C74F89">
              <w:rPr>
                <w:rFonts w:ascii="宋体" w:eastAsia="宋体" w:hAnsi="宋体"/>
                <w:sz w:val="24"/>
                <w:szCs w:val="28"/>
              </w:rPr>
              <w:t>2025年内实现跨境电商进出口2.32亿美元，增长率68.47%。</w:t>
            </w:r>
            <w:r w:rsidR="0078767A">
              <w:rPr>
                <w:rFonts w:ascii="宋体" w:eastAsia="宋体" w:hAnsi="宋体" w:hint="eastAsia"/>
                <w:sz w:val="24"/>
                <w:szCs w:val="28"/>
              </w:rPr>
              <w:t>以融促产的金融投资板块，公司子公司</w:t>
            </w:r>
            <w:r w:rsidR="00790767" w:rsidRPr="00790767">
              <w:rPr>
                <w:rFonts w:ascii="宋体" w:eastAsia="宋体" w:hAnsi="宋体"/>
                <w:sz w:val="24"/>
                <w:szCs w:val="28"/>
              </w:rPr>
              <w:t>江苏</w:t>
            </w:r>
            <w:proofErr w:type="gramStart"/>
            <w:r w:rsidR="00790767" w:rsidRPr="00790767">
              <w:rPr>
                <w:rFonts w:ascii="宋体" w:eastAsia="宋体" w:hAnsi="宋体"/>
                <w:sz w:val="24"/>
                <w:szCs w:val="28"/>
              </w:rPr>
              <w:t>苏豪汇升私募</w:t>
            </w:r>
            <w:proofErr w:type="gramEnd"/>
            <w:r w:rsidR="00790767" w:rsidRPr="00790767">
              <w:rPr>
                <w:rFonts w:ascii="宋体" w:eastAsia="宋体" w:hAnsi="宋体"/>
                <w:sz w:val="24"/>
                <w:szCs w:val="28"/>
              </w:rPr>
              <w:t>基金管理有限公司</w:t>
            </w:r>
            <w:r w:rsidR="0078767A" w:rsidRPr="0078767A">
              <w:rPr>
                <w:rFonts w:ascii="宋体" w:eastAsia="宋体" w:hAnsi="宋体"/>
                <w:sz w:val="24"/>
                <w:szCs w:val="28"/>
              </w:rPr>
              <w:t>搭建“1+4”数字化系统架构，以大数据中心为</w:t>
            </w:r>
            <w:r w:rsidR="00077141">
              <w:rPr>
                <w:rFonts w:ascii="宋体" w:eastAsia="宋体" w:hAnsi="宋体" w:hint="eastAsia"/>
                <w:sz w:val="24"/>
                <w:szCs w:val="28"/>
              </w:rPr>
              <w:t>核心</w:t>
            </w:r>
            <w:r w:rsidR="0078767A" w:rsidRPr="0078767A">
              <w:rPr>
                <w:rFonts w:ascii="宋体" w:eastAsia="宋体" w:hAnsi="宋体"/>
                <w:sz w:val="24"/>
                <w:szCs w:val="28"/>
              </w:rPr>
              <w:t>，实现全流程数字化</w:t>
            </w:r>
            <w:r w:rsidR="00077141">
              <w:rPr>
                <w:rFonts w:ascii="宋体" w:eastAsia="宋体" w:hAnsi="宋体" w:hint="eastAsia"/>
                <w:sz w:val="24"/>
                <w:szCs w:val="28"/>
              </w:rPr>
              <w:t>管理</w:t>
            </w:r>
            <w:r w:rsidR="0078767A" w:rsidRPr="0078767A">
              <w:rPr>
                <w:rFonts w:ascii="宋体" w:eastAsia="宋体" w:hAnsi="宋体"/>
                <w:sz w:val="24"/>
                <w:szCs w:val="28"/>
              </w:rPr>
              <w:t>与智能化风控。</w:t>
            </w:r>
          </w:p>
          <w:bookmarkEnd w:id="5"/>
          <w:p w14:paraId="0641FD01" w14:textId="6D362BF6" w:rsidR="003B51D8" w:rsidRPr="0038798D" w:rsidRDefault="00FB6787" w:rsidP="0038798D">
            <w:pPr>
              <w:pStyle w:val="TableParagraph"/>
              <w:spacing w:before="100" w:beforeAutospacing="1"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3</w:t>
            </w:r>
            <w:r w:rsidR="00DD7F33" w:rsidRPr="0038798D">
              <w:rPr>
                <w:rFonts w:ascii="宋体" w:eastAsia="宋体" w:hAnsi="宋体" w:cs="宋体" w:hint="eastAsia"/>
                <w:b/>
                <w:sz w:val="24"/>
                <w:szCs w:val="24"/>
              </w:rPr>
              <w:t>.</w:t>
            </w:r>
            <w:r w:rsidR="00930EA4">
              <w:rPr>
                <w:rFonts w:ascii="宋体" w:eastAsia="宋体" w:hAnsi="宋体" w:cs="宋体" w:hint="eastAsia"/>
                <w:b/>
                <w:sz w:val="24"/>
                <w:szCs w:val="24"/>
              </w:rPr>
              <w:t>问：</w:t>
            </w:r>
            <w:r w:rsidR="00952B3E" w:rsidRPr="0038798D">
              <w:rPr>
                <w:rFonts w:ascii="宋体" w:eastAsia="宋体" w:hAnsi="宋体" w:cs="宋体" w:hint="eastAsia"/>
                <w:b/>
                <w:sz w:val="24"/>
                <w:szCs w:val="24"/>
              </w:rPr>
              <w:t>公司</w:t>
            </w:r>
            <w:r w:rsidR="006D439E">
              <w:rPr>
                <w:rFonts w:ascii="宋体" w:eastAsia="宋体" w:hAnsi="宋体" w:cs="宋体" w:hint="eastAsia"/>
                <w:b/>
                <w:sz w:val="24"/>
                <w:szCs w:val="24"/>
              </w:rPr>
              <w:t>营业</w:t>
            </w:r>
            <w:r w:rsidR="00952B3E" w:rsidRPr="0038798D">
              <w:rPr>
                <w:rFonts w:ascii="宋体" w:eastAsia="宋体" w:hAnsi="宋体" w:cs="宋体" w:hint="eastAsia"/>
                <w:b/>
                <w:sz w:val="24"/>
                <w:szCs w:val="24"/>
              </w:rPr>
              <w:t>收入</w:t>
            </w:r>
            <w:r w:rsidR="006D439E">
              <w:rPr>
                <w:rFonts w:ascii="宋体" w:eastAsia="宋体" w:hAnsi="宋体" w:cs="宋体" w:hint="eastAsia"/>
                <w:b/>
                <w:sz w:val="24"/>
                <w:szCs w:val="24"/>
              </w:rPr>
              <w:t>持续</w:t>
            </w:r>
            <w:r w:rsidR="00952B3E" w:rsidRPr="0038798D">
              <w:rPr>
                <w:rFonts w:ascii="宋体" w:eastAsia="宋体" w:hAnsi="宋体" w:cs="宋体" w:hint="eastAsia"/>
                <w:b/>
                <w:sz w:val="24"/>
                <w:szCs w:val="24"/>
              </w:rPr>
              <w:t>增长，但毛利率</w:t>
            </w:r>
            <w:r w:rsidR="006D439E">
              <w:rPr>
                <w:rFonts w:ascii="宋体" w:eastAsia="宋体" w:hAnsi="宋体" w:cs="宋体" w:hint="eastAsia"/>
                <w:b/>
                <w:sz w:val="24"/>
                <w:szCs w:val="24"/>
              </w:rPr>
              <w:t>却没有同比增长</w:t>
            </w:r>
            <w:r w:rsidR="00952B3E" w:rsidRPr="0038798D">
              <w:rPr>
                <w:rFonts w:ascii="宋体" w:eastAsia="宋体" w:hAnsi="宋体" w:cs="宋体" w:hint="eastAsia"/>
                <w:b/>
                <w:sz w:val="24"/>
                <w:szCs w:val="24"/>
              </w:rPr>
              <w:t>，是什么原因？</w:t>
            </w:r>
            <w:r w:rsidR="006D439E">
              <w:rPr>
                <w:rFonts w:ascii="宋体" w:eastAsia="宋体" w:hAnsi="宋体" w:cs="宋体" w:hint="eastAsia"/>
                <w:b/>
                <w:sz w:val="24"/>
                <w:szCs w:val="24"/>
              </w:rPr>
              <w:t>同时，公司费率虽有下降但绝对值依旧偏高，请问公司</w:t>
            </w:r>
            <w:r w:rsidR="00DD51E9">
              <w:rPr>
                <w:rFonts w:ascii="宋体" w:eastAsia="宋体" w:hAnsi="宋体" w:cs="宋体" w:hint="eastAsia"/>
                <w:b/>
                <w:sz w:val="24"/>
                <w:szCs w:val="24"/>
              </w:rPr>
              <w:t>在</w:t>
            </w:r>
            <w:r w:rsidR="006D439E">
              <w:rPr>
                <w:rFonts w:ascii="宋体" w:eastAsia="宋体" w:hAnsi="宋体" w:cs="宋体" w:hint="eastAsia"/>
                <w:b/>
                <w:sz w:val="24"/>
                <w:szCs w:val="24"/>
              </w:rPr>
              <w:t>优化费用管理</w:t>
            </w:r>
            <w:r w:rsidR="00DD51E9">
              <w:rPr>
                <w:rFonts w:ascii="宋体" w:eastAsia="宋体" w:hAnsi="宋体" w:cs="宋体" w:hint="eastAsia"/>
                <w:b/>
                <w:sz w:val="24"/>
                <w:szCs w:val="24"/>
              </w:rPr>
              <w:t>方面有哪些举措</w:t>
            </w:r>
            <w:r w:rsidR="006D439E">
              <w:rPr>
                <w:rFonts w:ascii="宋体" w:eastAsia="宋体" w:hAnsi="宋体" w:cs="宋体" w:hint="eastAsia"/>
                <w:b/>
                <w:sz w:val="24"/>
                <w:szCs w:val="24"/>
              </w:rPr>
              <w:t>？</w:t>
            </w:r>
          </w:p>
          <w:p w14:paraId="5E42FD47" w14:textId="77777777" w:rsidR="00622DD6" w:rsidRPr="00622DD6" w:rsidRDefault="006D439E" w:rsidP="00622DD6">
            <w:pPr>
              <w:pStyle w:val="TableParagraph"/>
              <w:spacing w:before="100" w:beforeAutospacing="1" w:line="360" w:lineRule="auto"/>
              <w:ind w:firstLineChars="200" w:firstLine="480"/>
              <w:contextualSpacing/>
              <w:jc w:val="both"/>
              <w:rPr>
                <w:rFonts w:ascii="宋体" w:eastAsia="宋体" w:hAnsi="宋体" w:cs="宋体" w:hint="eastAsia"/>
                <w:bCs/>
                <w:sz w:val="24"/>
                <w:szCs w:val="24"/>
              </w:rPr>
            </w:pPr>
            <w:r>
              <w:rPr>
                <w:rFonts w:ascii="宋体" w:eastAsia="宋体" w:hAnsi="宋体" w:cs="宋体" w:hint="eastAsia"/>
                <w:bCs/>
                <w:sz w:val="24"/>
                <w:szCs w:val="24"/>
              </w:rPr>
              <w:t>答：</w:t>
            </w:r>
            <w:r w:rsidR="00622DD6" w:rsidRPr="00622DD6">
              <w:rPr>
                <w:rFonts w:ascii="宋体" w:eastAsia="宋体" w:hAnsi="宋体" w:cs="宋体" w:hint="eastAsia"/>
                <w:bCs/>
                <w:sz w:val="24"/>
                <w:szCs w:val="24"/>
              </w:rPr>
              <w:t>公司营业收入增长，毛利率没有同步增长系公司转型整合周期叠加行业环境等多重因素形成。2025年度，公司主营大宗业务在上下游产业间的强势博弈中，面临上游供应商议价能力强、产业</w:t>
            </w:r>
            <w:proofErr w:type="gramStart"/>
            <w:r w:rsidR="00622DD6" w:rsidRPr="00622DD6">
              <w:rPr>
                <w:rFonts w:ascii="宋体" w:eastAsia="宋体" w:hAnsi="宋体" w:cs="宋体" w:hint="eastAsia"/>
                <w:bCs/>
                <w:sz w:val="24"/>
                <w:szCs w:val="24"/>
              </w:rPr>
              <w:t>链利润</w:t>
            </w:r>
            <w:proofErr w:type="gramEnd"/>
            <w:r w:rsidR="00622DD6" w:rsidRPr="00622DD6">
              <w:rPr>
                <w:rFonts w:ascii="宋体" w:eastAsia="宋体" w:hAnsi="宋体" w:cs="宋体" w:hint="eastAsia"/>
                <w:bCs/>
                <w:sz w:val="24"/>
                <w:szCs w:val="24"/>
              </w:rPr>
              <w:t>持续向上游供应端集中，国内内需增长放缓、外需持续疲软等不利局面，采购销售价差被持续压缩，叠加仓储、运输等成本上升，利润空间受到压缩，毛利率下降0.58个百分点。</w:t>
            </w:r>
          </w:p>
          <w:p w14:paraId="4D54691E" w14:textId="52C3FD63" w:rsidR="002F19BE" w:rsidRDefault="00622DD6" w:rsidP="002F19BE">
            <w:pPr>
              <w:pStyle w:val="TableParagraph"/>
              <w:spacing w:before="100" w:beforeAutospacing="1" w:line="360" w:lineRule="auto"/>
              <w:ind w:firstLineChars="200" w:firstLine="480"/>
              <w:contextualSpacing/>
              <w:jc w:val="both"/>
              <w:rPr>
                <w:rFonts w:ascii="宋体" w:eastAsia="宋体" w:hAnsi="宋体" w:cs="宋体" w:hint="eastAsia"/>
                <w:bCs/>
                <w:sz w:val="24"/>
                <w:szCs w:val="24"/>
              </w:rPr>
            </w:pPr>
            <w:r w:rsidRPr="00622DD6">
              <w:rPr>
                <w:rFonts w:ascii="宋体" w:eastAsia="宋体" w:hAnsi="宋体" w:cs="宋体" w:hint="eastAsia"/>
                <w:bCs/>
                <w:sz w:val="24"/>
                <w:szCs w:val="24"/>
              </w:rPr>
              <w:t>管理费用方面，公司将进一步加强管理费用管控，降低运营成本。财务费用方面，近年来，公司压降已取得阶段性成果。一是通过优化融资结构、置换高成本借款、深化银企合作，利息支出持续下降；二是通过加强汇率风险管理和</w:t>
            </w:r>
            <w:proofErr w:type="gramStart"/>
            <w:r w:rsidRPr="00622DD6">
              <w:rPr>
                <w:rFonts w:ascii="宋体" w:eastAsia="宋体" w:hAnsi="宋体" w:cs="宋体" w:hint="eastAsia"/>
                <w:bCs/>
                <w:sz w:val="24"/>
                <w:szCs w:val="24"/>
              </w:rPr>
              <w:t>远期锁汇等</w:t>
            </w:r>
            <w:proofErr w:type="gramEnd"/>
            <w:r w:rsidRPr="00622DD6">
              <w:rPr>
                <w:rFonts w:ascii="宋体" w:eastAsia="宋体" w:hAnsi="宋体" w:cs="宋体" w:hint="eastAsia"/>
                <w:bCs/>
                <w:sz w:val="24"/>
                <w:szCs w:val="24"/>
              </w:rPr>
              <w:t>工具，有效管控汇兑损失；三是通过实施资金集中管理，不断降低无效融资需求，有效提升资金使用效率。</w:t>
            </w:r>
          </w:p>
          <w:p w14:paraId="2C55A70F" w14:textId="736FF0AD" w:rsidR="00FB6787" w:rsidRDefault="00FB6787" w:rsidP="00FB6787">
            <w:pPr>
              <w:pStyle w:val="TableParagraph"/>
              <w:spacing w:before="100" w:beforeAutospacing="1" w:line="360" w:lineRule="auto"/>
              <w:ind w:firstLineChars="200" w:firstLine="482"/>
              <w:contextualSpacing/>
              <w:jc w:val="both"/>
              <w:rPr>
                <w:rFonts w:ascii="宋体" w:eastAsia="宋体" w:hAnsi="宋体" w:cs="宋体" w:hint="eastAsia"/>
                <w:b/>
                <w:sz w:val="24"/>
                <w:szCs w:val="24"/>
              </w:rPr>
            </w:pPr>
            <w:r>
              <w:rPr>
                <w:rFonts w:ascii="宋体" w:eastAsia="宋体" w:hAnsi="宋体" w:cs="宋体" w:hint="eastAsia"/>
                <w:b/>
                <w:sz w:val="24"/>
                <w:szCs w:val="24"/>
              </w:rPr>
              <w:t>4.问：公司2024年年报披露，与控股股东苏豪控股集团进行资产置换，</w:t>
            </w:r>
            <w:r w:rsidRPr="00894188">
              <w:rPr>
                <w:rFonts w:ascii="宋体" w:eastAsia="宋体" w:hAnsi="宋体"/>
                <w:b/>
                <w:bCs/>
                <w:sz w:val="24"/>
                <w:szCs w:val="28"/>
              </w:rPr>
              <w:t>置入苏豪控股集团持有的</w:t>
            </w:r>
            <w:r w:rsidRPr="009C2DB3">
              <w:rPr>
                <w:rFonts w:ascii="宋体" w:eastAsia="宋体" w:hAnsi="宋体"/>
                <w:b/>
                <w:bCs/>
                <w:sz w:val="24"/>
                <w:szCs w:val="28"/>
              </w:rPr>
              <w:t>江苏有色金属进出口有限公司</w:t>
            </w:r>
            <w:r>
              <w:rPr>
                <w:rFonts w:ascii="宋体" w:eastAsia="宋体" w:hAnsi="宋体" w:hint="eastAsia"/>
                <w:b/>
                <w:bCs/>
                <w:sz w:val="24"/>
                <w:szCs w:val="28"/>
              </w:rPr>
              <w:t>（以下简称“</w:t>
            </w:r>
            <w:r w:rsidRPr="00894188">
              <w:rPr>
                <w:rFonts w:ascii="宋体" w:eastAsia="宋体" w:hAnsi="宋体"/>
                <w:b/>
                <w:bCs/>
                <w:sz w:val="24"/>
                <w:szCs w:val="28"/>
              </w:rPr>
              <w:t>江苏有色</w:t>
            </w:r>
            <w:r>
              <w:rPr>
                <w:rFonts w:ascii="宋体" w:eastAsia="宋体" w:hAnsi="宋体" w:hint="eastAsia"/>
                <w:b/>
                <w:bCs/>
                <w:sz w:val="24"/>
                <w:szCs w:val="28"/>
              </w:rPr>
              <w:t>”）</w:t>
            </w:r>
            <w:r w:rsidRPr="00894188">
              <w:rPr>
                <w:rFonts w:ascii="宋体" w:eastAsia="宋体" w:hAnsi="宋体"/>
                <w:b/>
                <w:bCs/>
                <w:sz w:val="24"/>
                <w:szCs w:val="28"/>
              </w:rPr>
              <w:t>100.00%股权，置出公司持有的</w:t>
            </w:r>
            <w:r w:rsidRPr="009C2DB3">
              <w:rPr>
                <w:rFonts w:ascii="宋体" w:eastAsia="宋体" w:hAnsi="宋体"/>
                <w:b/>
                <w:bCs/>
                <w:sz w:val="24"/>
                <w:szCs w:val="28"/>
              </w:rPr>
              <w:t>江苏苏豪中嘉时尚有限公司</w:t>
            </w:r>
            <w:r>
              <w:rPr>
                <w:rFonts w:ascii="宋体" w:eastAsia="宋体" w:hAnsi="宋体" w:hint="eastAsia"/>
                <w:b/>
                <w:bCs/>
                <w:sz w:val="24"/>
                <w:szCs w:val="28"/>
              </w:rPr>
              <w:t>（以下简称“苏豪中嘉”）</w:t>
            </w:r>
            <w:r w:rsidRPr="00894188">
              <w:rPr>
                <w:rFonts w:ascii="宋体" w:eastAsia="宋体" w:hAnsi="宋体"/>
                <w:b/>
                <w:bCs/>
                <w:sz w:val="24"/>
                <w:szCs w:val="28"/>
              </w:rPr>
              <w:t>54.00%股权，以及直接持有</w:t>
            </w:r>
            <w:r w:rsidRPr="009C2DB3">
              <w:rPr>
                <w:rFonts w:ascii="宋体" w:eastAsia="宋体" w:hAnsi="宋体"/>
                <w:b/>
                <w:bCs/>
                <w:sz w:val="24"/>
                <w:szCs w:val="28"/>
              </w:rPr>
              <w:t>江苏</w:t>
            </w:r>
            <w:proofErr w:type="gramStart"/>
            <w:r w:rsidRPr="009C2DB3">
              <w:rPr>
                <w:rFonts w:ascii="宋体" w:eastAsia="宋体" w:hAnsi="宋体"/>
                <w:b/>
                <w:bCs/>
                <w:sz w:val="24"/>
                <w:szCs w:val="28"/>
              </w:rPr>
              <w:t>苏豪瑞盈时尚</w:t>
            </w:r>
            <w:proofErr w:type="gramEnd"/>
            <w:r w:rsidRPr="009C2DB3">
              <w:rPr>
                <w:rFonts w:ascii="宋体" w:eastAsia="宋体" w:hAnsi="宋体"/>
                <w:b/>
                <w:bCs/>
                <w:sz w:val="24"/>
                <w:szCs w:val="28"/>
              </w:rPr>
              <w:t>有限公司</w:t>
            </w:r>
            <w:r>
              <w:rPr>
                <w:rFonts w:ascii="宋体" w:eastAsia="宋体" w:hAnsi="宋体" w:hint="eastAsia"/>
                <w:b/>
                <w:bCs/>
                <w:sz w:val="24"/>
                <w:szCs w:val="28"/>
              </w:rPr>
              <w:t>（以下简称“苏豪</w:t>
            </w:r>
            <w:r w:rsidRPr="00894188">
              <w:rPr>
                <w:rFonts w:ascii="宋体" w:eastAsia="宋体" w:hAnsi="宋体"/>
                <w:b/>
                <w:bCs/>
                <w:sz w:val="24"/>
                <w:szCs w:val="28"/>
              </w:rPr>
              <w:t>瑞盈</w:t>
            </w:r>
            <w:r>
              <w:rPr>
                <w:rFonts w:ascii="宋体" w:eastAsia="宋体" w:hAnsi="宋体" w:hint="eastAsia"/>
                <w:b/>
                <w:bCs/>
                <w:sz w:val="24"/>
                <w:szCs w:val="28"/>
              </w:rPr>
              <w:t>”）</w:t>
            </w:r>
            <w:r w:rsidRPr="00894188">
              <w:rPr>
                <w:rFonts w:ascii="宋体" w:eastAsia="宋体" w:hAnsi="宋体"/>
                <w:b/>
                <w:bCs/>
                <w:sz w:val="24"/>
                <w:szCs w:val="28"/>
              </w:rPr>
              <w:t>55.00%股权</w:t>
            </w:r>
            <w:r w:rsidRPr="00894188">
              <w:rPr>
                <w:rFonts w:ascii="宋体" w:eastAsia="宋体" w:hAnsi="宋体" w:hint="eastAsia"/>
                <w:b/>
                <w:bCs/>
                <w:sz w:val="24"/>
                <w:szCs w:val="28"/>
              </w:rPr>
              <w:t>。请问这一举措是出于什么样的考虑？未来还是否会对目前的子公司进行调整</w:t>
            </w:r>
            <w:r>
              <w:rPr>
                <w:rFonts w:ascii="宋体" w:eastAsia="宋体" w:hAnsi="宋体" w:hint="eastAsia"/>
                <w:b/>
                <w:bCs/>
                <w:sz w:val="24"/>
                <w:szCs w:val="28"/>
              </w:rPr>
              <w:t>？</w:t>
            </w:r>
          </w:p>
          <w:p w14:paraId="5D563AAF" w14:textId="77777777" w:rsidR="00FB6787" w:rsidRDefault="00FB6787" w:rsidP="00FB6787">
            <w:pPr>
              <w:pStyle w:val="TableParagraph"/>
              <w:spacing w:before="100" w:beforeAutospacing="1" w:line="360" w:lineRule="auto"/>
              <w:ind w:firstLineChars="200" w:firstLine="480"/>
              <w:contextualSpacing/>
              <w:jc w:val="both"/>
              <w:rPr>
                <w:rFonts w:ascii="宋体" w:eastAsia="宋体" w:hAnsi="宋体" w:cs="宋体" w:hint="eastAsia"/>
                <w:bCs/>
                <w:sz w:val="24"/>
                <w:szCs w:val="24"/>
              </w:rPr>
            </w:pPr>
            <w:r w:rsidRPr="0023635A">
              <w:rPr>
                <w:rFonts w:ascii="宋体" w:eastAsia="宋体" w:hAnsi="宋体" w:cs="宋体" w:hint="eastAsia"/>
                <w:bCs/>
                <w:sz w:val="24"/>
                <w:szCs w:val="24"/>
              </w:rPr>
              <w:t>答：</w:t>
            </w:r>
            <w:r>
              <w:rPr>
                <w:rFonts w:ascii="宋体" w:eastAsia="宋体" w:hAnsi="宋体" w:cs="宋体" w:hint="eastAsia"/>
                <w:bCs/>
                <w:sz w:val="24"/>
                <w:szCs w:val="24"/>
              </w:rPr>
              <w:t>根据解决同业竞争承诺方向，苏豪控股集团下属</w:t>
            </w:r>
            <w:r w:rsidRPr="009C2DB3">
              <w:rPr>
                <w:rFonts w:ascii="宋体" w:eastAsia="宋体" w:hAnsi="宋体" w:cs="宋体"/>
                <w:bCs/>
                <w:sz w:val="24"/>
                <w:szCs w:val="24"/>
              </w:rPr>
              <w:t>三家贸易相关上市公司</w:t>
            </w:r>
            <w:r>
              <w:rPr>
                <w:rFonts w:ascii="宋体" w:eastAsia="宋体" w:hAnsi="宋体" w:cs="宋体" w:hint="eastAsia"/>
                <w:bCs/>
                <w:sz w:val="24"/>
                <w:szCs w:val="24"/>
              </w:rPr>
              <w:t>将实施专业化分工，其中苏豪</w:t>
            </w:r>
            <w:proofErr w:type="gramStart"/>
            <w:r>
              <w:rPr>
                <w:rFonts w:ascii="宋体" w:eastAsia="宋体" w:hAnsi="宋体" w:cs="宋体" w:hint="eastAsia"/>
                <w:bCs/>
                <w:sz w:val="24"/>
                <w:szCs w:val="24"/>
              </w:rPr>
              <w:t>汇鸿</w:t>
            </w:r>
            <w:r w:rsidRPr="009C2DB3">
              <w:rPr>
                <w:rFonts w:ascii="宋体" w:eastAsia="宋体" w:hAnsi="宋体" w:cs="宋体"/>
                <w:bCs/>
                <w:sz w:val="24"/>
                <w:szCs w:val="24"/>
              </w:rPr>
              <w:t>将专注</w:t>
            </w:r>
            <w:proofErr w:type="gramEnd"/>
            <w:r w:rsidRPr="009C2DB3">
              <w:rPr>
                <w:rFonts w:ascii="宋体" w:eastAsia="宋体" w:hAnsi="宋体" w:cs="宋体"/>
                <w:bCs/>
                <w:sz w:val="24"/>
                <w:szCs w:val="24"/>
              </w:rPr>
              <w:t>于以大宗商品相关业务为主</w:t>
            </w:r>
            <w:r>
              <w:rPr>
                <w:rFonts w:ascii="宋体" w:eastAsia="宋体" w:hAnsi="宋体" w:cs="宋体" w:hint="eastAsia"/>
                <w:bCs/>
                <w:sz w:val="24"/>
                <w:szCs w:val="24"/>
              </w:rPr>
              <w:t>。2024年置入</w:t>
            </w:r>
            <w:r w:rsidRPr="00CD0EFA">
              <w:rPr>
                <w:rFonts w:ascii="宋体" w:eastAsia="宋体" w:hAnsi="宋体" w:cs="宋体"/>
                <w:bCs/>
                <w:sz w:val="24"/>
                <w:szCs w:val="24"/>
              </w:rPr>
              <w:t>与公司</w:t>
            </w:r>
            <w:r>
              <w:rPr>
                <w:rFonts w:ascii="宋体" w:eastAsia="宋体" w:hAnsi="宋体" w:cs="宋体" w:hint="eastAsia"/>
                <w:bCs/>
                <w:sz w:val="24"/>
                <w:szCs w:val="24"/>
              </w:rPr>
              <w:t>大宗</w:t>
            </w:r>
            <w:r w:rsidRPr="00CD0EFA">
              <w:rPr>
                <w:rFonts w:ascii="宋体" w:eastAsia="宋体" w:hAnsi="宋体" w:cs="宋体"/>
                <w:bCs/>
                <w:sz w:val="24"/>
                <w:szCs w:val="24"/>
              </w:rPr>
              <w:t>业务</w:t>
            </w:r>
            <w:r>
              <w:rPr>
                <w:rFonts w:ascii="宋体" w:eastAsia="宋体" w:hAnsi="宋体" w:cs="宋体" w:hint="eastAsia"/>
                <w:bCs/>
                <w:sz w:val="24"/>
                <w:szCs w:val="24"/>
              </w:rPr>
              <w:t>发展</w:t>
            </w:r>
            <w:r w:rsidRPr="00CD0EFA">
              <w:rPr>
                <w:rFonts w:ascii="宋体" w:eastAsia="宋体" w:hAnsi="宋体" w:cs="宋体"/>
                <w:bCs/>
                <w:sz w:val="24"/>
                <w:szCs w:val="24"/>
              </w:rPr>
              <w:t>具有协同效应</w:t>
            </w:r>
            <w:r>
              <w:rPr>
                <w:rFonts w:ascii="宋体" w:eastAsia="宋体" w:hAnsi="宋体" w:cs="宋体" w:hint="eastAsia"/>
                <w:bCs/>
                <w:sz w:val="24"/>
                <w:szCs w:val="24"/>
              </w:rPr>
              <w:t>的江苏有</w:t>
            </w:r>
            <w:r>
              <w:rPr>
                <w:rFonts w:ascii="宋体" w:eastAsia="宋体" w:hAnsi="宋体" w:cs="宋体" w:hint="eastAsia"/>
                <w:bCs/>
                <w:sz w:val="24"/>
                <w:szCs w:val="24"/>
              </w:rPr>
              <w:lastRenderedPageBreak/>
              <w:t>色，置出主营服装业务的苏豪中嘉和苏豪瑞盈，系苏豪控股集团推进同业竞争解决方案落地的重要举措，同时也有利于进一步</w:t>
            </w:r>
            <w:r w:rsidRPr="00CD0EFA">
              <w:rPr>
                <w:rFonts w:ascii="宋体" w:eastAsia="宋体" w:hAnsi="宋体" w:cs="宋体"/>
                <w:bCs/>
                <w:sz w:val="24"/>
                <w:szCs w:val="24"/>
              </w:rPr>
              <w:t>优化</w:t>
            </w:r>
            <w:r>
              <w:rPr>
                <w:rFonts w:ascii="宋体" w:eastAsia="宋体" w:hAnsi="宋体" w:cs="宋体" w:hint="eastAsia"/>
                <w:bCs/>
                <w:sz w:val="24"/>
                <w:szCs w:val="24"/>
              </w:rPr>
              <w:t>公司</w:t>
            </w:r>
            <w:r w:rsidRPr="00CD0EFA">
              <w:rPr>
                <w:rFonts w:ascii="宋体" w:eastAsia="宋体" w:hAnsi="宋体" w:cs="宋体"/>
                <w:bCs/>
                <w:sz w:val="24"/>
                <w:szCs w:val="24"/>
              </w:rPr>
              <w:t>资产结构</w:t>
            </w:r>
            <w:r>
              <w:rPr>
                <w:rFonts w:ascii="宋体" w:eastAsia="宋体" w:hAnsi="宋体" w:cs="宋体" w:hint="eastAsia"/>
                <w:bCs/>
                <w:sz w:val="24"/>
                <w:szCs w:val="24"/>
              </w:rPr>
              <w:t>，</w:t>
            </w:r>
            <w:r w:rsidRPr="00CD0EFA">
              <w:rPr>
                <w:rFonts w:ascii="宋体" w:eastAsia="宋体" w:hAnsi="宋体" w:cs="宋体"/>
                <w:bCs/>
                <w:sz w:val="24"/>
                <w:szCs w:val="24"/>
              </w:rPr>
              <w:t>加快公司大宗业务板块发展</w:t>
            </w:r>
            <w:r>
              <w:rPr>
                <w:rFonts w:ascii="宋体" w:eastAsia="宋体" w:hAnsi="宋体" w:cs="宋体" w:hint="eastAsia"/>
                <w:bCs/>
                <w:sz w:val="24"/>
                <w:szCs w:val="24"/>
              </w:rPr>
              <w:t>。目前，鉴于资产置换相关标的公司审计、评估等相关工作进度不一致，仍有部分资产置换标的正在稳步推进中。</w:t>
            </w:r>
          </w:p>
          <w:p w14:paraId="590A1844" w14:textId="09D309C2" w:rsidR="00FB6787" w:rsidRPr="00A27803" w:rsidRDefault="00FB6787" w:rsidP="00FB6787">
            <w:pPr>
              <w:pStyle w:val="TableParagraph"/>
              <w:spacing w:before="100" w:beforeAutospacing="1" w:line="360" w:lineRule="auto"/>
              <w:ind w:firstLineChars="200" w:firstLine="482"/>
              <w:contextualSpacing/>
              <w:jc w:val="both"/>
              <w:rPr>
                <w:rFonts w:ascii="宋体" w:eastAsia="宋体" w:hAnsi="宋体" w:cs="宋体" w:hint="eastAsia"/>
                <w:b/>
                <w:sz w:val="24"/>
                <w:szCs w:val="24"/>
              </w:rPr>
            </w:pPr>
            <w:r w:rsidRPr="00A27803">
              <w:rPr>
                <w:rFonts w:ascii="宋体" w:eastAsia="宋体" w:hAnsi="宋体" w:cs="宋体" w:hint="eastAsia"/>
                <w:b/>
                <w:sz w:val="24"/>
                <w:szCs w:val="24"/>
              </w:rPr>
              <w:t>5.问：</w:t>
            </w:r>
            <w:r w:rsidR="00453C4B" w:rsidRPr="00A27803">
              <w:rPr>
                <w:rFonts w:ascii="宋体" w:eastAsia="宋体" w:hAnsi="宋体" w:cs="宋体" w:hint="eastAsia"/>
                <w:b/>
                <w:sz w:val="24"/>
                <w:szCs w:val="24"/>
              </w:rPr>
              <w:t>公司主营业务板块未来发展规划是什么？</w:t>
            </w:r>
          </w:p>
          <w:p w14:paraId="7E430B03" w14:textId="121B38C3" w:rsidR="00FB6787" w:rsidRPr="00FB6787" w:rsidRDefault="00FB6787" w:rsidP="00FB6787">
            <w:pPr>
              <w:pStyle w:val="TableParagraph"/>
              <w:spacing w:before="100" w:beforeAutospacing="1" w:line="360" w:lineRule="auto"/>
              <w:ind w:firstLineChars="200" w:firstLine="480"/>
              <w:contextualSpacing/>
              <w:jc w:val="both"/>
              <w:rPr>
                <w:rFonts w:ascii="宋体" w:eastAsia="宋体" w:hAnsi="宋体" w:cs="宋体" w:hint="eastAsia"/>
                <w:bCs/>
                <w:sz w:val="24"/>
                <w:szCs w:val="24"/>
              </w:rPr>
            </w:pPr>
            <w:r>
              <w:rPr>
                <w:rFonts w:ascii="宋体" w:eastAsia="宋体" w:hAnsi="宋体" w:cs="宋体" w:hint="eastAsia"/>
                <w:bCs/>
                <w:sz w:val="24"/>
                <w:szCs w:val="24"/>
              </w:rPr>
              <w:t>答：</w:t>
            </w:r>
            <w:r w:rsidR="00622DD6" w:rsidRPr="00622DD6">
              <w:rPr>
                <w:rFonts w:ascii="宋体" w:eastAsia="宋体" w:hAnsi="宋体" w:cs="宋体"/>
                <w:bCs/>
                <w:sz w:val="24"/>
                <w:szCs w:val="24"/>
              </w:rPr>
              <w:t>公司供应链运营主业将专注大宗商品供应链运营核心业务。2025年，公司大宗业务在镍矿、锌精矿、铜精矿等金属矿产细分品类及机电、油品化工、纸浆进出口等优势领域持续发力。一方面，公司深化国际资源端布局，持续拓宽中亚、</w:t>
            </w:r>
            <w:proofErr w:type="gramStart"/>
            <w:r w:rsidR="00622DD6" w:rsidRPr="00622DD6">
              <w:rPr>
                <w:rFonts w:ascii="宋体" w:eastAsia="宋体" w:hAnsi="宋体" w:cs="宋体"/>
                <w:bCs/>
                <w:sz w:val="24"/>
                <w:szCs w:val="24"/>
              </w:rPr>
              <w:t>非洲等锌精矿</w:t>
            </w:r>
            <w:proofErr w:type="gramEnd"/>
            <w:r w:rsidR="00622DD6" w:rsidRPr="00622DD6">
              <w:rPr>
                <w:rFonts w:ascii="宋体" w:eastAsia="宋体" w:hAnsi="宋体" w:cs="宋体"/>
                <w:bCs/>
                <w:sz w:val="24"/>
                <w:szCs w:val="24"/>
              </w:rPr>
              <w:t>、铅锭进口通道，培育“一带一路”沿线新增长点；另一方面，向产品供应、物流仓储等一揽子供应链集成服务延伸，探索“贸储期银运”一体化新模式，并成功入选大商所首批原木指定交割仓库。公司构建合</w:t>
            </w:r>
            <w:proofErr w:type="gramStart"/>
            <w:r w:rsidR="00622DD6" w:rsidRPr="00622DD6">
              <w:rPr>
                <w:rFonts w:ascii="宋体" w:eastAsia="宋体" w:hAnsi="宋体" w:cs="宋体"/>
                <w:bCs/>
                <w:sz w:val="24"/>
                <w:szCs w:val="24"/>
              </w:rPr>
              <w:t>规</w:t>
            </w:r>
            <w:proofErr w:type="gramEnd"/>
            <w:r w:rsidR="00622DD6" w:rsidRPr="00622DD6">
              <w:rPr>
                <w:rFonts w:ascii="宋体" w:eastAsia="宋体" w:hAnsi="宋体" w:cs="宋体"/>
                <w:bCs/>
                <w:sz w:val="24"/>
                <w:szCs w:val="24"/>
              </w:rPr>
              <w:t>体系，制定《套期保值业务管理制度》，坚持稳健审慎原则，在场内市场开展套期保值，以</w:t>
            </w:r>
            <w:proofErr w:type="gramStart"/>
            <w:r w:rsidR="00622DD6" w:rsidRPr="00622DD6">
              <w:rPr>
                <w:rFonts w:ascii="宋体" w:eastAsia="宋体" w:hAnsi="宋体" w:cs="宋体"/>
                <w:bCs/>
                <w:sz w:val="24"/>
                <w:szCs w:val="24"/>
              </w:rPr>
              <w:t>专业化风控护航</w:t>
            </w:r>
            <w:proofErr w:type="gramEnd"/>
            <w:r w:rsidR="00622DD6" w:rsidRPr="00622DD6">
              <w:rPr>
                <w:rFonts w:ascii="宋体" w:eastAsia="宋体" w:hAnsi="宋体" w:cs="宋体"/>
                <w:bCs/>
                <w:sz w:val="24"/>
                <w:szCs w:val="24"/>
              </w:rPr>
              <w:t>大宗业务发展。面向“十五五”，公司将持续聚焦探索产业链、供应</w:t>
            </w:r>
            <w:proofErr w:type="gramStart"/>
            <w:r w:rsidR="00622DD6" w:rsidRPr="00622DD6">
              <w:rPr>
                <w:rFonts w:ascii="宋体" w:eastAsia="宋体" w:hAnsi="宋体" w:cs="宋体"/>
                <w:bCs/>
                <w:sz w:val="24"/>
                <w:szCs w:val="24"/>
              </w:rPr>
              <w:t>链关键</w:t>
            </w:r>
            <w:proofErr w:type="gramEnd"/>
            <w:r w:rsidR="00622DD6" w:rsidRPr="00622DD6">
              <w:rPr>
                <w:rFonts w:ascii="宋体" w:eastAsia="宋体" w:hAnsi="宋体" w:cs="宋体"/>
                <w:bCs/>
                <w:sz w:val="24"/>
                <w:szCs w:val="24"/>
              </w:rPr>
              <w:t>环节实施</w:t>
            </w:r>
            <w:proofErr w:type="gramStart"/>
            <w:r w:rsidR="00622DD6" w:rsidRPr="00622DD6">
              <w:rPr>
                <w:rFonts w:ascii="宋体" w:eastAsia="宋体" w:hAnsi="宋体" w:cs="宋体"/>
                <w:bCs/>
                <w:sz w:val="24"/>
                <w:szCs w:val="24"/>
              </w:rPr>
              <w:t>强链补链</w:t>
            </w:r>
            <w:proofErr w:type="gramEnd"/>
            <w:r w:rsidR="00622DD6" w:rsidRPr="00622DD6">
              <w:rPr>
                <w:rFonts w:ascii="宋体" w:eastAsia="宋体" w:hAnsi="宋体" w:cs="宋体"/>
                <w:bCs/>
                <w:sz w:val="24"/>
                <w:szCs w:val="24"/>
              </w:rPr>
              <w:t>，推动大宗业务从大而全向专而精转变，实现高质量可持续发展。</w:t>
            </w:r>
          </w:p>
        </w:tc>
      </w:tr>
      <w:tr w:rsidR="002463FC" w:rsidRPr="0038798D" w14:paraId="26F9A063" w14:textId="77777777" w:rsidTr="004C4F2C">
        <w:trPr>
          <w:trHeight w:val="922"/>
          <w:jc w:val="center"/>
        </w:trPr>
        <w:tc>
          <w:tcPr>
            <w:tcW w:w="1838" w:type="dxa"/>
            <w:vAlign w:val="center"/>
          </w:tcPr>
          <w:p w14:paraId="57F7F82D" w14:textId="404E9A52" w:rsidR="002463FC" w:rsidRPr="0038798D" w:rsidRDefault="00000000" w:rsidP="00E84E15">
            <w:pPr>
              <w:pStyle w:val="TableParagraph"/>
              <w:spacing w:before="1" w:line="360" w:lineRule="auto"/>
              <w:jc w:val="both"/>
              <w:rPr>
                <w:rFonts w:ascii="宋体" w:eastAsia="宋体" w:hAnsi="宋体" w:cs="宋体" w:hint="eastAsia"/>
                <w:b/>
                <w:bCs/>
                <w:sz w:val="24"/>
                <w:szCs w:val="24"/>
              </w:rPr>
            </w:pPr>
            <w:r w:rsidRPr="0038798D">
              <w:rPr>
                <w:rFonts w:ascii="宋体" w:eastAsia="宋体" w:hAnsi="宋体" w:cs="宋体" w:hint="eastAsia"/>
                <w:b/>
                <w:bCs/>
                <w:sz w:val="24"/>
                <w:szCs w:val="24"/>
              </w:rPr>
              <w:lastRenderedPageBreak/>
              <w:t>关于本次活动是否涉及应披露重大信息的说明</w:t>
            </w:r>
          </w:p>
        </w:tc>
        <w:tc>
          <w:tcPr>
            <w:tcW w:w="7229" w:type="dxa"/>
            <w:vAlign w:val="center"/>
          </w:tcPr>
          <w:p w14:paraId="71C00842" w14:textId="77777777" w:rsidR="002463FC" w:rsidRPr="00E84E15" w:rsidRDefault="00000000" w:rsidP="00E84E15">
            <w:pPr>
              <w:pStyle w:val="TableParagraph"/>
              <w:spacing w:before="1" w:line="360" w:lineRule="auto"/>
              <w:jc w:val="both"/>
              <w:rPr>
                <w:rFonts w:ascii="宋体" w:eastAsia="宋体" w:hAnsi="宋体" w:cs="宋体" w:hint="eastAsia"/>
                <w:sz w:val="24"/>
                <w:szCs w:val="24"/>
              </w:rPr>
            </w:pPr>
            <w:r w:rsidRPr="00E84E15">
              <w:rPr>
                <w:rFonts w:ascii="宋体" w:eastAsia="宋体" w:hAnsi="宋体" w:cs="宋体" w:hint="eastAsia"/>
                <w:sz w:val="24"/>
                <w:szCs w:val="24"/>
              </w:rPr>
              <w:t>本次活动不涉及未公开披露的重大信息。</w:t>
            </w:r>
          </w:p>
        </w:tc>
      </w:tr>
      <w:tr w:rsidR="002463FC" w:rsidRPr="0038798D" w14:paraId="47400DEB" w14:textId="77777777" w:rsidTr="00A277B3">
        <w:trPr>
          <w:trHeight w:val="644"/>
          <w:jc w:val="center"/>
        </w:trPr>
        <w:tc>
          <w:tcPr>
            <w:tcW w:w="1838" w:type="dxa"/>
            <w:vAlign w:val="center"/>
          </w:tcPr>
          <w:p w14:paraId="77C2D2C6" w14:textId="77777777" w:rsidR="002463FC" w:rsidRPr="0038798D" w:rsidRDefault="00000000" w:rsidP="00E84E15">
            <w:pPr>
              <w:pStyle w:val="TableParagraph"/>
              <w:spacing w:before="1" w:line="360" w:lineRule="auto"/>
              <w:jc w:val="both"/>
              <w:rPr>
                <w:rFonts w:ascii="宋体" w:eastAsia="宋体" w:hAnsi="宋体" w:cs="宋体" w:hint="eastAsia"/>
                <w:b/>
                <w:bCs/>
                <w:sz w:val="24"/>
                <w:szCs w:val="24"/>
              </w:rPr>
            </w:pPr>
            <w:r w:rsidRPr="0038798D">
              <w:rPr>
                <w:rFonts w:ascii="宋体" w:eastAsia="宋体" w:hAnsi="宋体" w:cs="宋体" w:hint="eastAsia"/>
                <w:b/>
                <w:bCs/>
                <w:sz w:val="24"/>
                <w:szCs w:val="24"/>
              </w:rPr>
              <w:t>附件清单（如有）</w:t>
            </w:r>
          </w:p>
        </w:tc>
        <w:tc>
          <w:tcPr>
            <w:tcW w:w="7229" w:type="dxa"/>
            <w:vAlign w:val="center"/>
          </w:tcPr>
          <w:p w14:paraId="5007E0CC" w14:textId="65B84E62" w:rsidR="002463FC" w:rsidRPr="00E84E15" w:rsidRDefault="00537FD0" w:rsidP="00E84E15">
            <w:pPr>
              <w:pStyle w:val="TableParagraph"/>
              <w:spacing w:before="1" w:line="360" w:lineRule="auto"/>
              <w:jc w:val="both"/>
              <w:rPr>
                <w:rFonts w:ascii="宋体" w:eastAsia="宋体" w:hAnsi="宋体" w:cs="宋体" w:hint="eastAsia"/>
                <w:sz w:val="24"/>
                <w:szCs w:val="24"/>
              </w:rPr>
            </w:pPr>
            <w:r w:rsidRPr="00E84E15">
              <w:rPr>
                <w:rFonts w:ascii="宋体" w:eastAsia="宋体" w:hAnsi="宋体" w:cs="宋体" w:hint="eastAsia"/>
                <w:sz w:val="24"/>
                <w:szCs w:val="24"/>
              </w:rPr>
              <w:t>无</w:t>
            </w:r>
          </w:p>
        </w:tc>
      </w:tr>
      <w:tr w:rsidR="002463FC" w:rsidRPr="0038798D" w14:paraId="772231EE" w14:textId="77777777" w:rsidTr="004C4F2C">
        <w:trPr>
          <w:trHeight w:val="629"/>
          <w:jc w:val="center"/>
        </w:trPr>
        <w:tc>
          <w:tcPr>
            <w:tcW w:w="1838" w:type="dxa"/>
            <w:vAlign w:val="center"/>
          </w:tcPr>
          <w:p w14:paraId="788507C5" w14:textId="77777777" w:rsidR="002463FC" w:rsidRPr="0038798D" w:rsidRDefault="00000000" w:rsidP="00E84E15">
            <w:pPr>
              <w:pStyle w:val="TableParagraph"/>
              <w:spacing w:before="1" w:line="360" w:lineRule="auto"/>
              <w:jc w:val="both"/>
              <w:rPr>
                <w:rFonts w:ascii="宋体" w:eastAsia="宋体" w:hAnsi="宋体" w:cs="宋体" w:hint="eastAsia"/>
                <w:b/>
                <w:bCs/>
                <w:sz w:val="24"/>
                <w:szCs w:val="24"/>
              </w:rPr>
            </w:pPr>
            <w:r w:rsidRPr="0038798D">
              <w:rPr>
                <w:rFonts w:ascii="宋体" w:eastAsia="宋体" w:hAnsi="宋体" w:cs="宋体" w:hint="eastAsia"/>
                <w:b/>
                <w:bCs/>
                <w:sz w:val="24"/>
                <w:szCs w:val="24"/>
              </w:rPr>
              <w:t>日期</w:t>
            </w:r>
          </w:p>
        </w:tc>
        <w:tc>
          <w:tcPr>
            <w:tcW w:w="7229" w:type="dxa"/>
            <w:vAlign w:val="center"/>
          </w:tcPr>
          <w:p w14:paraId="6F673576" w14:textId="76B1227C" w:rsidR="002463FC" w:rsidRPr="00E84E15" w:rsidRDefault="00477DAB" w:rsidP="00E84E15">
            <w:pPr>
              <w:pStyle w:val="TableParagraph"/>
              <w:spacing w:before="1" w:line="360" w:lineRule="auto"/>
              <w:jc w:val="both"/>
              <w:rPr>
                <w:rFonts w:ascii="宋体" w:eastAsia="宋体" w:hAnsi="宋体" w:cs="宋体" w:hint="eastAsia"/>
                <w:sz w:val="24"/>
                <w:szCs w:val="24"/>
              </w:rPr>
            </w:pPr>
            <w:r w:rsidRPr="00E84E15">
              <w:rPr>
                <w:rFonts w:ascii="宋体" w:eastAsia="宋体" w:hAnsi="宋体" w:cs="宋体" w:hint="eastAsia"/>
                <w:sz w:val="24"/>
                <w:szCs w:val="24"/>
              </w:rPr>
              <w:t>2026年6月11日</w:t>
            </w:r>
          </w:p>
        </w:tc>
      </w:tr>
    </w:tbl>
    <w:p w14:paraId="44C89310" w14:textId="77777777" w:rsidR="002463FC" w:rsidRDefault="002463FC" w:rsidP="00AA7250">
      <w:pPr>
        <w:rPr>
          <w:rFonts w:ascii="宋体" w:eastAsia="宋体" w:hAnsi="宋体" w:cs="宋体" w:hint="eastAsia"/>
          <w:sz w:val="28"/>
          <w:szCs w:val="36"/>
        </w:rPr>
      </w:pPr>
    </w:p>
    <w:sectPr w:rsidR="002463FC">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2266" w14:textId="77777777" w:rsidR="005B2103" w:rsidRDefault="005B2103" w:rsidP="00A5166E">
      <w:pPr>
        <w:rPr>
          <w:rFonts w:hint="eastAsia"/>
        </w:rPr>
      </w:pPr>
      <w:r>
        <w:separator/>
      </w:r>
    </w:p>
  </w:endnote>
  <w:endnote w:type="continuationSeparator" w:id="0">
    <w:p w14:paraId="19EB43C4" w14:textId="77777777" w:rsidR="005B2103" w:rsidRDefault="005B2103" w:rsidP="00A516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EB65" w14:textId="77777777" w:rsidR="005B2103" w:rsidRDefault="005B2103" w:rsidP="00A5166E">
      <w:pPr>
        <w:rPr>
          <w:rFonts w:hint="eastAsia"/>
        </w:rPr>
      </w:pPr>
      <w:r>
        <w:separator/>
      </w:r>
    </w:p>
  </w:footnote>
  <w:footnote w:type="continuationSeparator" w:id="0">
    <w:p w14:paraId="2B21EE1B" w14:textId="77777777" w:rsidR="005B2103" w:rsidRDefault="005B2103" w:rsidP="00A5166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11AB7"/>
    <w:rsid w:val="000155CE"/>
    <w:rsid w:val="00026CC3"/>
    <w:rsid w:val="000338CC"/>
    <w:rsid w:val="00036089"/>
    <w:rsid w:val="000531F5"/>
    <w:rsid w:val="00053CFA"/>
    <w:rsid w:val="0005659A"/>
    <w:rsid w:val="000633EC"/>
    <w:rsid w:val="00063804"/>
    <w:rsid w:val="000665A2"/>
    <w:rsid w:val="00077141"/>
    <w:rsid w:val="0008026A"/>
    <w:rsid w:val="000852C5"/>
    <w:rsid w:val="000877AB"/>
    <w:rsid w:val="000973CB"/>
    <w:rsid w:val="000B7C08"/>
    <w:rsid w:val="000C0F15"/>
    <w:rsid w:val="000D12CF"/>
    <w:rsid w:val="000D28BF"/>
    <w:rsid w:val="000D2D88"/>
    <w:rsid w:val="000E4B20"/>
    <w:rsid w:val="000F058C"/>
    <w:rsid w:val="00104472"/>
    <w:rsid w:val="001113B8"/>
    <w:rsid w:val="00113510"/>
    <w:rsid w:val="0011418F"/>
    <w:rsid w:val="00140AE7"/>
    <w:rsid w:val="00155A9A"/>
    <w:rsid w:val="00156185"/>
    <w:rsid w:val="00156ECE"/>
    <w:rsid w:val="001577DE"/>
    <w:rsid w:val="00170D2E"/>
    <w:rsid w:val="00172C24"/>
    <w:rsid w:val="00193F94"/>
    <w:rsid w:val="001A0537"/>
    <w:rsid w:val="001A168B"/>
    <w:rsid w:val="001A3FA2"/>
    <w:rsid w:val="001C720E"/>
    <w:rsid w:val="001E59D1"/>
    <w:rsid w:val="001E5EA4"/>
    <w:rsid w:val="002042A7"/>
    <w:rsid w:val="00205911"/>
    <w:rsid w:val="00210760"/>
    <w:rsid w:val="002146AD"/>
    <w:rsid w:val="002176BD"/>
    <w:rsid w:val="0023635A"/>
    <w:rsid w:val="0024155A"/>
    <w:rsid w:val="002463FC"/>
    <w:rsid w:val="0026571B"/>
    <w:rsid w:val="00271562"/>
    <w:rsid w:val="00275CB6"/>
    <w:rsid w:val="002800B5"/>
    <w:rsid w:val="002802FE"/>
    <w:rsid w:val="00283F9B"/>
    <w:rsid w:val="002942DC"/>
    <w:rsid w:val="002953EE"/>
    <w:rsid w:val="00295B29"/>
    <w:rsid w:val="002B0439"/>
    <w:rsid w:val="002B1B56"/>
    <w:rsid w:val="002B4845"/>
    <w:rsid w:val="002D1AC9"/>
    <w:rsid w:val="002D4073"/>
    <w:rsid w:val="002D56F0"/>
    <w:rsid w:val="002E63EB"/>
    <w:rsid w:val="002E7098"/>
    <w:rsid w:val="002F19BE"/>
    <w:rsid w:val="00301D32"/>
    <w:rsid w:val="00317B78"/>
    <w:rsid w:val="003200B4"/>
    <w:rsid w:val="003539D4"/>
    <w:rsid w:val="00357294"/>
    <w:rsid w:val="00366FAD"/>
    <w:rsid w:val="0037105B"/>
    <w:rsid w:val="003812AE"/>
    <w:rsid w:val="0038798D"/>
    <w:rsid w:val="003975BA"/>
    <w:rsid w:val="003A74E6"/>
    <w:rsid w:val="003B51D8"/>
    <w:rsid w:val="003B73DD"/>
    <w:rsid w:val="003C7F9B"/>
    <w:rsid w:val="003D011C"/>
    <w:rsid w:val="004108C7"/>
    <w:rsid w:val="00412DC2"/>
    <w:rsid w:val="00423239"/>
    <w:rsid w:val="00440041"/>
    <w:rsid w:val="00445A3B"/>
    <w:rsid w:val="00451268"/>
    <w:rsid w:val="004515AD"/>
    <w:rsid w:val="00451857"/>
    <w:rsid w:val="00452A1C"/>
    <w:rsid w:val="00453516"/>
    <w:rsid w:val="00453C4B"/>
    <w:rsid w:val="00457548"/>
    <w:rsid w:val="00470DB2"/>
    <w:rsid w:val="00477DAB"/>
    <w:rsid w:val="004925E7"/>
    <w:rsid w:val="00495B11"/>
    <w:rsid w:val="004B10E7"/>
    <w:rsid w:val="004C2B1F"/>
    <w:rsid w:val="004C4F2C"/>
    <w:rsid w:val="004D593A"/>
    <w:rsid w:val="004D5AFD"/>
    <w:rsid w:val="004F1DCF"/>
    <w:rsid w:val="004F237A"/>
    <w:rsid w:val="004F44B8"/>
    <w:rsid w:val="004F6FF3"/>
    <w:rsid w:val="00535133"/>
    <w:rsid w:val="00537FD0"/>
    <w:rsid w:val="00540E97"/>
    <w:rsid w:val="00544539"/>
    <w:rsid w:val="00571B49"/>
    <w:rsid w:val="005743AE"/>
    <w:rsid w:val="005B2103"/>
    <w:rsid w:val="005C0AD6"/>
    <w:rsid w:val="005D2270"/>
    <w:rsid w:val="005D64CA"/>
    <w:rsid w:val="005E5717"/>
    <w:rsid w:val="005E6DB2"/>
    <w:rsid w:val="00600CA7"/>
    <w:rsid w:val="0061433E"/>
    <w:rsid w:val="00615AE8"/>
    <w:rsid w:val="00622DD6"/>
    <w:rsid w:val="0062751D"/>
    <w:rsid w:val="006354AA"/>
    <w:rsid w:val="00661AFA"/>
    <w:rsid w:val="00664E80"/>
    <w:rsid w:val="006726BF"/>
    <w:rsid w:val="00674FF1"/>
    <w:rsid w:val="00677B77"/>
    <w:rsid w:val="0068718A"/>
    <w:rsid w:val="006965A0"/>
    <w:rsid w:val="006A2739"/>
    <w:rsid w:val="006B5C95"/>
    <w:rsid w:val="006D041C"/>
    <w:rsid w:val="006D439E"/>
    <w:rsid w:val="006E14B0"/>
    <w:rsid w:val="006E3CBA"/>
    <w:rsid w:val="006F0108"/>
    <w:rsid w:val="0070038F"/>
    <w:rsid w:val="00704AE6"/>
    <w:rsid w:val="007106E0"/>
    <w:rsid w:val="007153A2"/>
    <w:rsid w:val="00724A68"/>
    <w:rsid w:val="007271BF"/>
    <w:rsid w:val="00730DD3"/>
    <w:rsid w:val="00733224"/>
    <w:rsid w:val="00764128"/>
    <w:rsid w:val="00776336"/>
    <w:rsid w:val="007824B8"/>
    <w:rsid w:val="007833E4"/>
    <w:rsid w:val="0078767A"/>
    <w:rsid w:val="00790767"/>
    <w:rsid w:val="007910DD"/>
    <w:rsid w:val="007A3EC1"/>
    <w:rsid w:val="007B3368"/>
    <w:rsid w:val="007C03F0"/>
    <w:rsid w:val="007D0A69"/>
    <w:rsid w:val="007D6DC4"/>
    <w:rsid w:val="007E3914"/>
    <w:rsid w:val="007F62AD"/>
    <w:rsid w:val="007F737D"/>
    <w:rsid w:val="00853463"/>
    <w:rsid w:val="008668F7"/>
    <w:rsid w:val="0087754C"/>
    <w:rsid w:val="00891E51"/>
    <w:rsid w:val="00893F25"/>
    <w:rsid w:val="00895035"/>
    <w:rsid w:val="008A4178"/>
    <w:rsid w:val="008A4614"/>
    <w:rsid w:val="008B2B14"/>
    <w:rsid w:val="008C25F4"/>
    <w:rsid w:val="008C6AED"/>
    <w:rsid w:val="008C7604"/>
    <w:rsid w:val="008E1B27"/>
    <w:rsid w:val="00903379"/>
    <w:rsid w:val="009039D9"/>
    <w:rsid w:val="00906975"/>
    <w:rsid w:val="00917F0B"/>
    <w:rsid w:val="00917F8B"/>
    <w:rsid w:val="00930EA4"/>
    <w:rsid w:val="00941F55"/>
    <w:rsid w:val="00952B3E"/>
    <w:rsid w:val="00960964"/>
    <w:rsid w:val="00965E4D"/>
    <w:rsid w:val="009A1C37"/>
    <w:rsid w:val="009A6EFD"/>
    <w:rsid w:val="009B1D5C"/>
    <w:rsid w:val="009B51DF"/>
    <w:rsid w:val="009C2DB3"/>
    <w:rsid w:val="009C2E31"/>
    <w:rsid w:val="009C4CBD"/>
    <w:rsid w:val="009E1955"/>
    <w:rsid w:val="00A06F0A"/>
    <w:rsid w:val="00A277B3"/>
    <w:rsid w:val="00A27803"/>
    <w:rsid w:val="00A5166E"/>
    <w:rsid w:val="00A527AA"/>
    <w:rsid w:val="00A5684D"/>
    <w:rsid w:val="00A62615"/>
    <w:rsid w:val="00A75C61"/>
    <w:rsid w:val="00A82E3B"/>
    <w:rsid w:val="00A9601B"/>
    <w:rsid w:val="00AA7250"/>
    <w:rsid w:val="00AB577E"/>
    <w:rsid w:val="00AC74A7"/>
    <w:rsid w:val="00AD100E"/>
    <w:rsid w:val="00AD378A"/>
    <w:rsid w:val="00AE1E36"/>
    <w:rsid w:val="00AF49C0"/>
    <w:rsid w:val="00AF74AA"/>
    <w:rsid w:val="00B03C2F"/>
    <w:rsid w:val="00B15064"/>
    <w:rsid w:val="00B16C29"/>
    <w:rsid w:val="00B340A3"/>
    <w:rsid w:val="00B410F5"/>
    <w:rsid w:val="00B503C0"/>
    <w:rsid w:val="00B55651"/>
    <w:rsid w:val="00B6280C"/>
    <w:rsid w:val="00B65ABC"/>
    <w:rsid w:val="00B671A4"/>
    <w:rsid w:val="00B72CD4"/>
    <w:rsid w:val="00B82DFC"/>
    <w:rsid w:val="00B85B00"/>
    <w:rsid w:val="00BA50AA"/>
    <w:rsid w:val="00BB1CDE"/>
    <w:rsid w:val="00BB5327"/>
    <w:rsid w:val="00BC3098"/>
    <w:rsid w:val="00BC3E04"/>
    <w:rsid w:val="00BF132F"/>
    <w:rsid w:val="00C11EDC"/>
    <w:rsid w:val="00C13878"/>
    <w:rsid w:val="00C147F6"/>
    <w:rsid w:val="00C15C43"/>
    <w:rsid w:val="00C235DD"/>
    <w:rsid w:val="00C4120E"/>
    <w:rsid w:val="00C456C4"/>
    <w:rsid w:val="00C47478"/>
    <w:rsid w:val="00C74F89"/>
    <w:rsid w:val="00C9417C"/>
    <w:rsid w:val="00C952E7"/>
    <w:rsid w:val="00CA1705"/>
    <w:rsid w:val="00CB0BBA"/>
    <w:rsid w:val="00CB7D9D"/>
    <w:rsid w:val="00CD0EFA"/>
    <w:rsid w:val="00CD2AD8"/>
    <w:rsid w:val="00CD4FB1"/>
    <w:rsid w:val="00CE1A54"/>
    <w:rsid w:val="00CE3637"/>
    <w:rsid w:val="00CF5ABB"/>
    <w:rsid w:val="00CF5FB6"/>
    <w:rsid w:val="00D02518"/>
    <w:rsid w:val="00D134A7"/>
    <w:rsid w:val="00D17454"/>
    <w:rsid w:val="00D33FBC"/>
    <w:rsid w:val="00D364E5"/>
    <w:rsid w:val="00D37D8C"/>
    <w:rsid w:val="00D53084"/>
    <w:rsid w:val="00D7535C"/>
    <w:rsid w:val="00D76302"/>
    <w:rsid w:val="00DA5CE2"/>
    <w:rsid w:val="00DB11D4"/>
    <w:rsid w:val="00DC17DA"/>
    <w:rsid w:val="00DD0322"/>
    <w:rsid w:val="00DD51E9"/>
    <w:rsid w:val="00DD7F33"/>
    <w:rsid w:val="00DE0E87"/>
    <w:rsid w:val="00DE10E8"/>
    <w:rsid w:val="00DE1284"/>
    <w:rsid w:val="00DF17C8"/>
    <w:rsid w:val="00E16FDA"/>
    <w:rsid w:val="00E35F58"/>
    <w:rsid w:val="00E37310"/>
    <w:rsid w:val="00E45BD9"/>
    <w:rsid w:val="00E66FFC"/>
    <w:rsid w:val="00E759D6"/>
    <w:rsid w:val="00E84A8C"/>
    <w:rsid w:val="00E84E15"/>
    <w:rsid w:val="00E95EDC"/>
    <w:rsid w:val="00E976DE"/>
    <w:rsid w:val="00EA07A7"/>
    <w:rsid w:val="00EB02A0"/>
    <w:rsid w:val="00EB37B9"/>
    <w:rsid w:val="00EC0F83"/>
    <w:rsid w:val="00ED4AC5"/>
    <w:rsid w:val="00ED7547"/>
    <w:rsid w:val="00EE3187"/>
    <w:rsid w:val="00EF499B"/>
    <w:rsid w:val="00EF7F66"/>
    <w:rsid w:val="00F00A26"/>
    <w:rsid w:val="00F11484"/>
    <w:rsid w:val="00F13BE3"/>
    <w:rsid w:val="00F14977"/>
    <w:rsid w:val="00F24464"/>
    <w:rsid w:val="00F37544"/>
    <w:rsid w:val="00F47829"/>
    <w:rsid w:val="00F532C2"/>
    <w:rsid w:val="00F62C61"/>
    <w:rsid w:val="00F96681"/>
    <w:rsid w:val="00F97C73"/>
    <w:rsid w:val="00FB2B83"/>
    <w:rsid w:val="00FB4A08"/>
    <w:rsid w:val="00FB6787"/>
    <w:rsid w:val="00FC0C2A"/>
    <w:rsid w:val="00FD7F8E"/>
    <w:rsid w:val="00FE2E60"/>
    <w:rsid w:val="00FF11E4"/>
    <w:rsid w:val="00FF162B"/>
    <w:rsid w:val="04B072D4"/>
    <w:rsid w:val="05F575D4"/>
    <w:rsid w:val="064249C6"/>
    <w:rsid w:val="08641132"/>
    <w:rsid w:val="09186774"/>
    <w:rsid w:val="0945438F"/>
    <w:rsid w:val="0A71587A"/>
    <w:rsid w:val="0B792C38"/>
    <w:rsid w:val="0C28640C"/>
    <w:rsid w:val="0E90599A"/>
    <w:rsid w:val="0ED720CD"/>
    <w:rsid w:val="10310906"/>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79A30"/>
  <w15:docId w15:val="{9BDFD00C-6B38-4A18-9A9B-287F35C5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unhideWhenUsed/>
    <w:rsid w:val="002B4845"/>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NTKO</cp:lastModifiedBy>
  <cp:revision>14</cp:revision>
  <cp:lastPrinted>2026-06-12T01:31:00Z</cp:lastPrinted>
  <dcterms:created xsi:type="dcterms:W3CDTF">2026-06-11T12:20:00Z</dcterms:created>
  <dcterms:modified xsi:type="dcterms:W3CDTF">2026-06-12T01:31:00Z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eyJoZGlkIjoiNzI1MzljODBiNDliMzEyMzFlZWNlN2EzYjU0N2YzMWEiLCJ1c2VySWQiOiI2NzM2NTg2NjcifQ==</vt:lpwstr>
  </property>
</Properties>
</file>