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7415">
      <w:pPr>
        <w:spacing w:before="156" w:beforeLines="50" w:after="156" w:afterLines="5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</w:t>
      </w:r>
      <w:r>
        <w:rPr>
          <w:rFonts w:hint="eastAsia"/>
          <w:bCs/>
          <w:iCs/>
          <w:color w:val="000000"/>
          <w:sz w:val="24"/>
          <w:lang w:val="en-US" w:eastAsia="zh-CN"/>
        </w:rPr>
        <w:t>603110</w:t>
      </w:r>
      <w:r>
        <w:rPr>
          <w:bCs/>
          <w:iCs/>
          <w:color w:val="000000"/>
          <w:sz w:val="24"/>
        </w:rPr>
        <w:t xml:space="preserve">                          </w:t>
      </w:r>
      <w:r>
        <w:rPr>
          <w:rFonts w:hint="eastAsia"/>
          <w:bCs/>
          <w:iCs/>
          <w:color w:val="000000"/>
          <w:sz w:val="24"/>
        </w:rPr>
        <w:t xml:space="preserve">     </w:t>
      </w:r>
      <w:r>
        <w:rPr>
          <w:bCs/>
          <w:iCs/>
          <w:color w:val="000000"/>
          <w:sz w:val="24"/>
        </w:rPr>
        <w:t xml:space="preserve">    证券简称：</w:t>
      </w:r>
      <w:r>
        <w:rPr>
          <w:rFonts w:hint="eastAsia"/>
          <w:bCs/>
          <w:iCs/>
          <w:color w:val="000000"/>
          <w:sz w:val="24"/>
          <w:lang w:val="en-US" w:eastAsia="zh-CN"/>
        </w:rPr>
        <w:t>东方材料</w:t>
      </w:r>
    </w:p>
    <w:p w14:paraId="12B9DF7C">
      <w:pPr>
        <w:spacing w:before="468" w:beforeLines="1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kern w:val="0"/>
          <w:sz w:val="32"/>
          <w:szCs w:val="32"/>
          <w:lang w:val="en-US" w:eastAsia="zh-CN"/>
        </w:rPr>
        <w:t>新东方新材料</w:t>
      </w:r>
      <w:r>
        <w:rPr>
          <w:rFonts w:hint="eastAsia"/>
          <w:b/>
          <w:bCs/>
          <w:iCs/>
          <w:color w:val="000000"/>
          <w:sz w:val="32"/>
          <w:szCs w:val="32"/>
        </w:rPr>
        <w:t>股份</w:t>
      </w:r>
      <w:r>
        <w:rPr>
          <w:b/>
          <w:bCs/>
          <w:iCs/>
          <w:color w:val="000000"/>
          <w:sz w:val="32"/>
          <w:szCs w:val="32"/>
        </w:rPr>
        <w:t>有限公司</w:t>
      </w:r>
    </w:p>
    <w:p w14:paraId="0441CE77">
      <w:pPr>
        <w:spacing w:before="156" w:beforeLines="50" w:after="156" w:afterLines="50" w:line="400" w:lineRule="exact"/>
        <w:jc w:val="center"/>
        <w:rPr>
          <w:rFonts w:hint="eastAsia" w:eastAsia="宋体"/>
          <w:b/>
          <w:bCs/>
          <w:iCs/>
          <w:color w:val="000000"/>
          <w:sz w:val="32"/>
          <w:szCs w:val="32"/>
          <w:lang w:val="en-US" w:eastAsia="zh-CN"/>
        </w:rPr>
      </w:pPr>
      <w:r>
        <w:rPr>
          <w:b/>
          <w:bCs/>
          <w:iCs/>
          <w:color w:val="000000"/>
          <w:sz w:val="32"/>
          <w:szCs w:val="32"/>
        </w:rPr>
        <w:t>投资者关系活动记录</w:t>
      </w:r>
      <w:r>
        <w:rPr>
          <w:rFonts w:hint="eastAsia"/>
          <w:b/>
          <w:bCs/>
          <w:iCs/>
          <w:color w:val="000000"/>
          <w:sz w:val="32"/>
          <w:szCs w:val="32"/>
          <w:lang w:val="en-US" w:eastAsia="zh-CN"/>
        </w:rPr>
        <w:t>表</w:t>
      </w:r>
    </w:p>
    <w:p w14:paraId="17372791">
      <w:pPr>
        <w:spacing w:line="400" w:lineRule="exact"/>
        <w:rPr>
          <w:bCs/>
          <w:iCs/>
          <w:color w:val="000000"/>
          <w:sz w:val="24"/>
          <w:highlight w:val="none"/>
        </w:rPr>
      </w:pPr>
      <w:r>
        <w:rPr>
          <w:bCs/>
          <w:iCs/>
          <w:color w:val="000000"/>
          <w:sz w:val="24"/>
          <w:highlight w:val="none"/>
        </w:rPr>
        <w:t xml:space="preserve">                                                      编号：</w:t>
      </w:r>
      <w:r>
        <w:rPr>
          <w:rFonts w:hint="eastAsia"/>
          <w:bCs/>
          <w:iCs/>
          <w:color w:val="000000"/>
          <w:sz w:val="24"/>
          <w:highlight w:val="none"/>
        </w:rPr>
        <w:t>202</w:t>
      </w:r>
      <w:r>
        <w:rPr>
          <w:rFonts w:hint="eastAsia"/>
          <w:bCs/>
          <w:iCs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bCs/>
          <w:iCs/>
          <w:color w:val="000000"/>
          <w:sz w:val="24"/>
          <w:highlight w:val="none"/>
        </w:rPr>
        <w:t>-00</w:t>
      </w:r>
      <w:r>
        <w:rPr>
          <w:rFonts w:hint="eastAsia"/>
          <w:bCs/>
          <w:iCs/>
          <w:color w:val="000000"/>
          <w:sz w:val="24"/>
          <w:highlight w:val="none"/>
          <w:lang w:val="en-US" w:eastAsia="zh-CN"/>
        </w:rPr>
        <w:t>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92"/>
      </w:tblGrid>
      <w:tr w14:paraId="5C50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vAlign w:val="center"/>
          </w:tcPr>
          <w:p w14:paraId="69CA4E56">
            <w:pPr>
              <w:spacing w:line="240" w:lineRule="auto"/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  <w:t>投资者关系活动类别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0D7EE7B8">
            <w:pPr>
              <w:spacing w:line="360" w:lineRule="auto"/>
              <w:rPr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Cs/>
                <w:iCs/>
                <w:color w:val="000000"/>
                <w:sz w:val="21"/>
                <w:szCs w:val="21"/>
                <w:highlight w:val="none"/>
              </w:rPr>
              <w:t>■</w:t>
            </w:r>
            <w:r>
              <w:rPr>
                <w:sz w:val="21"/>
                <w:szCs w:val="21"/>
                <w:highlight w:val="none"/>
              </w:rPr>
              <w:t xml:space="preserve">特定对象调研       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sz w:val="21"/>
                <w:szCs w:val="21"/>
                <w:highlight w:val="none"/>
              </w:rPr>
              <w:t>分析师会议</w:t>
            </w:r>
          </w:p>
          <w:p w14:paraId="0BA2C25C">
            <w:pPr>
              <w:spacing w:line="360" w:lineRule="auto"/>
              <w:rPr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sz w:val="21"/>
                <w:szCs w:val="21"/>
                <w:highlight w:val="none"/>
              </w:rPr>
              <w:t xml:space="preserve">媒体采访           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sz w:val="21"/>
                <w:szCs w:val="21"/>
                <w:highlight w:val="none"/>
              </w:rPr>
              <w:t>业绩说明会</w:t>
            </w:r>
          </w:p>
          <w:p w14:paraId="1728FC57">
            <w:pPr>
              <w:spacing w:line="360" w:lineRule="auto"/>
              <w:rPr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sz w:val="21"/>
                <w:szCs w:val="21"/>
                <w:highlight w:val="none"/>
              </w:rPr>
              <w:t xml:space="preserve">新闻发布会         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sz w:val="21"/>
                <w:szCs w:val="21"/>
                <w:highlight w:val="none"/>
              </w:rPr>
              <w:t>路演活动</w:t>
            </w:r>
          </w:p>
          <w:p w14:paraId="6361DBD0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sz w:val="21"/>
                <w:szCs w:val="21"/>
                <w:highlight w:val="none"/>
              </w:rPr>
              <w:t>现场参观</w:t>
            </w:r>
            <w:r>
              <w:rPr>
                <w:bCs/>
                <w:iCs/>
                <w:color w:val="000000"/>
                <w:sz w:val="21"/>
                <w:szCs w:val="21"/>
                <w:highlight w:val="none"/>
              </w:rPr>
              <w:tab/>
            </w:r>
          </w:p>
          <w:p w14:paraId="02374B2F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sz w:val="21"/>
                <w:szCs w:val="21"/>
                <w:highlight w:val="none"/>
              </w:rPr>
              <w:t xml:space="preserve">其他 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 xml:space="preserve">      </w:t>
            </w:r>
          </w:p>
        </w:tc>
      </w:tr>
      <w:tr w14:paraId="2704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908" w:type="dxa"/>
            <w:shd w:val="clear" w:color="auto" w:fill="auto"/>
            <w:vAlign w:val="center"/>
          </w:tcPr>
          <w:p w14:paraId="282DA7F0">
            <w:pPr>
              <w:rPr>
                <w:rFonts w:hint="eastAsia" w:eastAsia="宋体"/>
                <w:b/>
                <w:bCs w:val="0"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  <w:t>参与单位名称</w:t>
            </w:r>
            <w:r>
              <w:rPr>
                <w:rFonts w:hint="eastAsia"/>
                <w:b/>
                <w:bCs w:val="0"/>
                <w:iCs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排名不分先后</w:t>
            </w:r>
            <w:r>
              <w:rPr>
                <w:rFonts w:hint="eastAsia"/>
                <w:b/>
                <w:bCs w:val="0"/>
                <w:iCs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D2705CC">
            <w:pPr>
              <w:spacing w:line="360" w:lineRule="auto"/>
              <w:rPr>
                <w:rFonts w:hint="eastAsia" w:eastAsia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中信证券、国泰海通、运舟资本、丁元私募</w:t>
            </w:r>
          </w:p>
        </w:tc>
      </w:tr>
      <w:tr w14:paraId="520F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shd w:val="clear" w:color="auto" w:fill="auto"/>
            <w:vAlign w:val="center"/>
          </w:tcPr>
          <w:p w14:paraId="15543813">
            <w:pP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29D2FBE0">
            <w:pPr>
              <w:rPr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2026</w:t>
            </w:r>
            <w:r>
              <w:rPr>
                <w:bCs/>
                <w:iCs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1"/>
                <w:szCs w:val="21"/>
                <w:highlight w:val="none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1"/>
                <w:szCs w:val="21"/>
                <w:highlight w:val="none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15:00-16:30</w:t>
            </w:r>
          </w:p>
        </w:tc>
      </w:tr>
      <w:tr w14:paraId="390B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shd w:val="clear" w:color="auto" w:fill="auto"/>
            <w:vAlign w:val="center"/>
          </w:tcPr>
          <w:p w14:paraId="17DEDE3B">
            <w:pP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43421B2">
            <w:pPr>
              <w:rPr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上海办公室</w:t>
            </w:r>
          </w:p>
        </w:tc>
      </w:tr>
      <w:tr w14:paraId="0E76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908" w:type="dxa"/>
            <w:shd w:val="clear" w:color="auto" w:fill="auto"/>
            <w:vAlign w:val="center"/>
          </w:tcPr>
          <w:p w14:paraId="59C69067">
            <w:pP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  <w:t>上市公司接待人员姓名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C4CD39B">
            <w:pPr>
              <w:spacing w:line="360" w:lineRule="auto"/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董事长、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t>总经理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庄盛鑫先生</w:t>
            </w:r>
          </w:p>
          <w:p w14:paraId="4D747A8D">
            <w:pPr>
              <w:spacing w:line="360" w:lineRule="auto"/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董事、副总经理：韩雨辰先生</w:t>
            </w:r>
          </w:p>
          <w:p w14:paraId="0FC6D138">
            <w:pPr>
              <w:spacing w:line="360" w:lineRule="auto"/>
              <w:rPr>
                <w:rFonts w:hint="default" w:eastAsia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董事、</w:t>
            </w:r>
            <w:bookmarkStart w:id="1" w:name="_GoBack"/>
            <w:bookmarkEnd w:id="1"/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曾广锋先生 </w:t>
            </w:r>
          </w:p>
        </w:tc>
      </w:tr>
      <w:tr w14:paraId="54C1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08" w:type="dxa"/>
            <w:shd w:val="clear" w:color="auto" w:fill="auto"/>
            <w:vAlign w:val="center"/>
          </w:tcPr>
          <w:p w14:paraId="65235020">
            <w:pPr>
              <w:spacing w:line="240" w:lineRule="auto"/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</w:pPr>
            <w:bookmarkStart w:id="0" w:name="_Hlk454548216"/>
            <w:r>
              <w:rPr>
                <w:rFonts w:hint="eastAsia"/>
                <w:b/>
                <w:iCs/>
                <w:color w:val="000000"/>
                <w:sz w:val="21"/>
                <w:szCs w:val="21"/>
                <w:highlight w:val="none"/>
              </w:rPr>
              <w:t>投资者关系活动主要内容介绍</w:t>
            </w:r>
          </w:p>
        </w:tc>
        <w:tc>
          <w:tcPr>
            <w:tcW w:w="6592" w:type="dxa"/>
            <w:shd w:val="clear" w:color="auto" w:fill="auto"/>
          </w:tcPr>
          <w:p w14:paraId="37B9DD84">
            <w:pPr>
              <w:pStyle w:val="9"/>
              <w:widowControl/>
              <w:spacing w:after="0" w:afterLines="0" w:line="360" w:lineRule="auto"/>
              <w:ind w:firstLine="422" w:firstLineChars="200"/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  <w:t>1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  <w:t>请介绍下公司发展历史和主要业务</w:t>
            </w:r>
          </w:p>
          <w:p w14:paraId="13A177C5">
            <w:pPr>
              <w:pStyle w:val="9"/>
              <w:spacing w:afterLines="0"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  <w:shd w:val="clear" w:fill="auto"/>
              </w:rPr>
              <w:t>公司创建于1983年，是国内最早从事油墨生产的企业之一</w:t>
            </w:r>
            <w:r>
              <w:rPr>
                <w:rFonts w:hint="eastAsia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  <w:shd w:val="clear"/>
                <w:lang w:eastAsia="zh-CN"/>
              </w:rPr>
              <w:t>，</w:t>
            </w:r>
            <w:r>
              <w:rPr>
                <w:rFonts w:hint="eastAsia" w:cs="Times New Roman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/>
                <w:lang w:val="en-US" w:eastAsia="zh-CN"/>
              </w:rPr>
              <w:t>2010年进行了股份制改制，2017年10月在上海证券交易所挂牌上市。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  <w:shd w:val="clear" w:fill="auto"/>
              </w:rPr>
              <w:t>目前公司拥有3个全资子公司：新东方油墨有限公司、新东方新材料（滕州）有限公司、东方超算（深圳）科技有限公司，分别从事精细化工、新材料、算力租赁运维等相关业务。</w:t>
            </w:r>
          </w:p>
          <w:p w14:paraId="104A05EA">
            <w:pPr>
              <w:pStyle w:val="9"/>
              <w:spacing w:afterLines="0"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/>
                <w:lang w:val="en-US" w:eastAsia="zh-CN"/>
              </w:rPr>
              <w:t>公司目前主要产品为油墨和胶粘剂，应用于食品与药品软包装。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  <w:shd w:val="clear" w:fill="auto"/>
              </w:rPr>
              <w:t>公司深耕精细化工行业四十余年，工艺技术成熟、管理与资金运营能力稳健。为长远发展考虑，</w:t>
            </w:r>
            <w:r>
              <w:rPr>
                <w:rFonts w:hint="eastAsia" w:cs="Times New Roman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/>
                <w:lang w:val="en-US" w:eastAsia="zh-CN"/>
              </w:rPr>
              <w:t>2025年10月，公司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  <w:shd w:val="clear" w:fill="auto"/>
              </w:rPr>
              <w:t>与第一元素等股东合资设立碳巢新材科技（滕州）有限公司，专注于</w:t>
            </w:r>
            <w:r>
              <w:rPr>
                <w:rFonts w:hint="eastAsia" w:cs="Times New Roman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  <w:shd w:val="clear" w:fill="auto"/>
              </w:rPr>
              <w:t>3D集流体</w:t>
            </w:r>
            <w:r>
              <w:rPr>
                <w:rFonts w:hint="eastAsia" w:cs="Times New Roman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1040C"/>
                <w:spacing w:val="0"/>
                <w:sz w:val="21"/>
                <w:szCs w:val="21"/>
                <w:highlight w:val="none"/>
                <w:shd w:val="clear" w:fill="auto"/>
              </w:rPr>
              <w:t>材料研发与生产，积极布局新能源电池材料领域，为公司可持续发展和转型升级积极探索新的方向。</w:t>
            </w:r>
          </w:p>
          <w:p w14:paraId="19B9F096">
            <w:pPr>
              <w:pStyle w:val="9"/>
              <w:widowControl/>
              <w:spacing w:after="0" w:afterLines="0" w:line="360" w:lineRule="auto"/>
              <w:ind w:firstLine="420" w:firstLineChars="200"/>
              <w:rPr>
                <w:rFonts w:hint="default" w:eastAsia="宋体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</w:pPr>
          </w:p>
          <w:p w14:paraId="3A8F21B9">
            <w:pPr>
              <w:pStyle w:val="9"/>
              <w:widowControl/>
              <w:spacing w:after="0" w:afterLines="0" w:line="360" w:lineRule="auto"/>
              <w:ind w:firstLine="422" w:firstLineChars="200"/>
              <w:rPr>
                <w:rFonts w:hint="eastAsia" w:eastAsia="宋体"/>
                <w:b/>
                <w:bCs/>
                <w:i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  <w:t>2、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  <w:lang w:val="en-US" w:eastAsia="zh-CN"/>
              </w:rPr>
              <w:t>2025年下半年公司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  <w:t>管理团队调整后，发展战略是否有调整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  <w:lang w:eastAsia="zh-CN"/>
              </w:rPr>
              <w:t>？</w:t>
            </w:r>
          </w:p>
          <w:p w14:paraId="7F20257D">
            <w:pPr>
              <w:pStyle w:val="9"/>
              <w:widowControl/>
              <w:spacing w:after="0" w:afterLines="0" w:line="360" w:lineRule="auto"/>
              <w:ind w:firstLine="420" w:firstLineChars="200"/>
              <w:rPr>
                <w:rFonts w:hint="eastAsia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  <w:t>答：公司主营业务为精细化工新材料（软包装印刷用油墨、复合用聚氨酯聚粘剂、PCB电子油墨等）和算力业务。管理层将继续以“主营+创新”双引擎战略为牵引，保持精细化工、算力业务稳定运营，并在此基础上，结合公司资金运作状况和管理能力，依托公司多年来在化工行业的技术和工艺积累，在下一代电池新材料方向做了适当的投资延伸，为公司发展探索新的路径。</w:t>
            </w:r>
          </w:p>
          <w:p w14:paraId="2A5D611C">
            <w:pPr>
              <w:pStyle w:val="9"/>
              <w:widowControl/>
              <w:spacing w:after="0" w:afterLines="0" w:line="360" w:lineRule="auto"/>
              <w:ind w:firstLine="420" w:firstLineChars="200"/>
              <w:rPr>
                <w:rFonts w:hint="default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</w:pPr>
          </w:p>
          <w:p w14:paraId="37875272">
            <w:pPr>
              <w:pStyle w:val="9"/>
              <w:widowControl/>
              <w:spacing w:after="0" w:afterLines="0" w:line="360" w:lineRule="auto"/>
              <w:ind w:firstLine="422" w:firstLineChars="200"/>
              <w:rPr>
                <w:rFonts w:hint="eastAsia" w:eastAsia="宋体"/>
                <w:b/>
                <w:bCs/>
                <w:i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  <w:t>3、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  <w:lang w:val="en-US" w:eastAsia="zh-CN"/>
              </w:rPr>
              <w:t>请介绍下与第一元素等股东成立的合资公司相关项目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  <w:t>目前进展情况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  <w:lang w:eastAsia="zh-CN"/>
              </w:rPr>
              <w:t>？</w:t>
            </w:r>
          </w:p>
          <w:p w14:paraId="57488B0C">
            <w:pPr>
              <w:pStyle w:val="9"/>
              <w:widowControl/>
              <w:spacing w:after="0" w:afterLines="0" w:line="360" w:lineRule="auto"/>
              <w:ind w:firstLine="420" w:firstLineChars="200"/>
              <w:rPr>
                <w:rFonts w:hint="eastAsia"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eastAsia"/>
                <w:iCs/>
                <w:color w:val="000000"/>
                <w:szCs w:val="21"/>
                <w:highlight w:val="none"/>
              </w:rPr>
              <w:t>公司第一元素及其他两位股东共同合资设立碳巢新材科技（滕州）有限公司。合资公司依托滕州公司部分现有场地资源，专注于3D集流体材料研发与生产，布局新能源电池材料领域，为公司开辟</w:t>
            </w:r>
            <w:r>
              <w:rPr>
                <w:rFonts w:hint="eastAsia"/>
                <w:iCs/>
                <w:color w:val="000000"/>
                <w:szCs w:val="21"/>
                <w:highlight w:val="none"/>
                <w:lang w:val="en-US" w:eastAsia="zh-CN"/>
              </w:rPr>
              <w:t>新的收入</w:t>
            </w:r>
            <w:r>
              <w:rPr>
                <w:rFonts w:hint="eastAsia"/>
                <w:iCs/>
                <w:color w:val="000000"/>
                <w:szCs w:val="21"/>
                <w:highlight w:val="none"/>
              </w:rPr>
              <w:t>增长曲线，探索高质量可持续发展路径。</w:t>
            </w:r>
            <w:r>
              <w:rPr>
                <w:rFonts w:hint="eastAsia"/>
                <w:iCs/>
                <w:color w:val="000000"/>
                <w:szCs w:val="21"/>
                <w:highlight w:val="none"/>
                <w:lang w:val="en-US" w:eastAsia="zh-CN"/>
              </w:rPr>
              <w:t>合资公司项目建设各项审批手续已完成，现阶段稳步推进生产线设备安装调试。合资公司目前规划生产产品为分散液和3D集流体，两项产品目前处于实验室试制样品向客户送样测试阶段，尚未正式投产。</w:t>
            </w:r>
          </w:p>
          <w:p w14:paraId="0A77D1FC">
            <w:pPr>
              <w:pStyle w:val="9"/>
              <w:widowControl/>
              <w:spacing w:after="0" w:afterLines="0" w:line="360" w:lineRule="auto"/>
              <w:ind w:firstLine="420" w:firstLineChars="200"/>
              <w:rPr>
                <w:rFonts w:hint="default"/>
                <w:iCs/>
                <w:color w:val="000000"/>
                <w:szCs w:val="21"/>
                <w:highlight w:val="none"/>
                <w:lang w:val="en-US" w:eastAsia="zh-CN"/>
              </w:rPr>
            </w:pPr>
          </w:p>
          <w:p w14:paraId="7FD6DA32">
            <w:pPr>
              <w:pStyle w:val="9"/>
              <w:widowControl/>
              <w:spacing w:after="0" w:afterLines="0" w:line="360" w:lineRule="auto"/>
              <w:ind w:firstLine="422" w:firstLineChars="200"/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  <w:t>4、公司从事算力业务的背景以及后续发展规划？</w:t>
            </w:r>
          </w:p>
          <w:p w14:paraId="68ECE810">
            <w:pPr>
              <w:pStyle w:val="9"/>
              <w:widowControl/>
              <w:spacing w:after="0" w:afterLines="0" w:line="360" w:lineRule="auto"/>
              <w:ind w:firstLine="420" w:firstLineChars="200"/>
              <w:rPr>
                <w:rFonts w:hint="eastAsia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  <w:t>答：公司前控股股东、前实控人团队在国内从事云计算、大数据等信息技术创新领域多年，参与公司经营管理后，设立东方超算（深圳）科技有限公司正式布局算力相关业务。后续公司将继续保持算力业务稳定运营，并在此基础上，结合公司资金运作状况和管理能力，积极探索符合公司发展定位、业务闭环确定性强的业务。</w:t>
            </w:r>
          </w:p>
          <w:p w14:paraId="46C79FAF">
            <w:pPr>
              <w:pStyle w:val="9"/>
              <w:widowControl/>
              <w:spacing w:after="0" w:afterLines="0" w:line="360" w:lineRule="auto"/>
              <w:ind w:firstLine="420" w:firstLineChars="200"/>
              <w:rPr>
                <w:rFonts w:hint="default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</w:pPr>
          </w:p>
          <w:p w14:paraId="4AFB72F1">
            <w:pPr>
              <w:pStyle w:val="9"/>
              <w:widowControl/>
              <w:spacing w:after="0" w:afterLines="0" w:line="360" w:lineRule="auto"/>
              <w:ind w:firstLine="422" w:firstLineChars="200"/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  <w:t>公司未来2-3年的发展目标和预期</w:t>
            </w:r>
          </w:p>
          <w:p w14:paraId="701991F8">
            <w:pPr>
              <w:pStyle w:val="9"/>
              <w:widowControl/>
              <w:spacing w:after="0" w:afterLines="0" w:line="360" w:lineRule="auto"/>
              <w:ind w:firstLine="420" w:firstLineChars="200"/>
              <w:rPr>
                <w:rFonts w:hint="eastAsia"/>
                <w:b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iCs/>
                <w:color w:val="000000"/>
                <w:szCs w:val="21"/>
                <w:highlight w:val="none"/>
                <w:lang w:val="en-US" w:eastAsia="zh-CN"/>
              </w:rPr>
              <w:t>答：1、保持精细化工业务的长期稳定发展，关注行业政策导向，拓展延伸新的业务领域；2、保持现有算力业务的稳定运营，积极寻求符合自身能力的业务发展机会；3、积极谋求公司战略转型。</w:t>
            </w:r>
          </w:p>
        </w:tc>
      </w:tr>
      <w:bookmarkEnd w:id="0"/>
      <w:tr w14:paraId="3936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vAlign w:val="center"/>
          </w:tcPr>
          <w:p w14:paraId="70089BFA">
            <w:pPr>
              <w:spacing w:line="240" w:lineRule="auto"/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本次活动</w:t>
            </w:r>
            <w:r>
              <w:rPr>
                <w:rFonts w:hint="eastAsia"/>
                <w:b/>
                <w:bCs w:val="0"/>
                <w:iCs/>
                <w:color w:val="000000"/>
                <w:sz w:val="21"/>
                <w:szCs w:val="21"/>
                <w:highlight w:val="none"/>
              </w:rPr>
              <w:t>是否涉及应当披露重大信息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6CFF5164">
            <w:pPr>
              <w:spacing w:line="360" w:lineRule="auto"/>
              <w:rPr>
                <w:bCs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不涉及</w:t>
            </w:r>
          </w:p>
        </w:tc>
      </w:tr>
      <w:tr w14:paraId="4566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  <w:vAlign w:val="center"/>
          </w:tcPr>
          <w:p w14:paraId="7F732BC1">
            <w:pPr>
              <w:spacing w:line="240" w:lineRule="auto"/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  <w:highlight w:val="none"/>
              </w:rPr>
              <w:t>附件清单（如有）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F672EE0">
            <w:pPr>
              <w:spacing w:line="360" w:lineRule="auto"/>
              <w:rPr>
                <w:rFonts w:hint="eastAsia" w:eastAsia="宋体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</w:tr>
    </w:tbl>
    <w:p w14:paraId="433F7A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trackRevisions w:val="1"/>
  <w:documentProtection w:enforcement="0"/>
  <w:defaultTabStop w:val="24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3OTQyZGRmMTEyNDJkNTBmNjFhOTExZmUyOWY4MjcifQ=="/>
  </w:docVars>
  <w:rsids>
    <w:rsidRoot w:val="00873DB5"/>
    <w:rsid w:val="000042DF"/>
    <w:rsid w:val="00083152"/>
    <w:rsid w:val="00091A7C"/>
    <w:rsid w:val="000E3653"/>
    <w:rsid w:val="000F6E9C"/>
    <w:rsid w:val="00106B88"/>
    <w:rsid w:val="00145C24"/>
    <w:rsid w:val="0015293A"/>
    <w:rsid w:val="001651D3"/>
    <w:rsid w:val="001A21BA"/>
    <w:rsid w:val="001B142E"/>
    <w:rsid w:val="00207750"/>
    <w:rsid w:val="002731C2"/>
    <w:rsid w:val="002B2B02"/>
    <w:rsid w:val="00303DE3"/>
    <w:rsid w:val="0036668E"/>
    <w:rsid w:val="00385686"/>
    <w:rsid w:val="003B1E79"/>
    <w:rsid w:val="003B453A"/>
    <w:rsid w:val="003C34B5"/>
    <w:rsid w:val="0043779B"/>
    <w:rsid w:val="00452967"/>
    <w:rsid w:val="00460170"/>
    <w:rsid w:val="00483033"/>
    <w:rsid w:val="0048740A"/>
    <w:rsid w:val="00595D62"/>
    <w:rsid w:val="00633738"/>
    <w:rsid w:val="006C02D4"/>
    <w:rsid w:val="007208E5"/>
    <w:rsid w:val="007A1991"/>
    <w:rsid w:val="007E6F9B"/>
    <w:rsid w:val="00833D9D"/>
    <w:rsid w:val="00873DB5"/>
    <w:rsid w:val="008B23E7"/>
    <w:rsid w:val="00951C80"/>
    <w:rsid w:val="009710B5"/>
    <w:rsid w:val="009B0C5C"/>
    <w:rsid w:val="00A0391B"/>
    <w:rsid w:val="00A264C0"/>
    <w:rsid w:val="00A57127"/>
    <w:rsid w:val="00A661D3"/>
    <w:rsid w:val="00AC2072"/>
    <w:rsid w:val="00AF5FB8"/>
    <w:rsid w:val="00BA5251"/>
    <w:rsid w:val="00BB3853"/>
    <w:rsid w:val="00BC1A90"/>
    <w:rsid w:val="00BF6139"/>
    <w:rsid w:val="00C07AFF"/>
    <w:rsid w:val="00C44BE1"/>
    <w:rsid w:val="00C62EF3"/>
    <w:rsid w:val="00C71EB2"/>
    <w:rsid w:val="00C87EA2"/>
    <w:rsid w:val="00D93A9B"/>
    <w:rsid w:val="00DD7372"/>
    <w:rsid w:val="00DF172F"/>
    <w:rsid w:val="00E10A32"/>
    <w:rsid w:val="00E30A24"/>
    <w:rsid w:val="00E37667"/>
    <w:rsid w:val="00E435D5"/>
    <w:rsid w:val="00E81A4F"/>
    <w:rsid w:val="00E94182"/>
    <w:rsid w:val="00ED565B"/>
    <w:rsid w:val="00F1727C"/>
    <w:rsid w:val="00F30D93"/>
    <w:rsid w:val="00F541EC"/>
    <w:rsid w:val="00F85A00"/>
    <w:rsid w:val="00FA261A"/>
    <w:rsid w:val="00FB05B6"/>
    <w:rsid w:val="0371400A"/>
    <w:rsid w:val="04905E7D"/>
    <w:rsid w:val="06C9409A"/>
    <w:rsid w:val="06DC2725"/>
    <w:rsid w:val="08C0550B"/>
    <w:rsid w:val="0E056A05"/>
    <w:rsid w:val="13E92E48"/>
    <w:rsid w:val="141334FE"/>
    <w:rsid w:val="14683535"/>
    <w:rsid w:val="172B16DB"/>
    <w:rsid w:val="19E41BC5"/>
    <w:rsid w:val="1BCD1B0E"/>
    <w:rsid w:val="1C530C30"/>
    <w:rsid w:val="1E266DE5"/>
    <w:rsid w:val="1E9C5699"/>
    <w:rsid w:val="206529A6"/>
    <w:rsid w:val="20A663BA"/>
    <w:rsid w:val="21786ED2"/>
    <w:rsid w:val="2B23164B"/>
    <w:rsid w:val="2B6B24FE"/>
    <w:rsid w:val="2E251C60"/>
    <w:rsid w:val="2E514C6D"/>
    <w:rsid w:val="2F1D2A71"/>
    <w:rsid w:val="3150542B"/>
    <w:rsid w:val="324D3F3B"/>
    <w:rsid w:val="350C3926"/>
    <w:rsid w:val="352D6590"/>
    <w:rsid w:val="37592170"/>
    <w:rsid w:val="37764670"/>
    <w:rsid w:val="38015AEE"/>
    <w:rsid w:val="38076BA9"/>
    <w:rsid w:val="391B682D"/>
    <w:rsid w:val="3A304D85"/>
    <w:rsid w:val="3E1E32F5"/>
    <w:rsid w:val="3EE24B60"/>
    <w:rsid w:val="3F646AD8"/>
    <w:rsid w:val="3FCC6AD3"/>
    <w:rsid w:val="3FE6269F"/>
    <w:rsid w:val="3FF7152F"/>
    <w:rsid w:val="4051716A"/>
    <w:rsid w:val="42836AE6"/>
    <w:rsid w:val="43442755"/>
    <w:rsid w:val="481F04B2"/>
    <w:rsid w:val="49CC6C52"/>
    <w:rsid w:val="4E847583"/>
    <w:rsid w:val="4F0C2A48"/>
    <w:rsid w:val="4FF91852"/>
    <w:rsid w:val="52D3762C"/>
    <w:rsid w:val="554D3B31"/>
    <w:rsid w:val="58E12EC1"/>
    <w:rsid w:val="5A9F7DDF"/>
    <w:rsid w:val="5F13572D"/>
    <w:rsid w:val="5F1B40AA"/>
    <w:rsid w:val="631167A4"/>
    <w:rsid w:val="67912175"/>
    <w:rsid w:val="68B006AB"/>
    <w:rsid w:val="68EA1358"/>
    <w:rsid w:val="6A4F73FA"/>
    <w:rsid w:val="6A9E4CDF"/>
    <w:rsid w:val="6E6303B7"/>
    <w:rsid w:val="6EA2262A"/>
    <w:rsid w:val="731574A9"/>
    <w:rsid w:val="78AA6CAB"/>
    <w:rsid w:val="7B1228E5"/>
    <w:rsid w:val="7E7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3</Pages>
  <Words>1223</Words>
  <Characters>1273</Characters>
  <Lines>14</Lines>
  <Paragraphs>4</Paragraphs>
  <TotalTime>38</TotalTime>
  <ScaleCrop>false</ScaleCrop>
  <LinksUpToDate>false</LinksUpToDate>
  <CharactersWithSpaces>1398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2021-09-06T04:37:00Z</dcterms:created>
  <dc:creator>Luo</dc:creator>
  <cp:lastModifiedBy>YSY</cp:lastModifiedBy>
  <dcterms:modified xsi:type="dcterms:W3CDTF">2026-06-12T08:40:36Z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B218871566BD4D1190E79D23D47E18B5</vt:lpwstr>
  </property>
  <property fmtid="{D5CDD505-2E9C-101B-9397-08002B2CF9AE}" pid="4" name="KSOTemplateDocerSaveRecord">
    <vt:lpwstr>eyJoZGlkIjoiNzUwYTdlNmZiYzYzYjNhODQxZWRiNDYwYjJlM2VhNjgiLCJ1c2VySWQiOiI0MzU2ODc0NjUifQ==</vt:lpwstr>
  </property>
</Properties>
</file>