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FBEC8" w14:textId="77777777" w:rsidR="003C03C0" w:rsidRDefault="00014677">
      <w:pPr>
        <w:jc w:val="center"/>
        <w:rPr>
          <w:rFonts w:ascii="宋体" w:hAnsi="宋体"/>
          <w:sz w:val="24"/>
          <w:szCs w:val="24"/>
        </w:rPr>
      </w:pPr>
      <w:r>
        <w:rPr>
          <w:rFonts w:ascii="宋体" w:hAnsi="宋体" w:hint="eastAsia"/>
          <w:sz w:val="24"/>
          <w:szCs w:val="24"/>
        </w:rPr>
        <w:t>证券代码：</w:t>
      </w:r>
      <w:r>
        <w:rPr>
          <w:rFonts w:ascii="宋体" w:hAnsi="宋体"/>
          <w:sz w:val="24"/>
          <w:szCs w:val="24"/>
        </w:rPr>
        <w:t>600792</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proofErr w:type="gramStart"/>
      <w:r>
        <w:rPr>
          <w:rFonts w:ascii="宋体" w:hAnsi="宋体"/>
          <w:sz w:val="24"/>
          <w:szCs w:val="24"/>
        </w:rPr>
        <w:t>云煤能源</w:t>
      </w:r>
      <w:proofErr w:type="gramEnd"/>
    </w:p>
    <w:p w14:paraId="24113782" w14:textId="77777777" w:rsidR="003C03C0" w:rsidRDefault="00014677">
      <w:pPr>
        <w:jc w:val="center"/>
        <w:rPr>
          <w:rFonts w:ascii="黑体" w:eastAsia="黑体" w:hAnsi="黑体"/>
          <w:sz w:val="36"/>
          <w:szCs w:val="36"/>
        </w:rPr>
      </w:pPr>
      <w:r>
        <w:rPr>
          <w:rFonts w:ascii="黑体" w:eastAsia="黑体" w:hAnsi="黑体" w:hint="eastAsia"/>
          <w:sz w:val="36"/>
          <w:szCs w:val="36"/>
        </w:rPr>
        <w:t>云南煤业能源股份有限公司</w:t>
      </w:r>
    </w:p>
    <w:p w14:paraId="3B8BA77D" w14:textId="77777777" w:rsidR="003C03C0" w:rsidRDefault="00014677">
      <w:pPr>
        <w:jc w:val="center"/>
        <w:rPr>
          <w:rFonts w:ascii="黑体" w:eastAsia="黑体" w:hAnsi="黑体"/>
          <w:sz w:val="36"/>
          <w:szCs w:val="36"/>
        </w:rPr>
      </w:pPr>
      <w:bookmarkStart w:id="0" w:name="OLE_LINK2"/>
      <w:bookmarkStart w:id="1" w:name="OLE_LINK1"/>
      <w:r>
        <w:rPr>
          <w:rFonts w:ascii="黑体" w:eastAsia="黑体" w:hAnsi="黑体" w:hint="eastAsia"/>
          <w:sz w:val="36"/>
          <w:szCs w:val="36"/>
        </w:rPr>
        <w:t>机构投资者调研活动记录表</w:t>
      </w:r>
    </w:p>
    <w:bookmarkEnd w:id="0"/>
    <w:bookmarkEnd w:id="1"/>
    <w:p w14:paraId="0C0BF2AB" w14:textId="77777777" w:rsidR="003C03C0" w:rsidRDefault="003C03C0">
      <w:pPr>
        <w:jc w:val="center"/>
        <w:rPr>
          <w:rFonts w:ascii="黑体" w:eastAsia="黑体" w:hAnsi="黑体"/>
          <w:sz w:val="24"/>
          <w:szCs w:val="24"/>
        </w:rPr>
      </w:pPr>
    </w:p>
    <w:p w14:paraId="2FBB4748" w14:textId="77777777" w:rsidR="003C03C0" w:rsidRDefault="00014677">
      <w:pPr>
        <w:ind w:right="720"/>
        <w:jc w:val="right"/>
        <w:rPr>
          <w:rFonts w:ascii="宋体" w:hAnsi="宋体"/>
          <w:sz w:val="24"/>
          <w:szCs w:val="24"/>
        </w:rPr>
      </w:pPr>
      <w:r>
        <w:rPr>
          <w:rFonts w:ascii="宋体" w:hAnsi="宋体" w:hint="eastAsia"/>
          <w:sz w:val="24"/>
          <w:szCs w:val="24"/>
        </w:rPr>
        <w:t>编号：（</w:t>
      </w:r>
      <w:r>
        <w:rPr>
          <w:rFonts w:ascii="宋体" w:hAnsi="宋体" w:hint="eastAsia"/>
          <w:sz w:val="24"/>
          <w:szCs w:val="24"/>
        </w:rPr>
        <w:t>2026-03</w:t>
      </w:r>
      <w:r>
        <w:rPr>
          <w:rFonts w:ascii="宋体" w:hAnsi="宋体" w:hint="eastAsia"/>
          <w:sz w:val="24"/>
          <w:szCs w:val="24"/>
        </w:rPr>
        <w:t>）</w:t>
      </w:r>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7561"/>
      </w:tblGrid>
      <w:tr w:rsidR="003C03C0" w14:paraId="0A64026D" w14:textId="77777777">
        <w:trPr>
          <w:trHeight w:val="838"/>
          <w:jc w:val="center"/>
        </w:trPr>
        <w:tc>
          <w:tcPr>
            <w:tcW w:w="1524" w:type="dxa"/>
            <w:shd w:val="clear" w:color="auto" w:fill="auto"/>
            <w:vAlign w:val="center"/>
          </w:tcPr>
          <w:p w14:paraId="35C4B7C3" w14:textId="77777777" w:rsidR="003C03C0" w:rsidRDefault="00014677">
            <w:pPr>
              <w:spacing w:line="400" w:lineRule="exact"/>
              <w:jc w:val="center"/>
              <w:rPr>
                <w:rFonts w:ascii="宋体" w:hAnsi="宋体"/>
                <w:b/>
                <w:szCs w:val="24"/>
              </w:rPr>
            </w:pPr>
            <w:r>
              <w:rPr>
                <w:rFonts w:ascii="宋体" w:hAnsi="宋体" w:hint="eastAsia"/>
                <w:b/>
                <w:szCs w:val="24"/>
              </w:rPr>
              <w:t>投资者关系活动类别</w:t>
            </w:r>
          </w:p>
        </w:tc>
        <w:tc>
          <w:tcPr>
            <w:tcW w:w="7561" w:type="dxa"/>
            <w:shd w:val="clear" w:color="auto" w:fill="auto"/>
            <w:vAlign w:val="center"/>
          </w:tcPr>
          <w:p w14:paraId="436924F2" w14:textId="77777777" w:rsidR="003C03C0" w:rsidRDefault="00014677">
            <w:pPr>
              <w:spacing w:line="400" w:lineRule="exact"/>
              <w:jc w:val="left"/>
              <w:rPr>
                <w:rFonts w:ascii="宋体" w:hAnsi="宋体"/>
                <w:szCs w:val="24"/>
              </w:rPr>
            </w:pPr>
            <w:r>
              <w:rPr>
                <w:rFonts w:ascii="宋体" w:hAnsi="宋体" w:cs="宋体" w:hint="eastAsia"/>
                <w:szCs w:val="24"/>
              </w:rPr>
              <w:t>特定对象调研</w:t>
            </w:r>
          </w:p>
        </w:tc>
      </w:tr>
      <w:tr w:rsidR="003C03C0" w14:paraId="510BA7D0" w14:textId="77777777">
        <w:trPr>
          <w:trHeight w:val="529"/>
          <w:jc w:val="center"/>
        </w:trPr>
        <w:tc>
          <w:tcPr>
            <w:tcW w:w="1524" w:type="dxa"/>
            <w:shd w:val="clear" w:color="auto" w:fill="auto"/>
            <w:vAlign w:val="center"/>
          </w:tcPr>
          <w:p w14:paraId="5F6C545F" w14:textId="77777777" w:rsidR="003C03C0" w:rsidRDefault="00014677">
            <w:pPr>
              <w:spacing w:line="400" w:lineRule="exact"/>
              <w:jc w:val="center"/>
              <w:rPr>
                <w:rFonts w:ascii="宋体" w:hAnsi="宋体"/>
                <w:b/>
                <w:szCs w:val="24"/>
              </w:rPr>
            </w:pPr>
            <w:r>
              <w:rPr>
                <w:rFonts w:ascii="宋体" w:hAnsi="宋体" w:hint="eastAsia"/>
                <w:b/>
                <w:szCs w:val="24"/>
              </w:rPr>
              <w:t>调研机构</w:t>
            </w:r>
          </w:p>
        </w:tc>
        <w:tc>
          <w:tcPr>
            <w:tcW w:w="7561" w:type="dxa"/>
            <w:shd w:val="clear" w:color="auto" w:fill="auto"/>
            <w:vAlign w:val="center"/>
          </w:tcPr>
          <w:p w14:paraId="43B31AF4" w14:textId="77777777" w:rsidR="003C03C0" w:rsidRDefault="00014677">
            <w:pPr>
              <w:spacing w:line="400" w:lineRule="exact"/>
              <w:jc w:val="left"/>
              <w:rPr>
                <w:rFonts w:ascii="宋体" w:hAnsi="宋体" w:cs="宋体"/>
                <w:bCs/>
                <w:iCs/>
                <w:szCs w:val="24"/>
              </w:rPr>
            </w:pPr>
            <w:r>
              <w:rPr>
                <w:rFonts w:ascii="宋体" w:hAnsi="宋体" w:cs="宋体" w:hint="eastAsia"/>
                <w:bCs/>
                <w:iCs/>
                <w:szCs w:val="24"/>
              </w:rPr>
              <w:t>中信证券</w:t>
            </w:r>
            <w:r>
              <w:rPr>
                <w:rFonts w:ascii="宋体" w:hAnsi="宋体" w:cs="宋体" w:hint="eastAsia"/>
                <w:bCs/>
                <w:iCs/>
                <w:szCs w:val="24"/>
              </w:rPr>
              <w:t xml:space="preserve">  </w:t>
            </w:r>
            <w:r>
              <w:rPr>
                <w:rFonts w:ascii="宋体" w:hAnsi="宋体" w:cs="宋体" w:hint="eastAsia"/>
                <w:bCs/>
                <w:iCs/>
                <w:szCs w:val="24"/>
              </w:rPr>
              <w:t>保宁资本</w:t>
            </w:r>
          </w:p>
        </w:tc>
      </w:tr>
      <w:tr w:rsidR="003C03C0" w14:paraId="15C5A764" w14:textId="77777777">
        <w:trPr>
          <w:trHeight w:val="550"/>
          <w:jc w:val="center"/>
        </w:trPr>
        <w:tc>
          <w:tcPr>
            <w:tcW w:w="1524" w:type="dxa"/>
            <w:shd w:val="clear" w:color="auto" w:fill="auto"/>
            <w:vAlign w:val="center"/>
          </w:tcPr>
          <w:p w14:paraId="2C077F16" w14:textId="77777777" w:rsidR="003C03C0" w:rsidRDefault="00014677">
            <w:pPr>
              <w:spacing w:line="400" w:lineRule="exact"/>
              <w:jc w:val="center"/>
              <w:rPr>
                <w:rFonts w:ascii="宋体" w:hAnsi="宋体"/>
                <w:b/>
                <w:szCs w:val="24"/>
              </w:rPr>
            </w:pPr>
            <w:r>
              <w:rPr>
                <w:rFonts w:ascii="宋体" w:hAnsi="宋体" w:hint="eastAsia"/>
                <w:b/>
                <w:szCs w:val="24"/>
              </w:rPr>
              <w:t>调研时间</w:t>
            </w:r>
          </w:p>
        </w:tc>
        <w:tc>
          <w:tcPr>
            <w:tcW w:w="7561" w:type="dxa"/>
            <w:shd w:val="clear" w:color="auto" w:fill="auto"/>
            <w:vAlign w:val="center"/>
          </w:tcPr>
          <w:p w14:paraId="217842E0" w14:textId="77777777" w:rsidR="003C03C0" w:rsidRDefault="00014677">
            <w:pPr>
              <w:spacing w:line="400" w:lineRule="exact"/>
              <w:jc w:val="left"/>
              <w:rPr>
                <w:rFonts w:ascii="宋体" w:hAnsi="宋体"/>
                <w:szCs w:val="24"/>
              </w:rPr>
            </w:pPr>
            <w:r>
              <w:rPr>
                <w:rFonts w:ascii="宋体" w:hAnsi="宋体" w:cs="宋体" w:hint="eastAsia"/>
                <w:bCs/>
                <w:iCs/>
                <w:color w:val="000000"/>
                <w:szCs w:val="24"/>
              </w:rPr>
              <w:t>2026</w:t>
            </w:r>
            <w:r>
              <w:rPr>
                <w:rFonts w:ascii="宋体" w:hAnsi="宋体" w:cs="宋体" w:hint="eastAsia"/>
                <w:bCs/>
                <w:iCs/>
                <w:color w:val="000000"/>
                <w:szCs w:val="24"/>
              </w:rPr>
              <w:t>年</w:t>
            </w:r>
            <w:r>
              <w:rPr>
                <w:rFonts w:ascii="宋体" w:hAnsi="宋体" w:cs="宋体" w:hint="eastAsia"/>
                <w:bCs/>
                <w:iCs/>
                <w:color w:val="000000"/>
                <w:szCs w:val="24"/>
              </w:rPr>
              <w:t>6</w:t>
            </w:r>
            <w:r>
              <w:rPr>
                <w:rFonts w:ascii="宋体" w:hAnsi="宋体" w:cs="宋体" w:hint="eastAsia"/>
                <w:bCs/>
                <w:iCs/>
                <w:color w:val="000000"/>
                <w:szCs w:val="24"/>
              </w:rPr>
              <w:t>月</w:t>
            </w:r>
            <w:r>
              <w:rPr>
                <w:rFonts w:ascii="宋体" w:hAnsi="宋体" w:cs="宋体" w:hint="eastAsia"/>
                <w:bCs/>
                <w:iCs/>
                <w:color w:val="000000"/>
                <w:szCs w:val="24"/>
              </w:rPr>
              <w:t>11</w:t>
            </w:r>
            <w:r>
              <w:rPr>
                <w:rFonts w:ascii="宋体" w:hAnsi="宋体" w:cs="宋体" w:hint="eastAsia"/>
                <w:bCs/>
                <w:iCs/>
                <w:color w:val="000000"/>
                <w:szCs w:val="24"/>
              </w:rPr>
              <w:t>日</w:t>
            </w:r>
          </w:p>
        </w:tc>
      </w:tr>
      <w:tr w:rsidR="003C03C0" w14:paraId="2B3CFD15" w14:textId="77777777">
        <w:trPr>
          <w:trHeight w:val="566"/>
          <w:jc w:val="center"/>
        </w:trPr>
        <w:tc>
          <w:tcPr>
            <w:tcW w:w="1524" w:type="dxa"/>
            <w:shd w:val="clear" w:color="auto" w:fill="auto"/>
            <w:vAlign w:val="center"/>
          </w:tcPr>
          <w:p w14:paraId="6DDC305B" w14:textId="77777777" w:rsidR="003C03C0" w:rsidRDefault="00014677">
            <w:pPr>
              <w:spacing w:line="400" w:lineRule="exact"/>
              <w:jc w:val="center"/>
              <w:rPr>
                <w:rFonts w:ascii="宋体" w:hAnsi="宋体"/>
                <w:b/>
                <w:szCs w:val="24"/>
              </w:rPr>
            </w:pPr>
            <w:r>
              <w:rPr>
                <w:rFonts w:ascii="宋体" w:hAnsi="宋体" w:hint="eastAsia"/>
                <w:b/>
                <w:szCs w:val="24"/>
              </w:rPr>
              <w:t>调研地点</w:t>
            </w:r>
          </w:p>
        </w:tc>
        <w:tc>
          <w:tcPr>
            <w:tcW w:w="7561" w:type="dxa"/>
            <w:shd w:val="clear" w:color="auto" w:fill="auto"/>
            <w:vAlign w:val="center"/>
          </w:tcPr>
          <w:p w14:paraId="673774B5" w14:textId="77777777" w:rsidR="003C03C0" w:rsidRDefault="00014677">
            <w:pPr>
              <w:spacing w:line="400" w:lineRule="exact"/>
              <w:jc w:val="left"/>
              <w:rPr>
                <w:rFonts w:ascii="宋体" w:hAnsi="宋体"/>
                <w:szCs w:val="24"/>
              </w:rPr>
            </w:pPr>
            <w:r>
              <w:rPr>
                <w:rFonts w:ascii="宋体" w:hAnsi="宋体"/>
                <w:bCs/>
                <w:szCs w:val="24"/>
              </w:rPr>
              <w:t>云南省昆明市</w:t>
            </w:r>
            <w:proofErr w:type="gramStart"/>
            <w:r>
              <w:rPr>
                <w:rFonts w:ascii="宋体" w:hAnsi="宋体"/>
                <w:bCs/>
                <w:szCs w:val="24"/>
              </w:rPr>
              <w:t>安宁市草铺</w:t>
            </w:r>
            <w:proofErr w:type="gramEnd"/>
            <w:r>
              <w:rPr>
                <w:rFonts w:ascii="宋体" w:hAnsi="宋体"/>
                <w:bCs/>
                <w:szCs w:val="24"/>
              </w:rPr>
              <w:t>镇安宁产业园区</w:t>
            </w:r>
            <w:r>
              <w:rPr>
                <w:rFonts w:ascii="宋体" w:hAnsi="宋体" w:hint="eastAsia"/>
                <w:bCs/>
                <w:szCs w:val="24"/>
              </w:rPr>
              <w:t>云南煤业能源股份有限公司</w:t>
            </w:r>
          </w:p>
        </w:tc>
      </w:tr>
      <w:tr w:rsidR="003C03C0" w14:paraId="1442519C" w14:textId="77777777">
        <w:trPr>
          <w:trHeight w:val="838"/>
          <w:jc w:val="center"/>
        </w:trPr>
        <w:tc>
          <w:tcPr>
            <w:tcW w:w="1524" w:type="dxa"/>
            <w:shd w:val="clear" w:color="auto" w:fill="auto"/>
            <w:vAlign w:val="center"/>
          </w:tcPr>
          <w:p w14:paraId="552A1B65" w14:textId="77777777" w:rsidR="003C03C0" w:rsidRDefault="00014677">
            <w:pPr>
              <w:spacing w:line="400" w:lineRule="exact"/>
              <w:jc w:val="center"/>
              <w:rPr>
                <w:rFonts w:ascii="宋体" w:hAnsi="宋体"/>
                <w:b/>
                <w:szCs w:val="24"/>
              </w:rPr>
            </w:pPr>
            <w:r>
              <w:rPr>
                <w:rFonts w:ascii="宋体" w:hAnsi="宋体" w:hint="eastAsia"/>
                <w:b/>
                <w:szCs w:val="24"/>
              </w:rPr>
              <w:t>公司接待</w:t>
            </w:r>
          </w:p>
          <w:p w14:paraId="21B92DB8" w14:textId="77777777" w:rsidR="003C03C0" w:rsidRDefault="00014677">
            <w:pPr>
              <w:spacing w:line="400" w:lineRule="exact"/>
              <w:jc w:val="center"/>
              <w:rPr>
                <w:rFonts w:ascii="宋体" w:hAnsi="宋体"/>
                <w:b/>
                <w:szCs w:val="24"/>
              </w:rPr>
            </w:pPr>
            <w:r>
              <w:rPr>
                <w:rFonts w:ascii="宋体" w:hAnsi="宋体" w:hint="eastAsia"/>
                <w:b/>
                <w:szCs w:val="24"/>
              </w:rPr>
              <w:t>人员</w:t>
            </w:r>
          </w:p>
        </w:tc>
        <w:tc>
          <w:tcPr>
            <w:tcW w:w="7561" w:type="dxa"/>
            <w:shd w:val="clear" w:color="auto" w:fill="auto"/>
            <w:vAlign w:val="center"/>
          </w:tcPr>
          <w:p w14:paraId="13EED732" w14:textId="77777777" w:rsidR="003C03C0" w:rsidRDefault="00014677">
            <w:pPr>
              <w:spacing w:line="400" w:lineRule="exact"/>
              <w:jc w:val="left"/>
              <w:rPr>
                <w:rFonts w:ascii="宋体" w:hAnsi="宋体" w:cs="宋体"/>
                <w:szCs w:val="24"/>
              </w:rPr>
            </w:pPr>
            <w:r>
              <w:rPr>
                <w:rFonts w:ascii="宋体" w:hAnsi="宋体" w:cs="宋体" w:hint="eastAsia"/>
                <w:szCs w:val="24"/>
              </w:rPr>
              <w:t>董事会秘书、财务总监</w:t>
            </w:r>
            <w:proofErr w:type="gramStart"/>
            <w:r>
              <w:rPr>
                <w:rFonts w:ascii="宋体" w:hAnsi="宋体" w:cs="宋体" w:hint="eastAsia"/>
                <w:szCs w:val="24"/>
              </w:rPr>
              <w:t>戚昆琼</w:t>
            </w:r>
            <w:proofErr w:type="gramEnd"/>
            <w:r>
              <w:rPr>
                <w:rFonts w:ascii="宋体" w:hAnsi="宋体" w:cs="宋体" w:hint="eastAsia"/>
                <w:szCs w:val="24"/>
              </w:rPr>
              <w:t>，证券事务代表陈琼，办公室（</w:t>
            </w:r>
            <w:r>
              <w:rPr>
                <w:rFonts w:ascii="宋体" w:hAnsi="宋体" w:cs="宋体"/>
                <w:szCs w:val="24"/>
              </w:rPr>
              <w:t>证券法</w:t>
            </w:r>
            <w:proofErr w:type="gramStart"/>
            <w:r>
              <w:rPr>
                <w:rFonts w:ascii="宋体" w:hAnsi="宋体" w:cs="宋体"/>
                <w:szCs w:val="24"/>
              </w:rPr>
              <w:t>务</w:t>
            </w:r>
            <w:proofErr w:type="gramEnd"/>
            <w:r>
              <w:rPr>
                <w:rFonts w:ascii="宋体" w:hAnsi="宋体" w:cs="宋体"/>
                <w:szCs w:val="24"/>
              </w:rPr>
              <w:t>部、董事会办公室）</w:t>
            </w:r>
            <w:r>
              <w:rPr>
                <w:rFonts w:ascii="宋体" w:hAnsi="宋体" w:cs="宋体" w:hint="eastAsia"/>
                <w:szCs w:val="24"/>
              </w:rPr>
              <w:t>及资产财务部</w:t>
            </w:r>
            <w:r>
              <w:rPr>
                <w:rFonts w:ascii="宋体" w:hAnsi="宋体" w:cs="宋体"/>
                <w:szCs w:val="24"/>
              </w:rPr>
              <w:t>相关人员</w:t>
            </w:r>
          </w:p>
        </w:tc>
      </w:tr>
      <w:tr w:rsidR="003C03C0" w14:paraId="4C77501D" w14:textId="77777777">
        <w:trPr>
          <w:trHeight w:val="557"/>
          <w:jc w:val="center"/>
        </w:trPr>
        <w:tc>
          <w:tcPr>
            <w:tcW w:w="1524" w:type="dxa"/>
            <w:shd w:val="clear" w:color="auto" w:fill="auto"/>
            <w:vAlign w:val="center"/>
          </w:tcPr>
          <w:p w14:paraId="6BA411D8" w14:textId="77777777" w:rsidR="003C03C0" w:rsidRDefault="00014677">
            <w:pPr>
              <w:spacing w:line="400" w:lineRule="exact"/>
              <w:jc w:val="center"/>
              <w:rPr>
                <w:rFonts w:ascii="宋体" w:hAnsi="宋体"/>
                <w:b/>
                <w:szCs w:val="24"/>
              </w:rPr>
            </w:pPr>
            <w:r>
              <w:rPr>
                <w:rFonts w:ascii="宋体" w:hAnsi="宋体" w:hint="eastAsia"/>
                <w:b/>
                <w:szCs w:val="24"/>
              </w:rPr>
              <w:t>投资者关系活动主要内容介绍</w:t>
            </w:r>
          </w:p>
        </w:tc>
        <w:tc>
          <w:tcPr>
            <w:tcW w:w="7561" w:type="dxa"/>
            <w:shd w:val="clear" w:color="auto" w:fill="auto"/>
            <w:vAlign w:val="center"/>
          </w:tcPr>
          <w:p w14:paraId="15192E87" w14:textId="77777777" w:rsidR="003C03C0" w:rsidRDefault="00014677">
            <w:pPr>
              <w:spacing w:line="420" w:lineRule="exact"/>
              <w:ind w:firstLine="480"/>
              <w:rPr>
                <w:rFonts w:ascii="宋体" w:hAnsi="宋体"/>
                <w:bCs/>
                <w:szCs w:val="24"/>
              </w:rPr>
            </w:pPr>
            <w:r>
              <w:rPr>
                <w:rFonts w:ascii="宋体" w:hAnsi="宋体" w:hint="eastAsia"/>
                <w:b/>
                <w:bCs/>
                <w:szCs w:val="24"/>
              </w:rPr>
              <w:t>一、公司下属子公司师宗焦化</w:t>
            </w:r>
            <w:r>
              <w:rPr>
                <w:rFonts w:ascii="宋体" w:hAnsi="宋体" w:hint="eastAsia"/>
                <w:b/>
                <w:bCs/>
                <w:szCs w:val="24"/>
              </w:rPr>
              <w:t>2</w:t>
            </w:r>
            <w:r>
              <w:rPr>
                <w:rFonts w:ascii="宋体" w:hAnsi="宋体" w:hint="eastAsia"/>
                <w:b/>
                <w:bCs/>
                <w:szCs w:val="24"/>
                <w:vertAlign w:val="superscript"/>
              </w:rPr>
              <w:t>#</w:t>
            </w:r>
            <w:r>
              <w:rPr>
                <w:rFonts w:ascii="宋体" w:hAnsi="宋体" w:hint="eastAsia"/>
                <w:b/>
                <w:bCs/>
                <w:szCs w:val="24"/>
              </w:rPr>
              <w:t>焦炉经济性停炉后，焦炭产量的变化对当地区域价格是否有影响？</w:t>
            </w:r>
          </w:p>
          <w:p w14:paraId="750776AC" w14:textId="77777777" w:rsidR="003C03C0" w:rsidRDefault="00014677">
            <w:pPr>
              <w:spacing w:line="420" w:lineRule="exact"/>
              <w:ind w:firstLine="480"/>
              <w:rPr>
                <w:rFonts w:ascii="宋体" w:hAnsi="宋体"/>
                <w:bCs/>
                <w:szCs w:val="24"/>
              </w:rPr>
            </w:pPr>
            <w:r>
              <w:rPr>
                <w:rFonts w:ascii="宋体" w:hAnsi="宋体"/>
                <w:bCs/>
                <w:szCs w:val="24"/>
              </w:rPr>
              <w:t>答：公司全资子公司</w:t>
            </w:r>
            <w:r>
              <w:rPr>
                <w:rFonts w:ascii="宋体" w:hAnsi="宋体" w:hint="eastAsia"/>
                <w:bCs/>
                <w:szCs w:val="24"/>
              </w:rPr>
              <w:t>师宗焦化</w:t>
            </w:r>
            <w:r>
              <w:rPr>
                <w:rFonts w:ascii="宋体" w:hAnsi="宋体" w:hint="eastAsia"/>
                <w:bCs/>
                <w:szCs w:val="24"/>
              </w:rPr>
              <w:t>2</w:t>
            </w:r>
            <w:r>
              <w:rPr>
                <w:rFonts w:ascii="宋体" w:hAnsi="宋体" w:hint="eastAsia"/>
                <w:bCs/>
                <w:szCs w:val="24"/>
                <w:vertAlign w:val="superscript"/>
              </w:rPr>
              <w:t>#</w:t>
            </w:r>
            <w:r>
              <w:rPr>
                <w:rFonts w:ascii="宋体" w:hAnsi="宋体" w:hint="eastAsia"/>
                <w:bCs/>
                <w:szCs w:val="24"/>
              </w:rPr>
              <w:t>焦炉经济性停炉符合行业周期调整，有助于减少师宗焦化亏损，缓解公司的整体经营压力。师宗焦化产量在当地占比不高，对区域焦炭价格影响不大。</w:t>
            </w:r>
          </w:p>
          <w:p w14:paraId="3A60A97C" w14:textId="77777777" w:rsidR="003C03C0" w:rsidRDefault="00014677">
            <w:pPr>
              <w:spacing w:line="420" w:lineRule="exact"/>
              <w:ind w:firstLine="480"/>
              <w:rPr>
                <w:rFonts w:ascii="宋体" w:hAnsi="宋体"/>
                <w:b/>
                <w:bCs/>
                <w:szCs w:val="24"/>
              </w:rPr>
            </w:pPr>
            <w:r>
              <w:rPr>
                <w:rFonts w:ascii="宋体" w:hAnsi="宋体" w:hint="eastAsia"/>
                <w:b/>
                <w:bCs/>
                <w:szCs w:val="24"/>
              </w:rPr>
              <w:t>二、目前公司整体焦化产能情况如何？公司</w:t>
            </w:r>
            <w:r>
              <w:rPr>
                <w:rFonts w:ascii="宋体" w:hAnsi="宋体" w:hint="eastAsia"/>
                <w:b/>
                <w:bCs/>
                <w:szCs w:val="24"/>
              </w:rPr>
              <w:t>200</w:t>
            </w:r>
            <w:r>
              <w:rPr>
                <w:rFonts w:ascii="宋体" w:hAnsi="宋体" w:hint="eastAsia"/>
                <w:b/>
                <w:bCs/>
                <w:szCs w:val="24"/>
              </w:rPr>
              <w:t>万吨焦化项目较师宗焦化存在哪些优势？</w:t>
            </w:r>
          </w:p>
          <w:p w14:paraId="1E7224F3" w14:textId="77777777" w:rsidR="003C03C0" w:rsidRDefault="00014677">
            <w:pPr>
              <w:spacing w:line="420" w:lineRule="exact"/>
              <w:ind w:firstLine="480"/>
              <w:rPr>
                <w:rFonts w:ascii="宋体" w:hAnsi="宋体"/>
                <w:szCs w:val="24"/>
              </w:rPr>
            </w:pPr>
            <w:r>
              <w:rPr>
                <w:rFonts w:ascii="宋体" w:hAnsi="宋体"/>
                <w:bCs/>
                <w:szCs w:val="24"/>
              </w:rPr>
              <w:t>答</w:t>
            </w:r>
            <w:r>
              <w:rPr>
                <w:rFonts w:ascii="宋体" w:hAnsi="宋体"/>
                <w:szCs w:val="24"/>
              </w:rPr>
              <w:t>：目前</w:t>
            </w:r>
            <w:r>
              <w:rPr>
                <w:rFonts w:ascii="宋体" w:hAnsi="宋体" w:hint="eastAsia"/>
                <w:bCs/>
                <w:szCs w:val="24"/>
              </w:rPr>
              <w:t>公司产能</w:t>
            </w:r>
            <w:r>
              <w:rPr>
                <w:rFonts w:ascii="宋体" w:hAnsi="宋体" w:hint="eastAsia"/>
                <w:szCs w:val="24"/>
              </w:rPr>
              <w:t>未发生变化，</w:t>
            </w:r>
            <w:r>
              <w:rPr>
                <w:rFonts w:ascii="宋体" w:hAnsi="宋体"/>
                <w:szCs w:val="24"/>
              </w:rPr>
              <w:t>公司和</w:t>
            </w:r>
            <w:r>
              <w:rPr>
                <w:rFonts w:ascii="宋体" w:hAnsi="宋体" w:hint="eastAsia"/>
                <w:szCs w:val="24"/>
              </w:rPr>
              <w:t>师宗焦化的焦化产能共计</w:t>
            </w:r>
            <w:r>
              <w:rPr>
                <w:rFonts w:ascii="宋体" w:hAnsi="宋体" w:hint="eastAsia"/>
                <w:szCs w:val="24"/>
              </w:rPr>
              <w:t>298</w:t>
            </w:r>
            <w:r>
              <w:rPr>
                <w:rFonts w:ascii="宋体" w:hAnsi="宋体" w:hint="eastAsia"/>
                <w:szCs w:val="24"/>
              </w:rPr>
              <w:t>万吨</w:t>
            </w:r>
            <w:r>
              <w:rPr>
                <w:rFonts w:ascii="宋体" w:hAnsi="宋体" w:hint="eastAsia"/>
                <w:szCs w:val="24"/>
              </w:rPr>
              <w:t>/</w:t>
            </w:r>
            <w:r>
              <w:rPr>
                <w:rFonts w:ascii="宋体" w:hAnsi="宋体" w:hint="eastAsia"/>
                <w:szCs w:val="24"/>
              </w:rPr>
              <w:t>年（公司产能</w:t>
            </w:r>
            <w:r>
              <w:rPr>
                <w:rFonts w:ascii="宋体" w:hAnsi="宋体" w:hint="eastAsia"/>
                <w:szCs w:val="24"/>
              </w:rPr>
              <w:t>200</w:t>
            </w:r>
            <w:r>
              <w:rPr>
                <w:rFonts w:ascii="宋体" w:hAnsi="宋体" w:hint="eastAsia"/>
                <w:szCs w:val="24"/>
              </w:rPr>
              <w:t>万吨</w:t>
            </w:r>
            <w:r>
              <w:rPr>
                <w:rFonts w:ascii="宋体" w:hAnsi="宋体" w:hint="eastAsia"/>
                <w:szCs w:val="24"/>
              </w:rPr>
              <w:t>/</w:t>
            </w:r>
            <w:r>
              <w:rPr>
                <w:rFonts w:ascii="宋体" w:hAnsi="宋体" w:hint="eastAsia"/>
                <w:szCs w:val="24"/>
              </w:rPr>
              <w:t>年、师宗焦化产能</w:t>
            </w:r>
            <w:r>
              <w:rPr>
                <w:rFonts w:ascii="宋体" w:hAnsi="宋体" w:hint="eastAsia"/>
                <w:szCs w:val="24"/>
              </w:rPr>
              <w:t>98</w:t>
            </w:r>
            <w:r>
              <w:rPr>
                <w:rFonts w:ascii="宋体" w:hAnsi="宋体" w:hint="eastAsia"/>
                <w:szCs w:val="24"/>
              </w:rPr>
              <w:t>万吨</w:t>
            </w:r>
            <w:r>
              <w:rPr>
                <w:rFonts w:ascii="宋体" w:hAnsi="宋体" w:hint="eastAsia"/>
                <w:szCs w:val="24"/>
              </w:rPr>
              <w:t>/</w:t>
            </w:r>
            <w:r>
              <w:rPr>
                <w:rFonts w:ascii="宋体" w:hAnsi="宋体" w:hint="eastAsia"/>
                <w:szCs w:val="24"/>
              </w:rPr>
              <w:t>年）。</w:t>
            </w:r>
          </w:p>
          <w:p w14:paraId="2952BD69" w14:textId="0B9FB77E" w:rsidR="003C03C0" w:rsidRDefault="00014677">
            <w:pPr>
              <w:spacing w:line="420" w:lineRule="exact"/>
              <w:ind w:firstLine="480"/>
              <w:rPr>
                <w:rFonts w:ascii="宋体" w:hAnsi="宋体"/>
                <w:szCs w:val="24"/>
              </w:rPr>
            </w:pPr>
            <w:r>
              <w:rPr>
                <w:rFonts w:ascii="宋体" w:hAnsi="宋体" w:hint="eastAsia"/>
                <w:szCs w:val="24"/>
              </w:rPr>
              <w:t>公司</w:t>
            </w:r>
            <w:r>
              <w:rPr>
                <w:rFonts w:ascii="宋体" w:hAnsi="宋体" w:hint="eastAsia"/>
                <w:szCs w:val="24"/>
              </w:rPr>
              <w:t>200</w:t>
            </w:r>
            <w:r>
              <w:rPr>
                <w:rFonts w:ascii="宋体" w:hAnsi="宋体" w:hint="eastAsia"/>
                <w:szCs w:val="24"/>
              </w:rPr>
              <w:t>万吨焦化项目较师宗焦化存在的主要优势为：</w:t>
            </w:r>
            <w:r>
              <w:rPr>
                <w:rFonts w:ascii="宋体" w:hAnsi="宋体" w:hint="eastAsia"/>
                <w:szCs w:val="24"/>
              </w:rPr>
              <w:t>公司</w:t>
            </w:r>
            <w:r>
              <w:rPr>
                <w:rFonts w:ascii="宋体" w:hAnsi="宋体"/>
                <w:szCs w:val="24"/>
              </w:rPr>
              <w:t>200</w:t>
            </w:r>
            <w:r>
              <w:rPr>
                <w:rFonts w:ascii="宋体" w:hAnsi="宋体" w:hint="eastAsia"/>
                <w:szCs w:val="24"/>
              </w:rPr>
              <w:t>万吨焦化项目拥有</w:t>
            </w:r>
            <w:r>
              <w:rPr>
                <w:rFonts w:ascii="宋体" w:hAnsi="宋体" w:hint="eastAsia"/>
                <w:szCs w:val="24"/>
              </w:rPr>
              <w:t>2</w:t>
            </w:r>
            <w:r>
              <w:rPr>
                <w:rFonts w:ascii="宋体" w:hAnsi="宋体" w:hint="eastAsia"/>
                <w:szCs w:val="24"/>
              </w:rPr>
              <w:t>座</w:t>
            </w:r>
            <w:r>
              <w:rPr>
                <w:rFonts w:ascii="宋体" w:hAnsi="宋体" w:hint="eastAsia"/>
                <w:szCs w:val="24"/>
              </w:rPr>
              <w:t>7.6</w:t>
            </w:r>
            <w:r>
              <w:rPr>
                <w:rFonts w:ascii="宋体" w:hAnsi="宋体" w:hint="eastAsia"/>
                <w:szCs w:val="24"/>
              </w:rPr>
              <w:t>米大型顶装机焦炉，具有国内先进的生产工艺，较师宗焦化的</w:t>
            </w:r>
            <w:r>
              <w:rPr>
                <w:rFonts w:ascii="宋体" w:hAnsi="宋体" w:hint="eastAsia"/>
                <w:szCs w:val="24"/>
              </w:rPr>
              <w:t>2</w:t>
            </w:r>
            <w:r>
              <w:rPr>
                <w:rFonts w:ascii="宋体" w:hAnsi="宋体" w:hint="eastAsia"/>
                <w:szCs w:val="24"/>
              </w:rPr>
              <w:t>座</w:t>
            </w:r>
            <w:r>
              <w:rPr>
                <w:rFonts w:ascii="宋体" w:hAnsi="宋体" w:hint="eastAsia"/>
                <w:szCs w:val="24"/>
              </w:rPr>
              <w:t>5.5</w:t>
            </w:r>
            <w:r>
              <w:rPr>
                <w:rFonts w:ascii="宋体" w:hAnsi="宋体" w:hint="eastAsia"/>
                <w:szCs w:val="24"/>
              </w:rPr>
              <w:t>米捣固焦炉，</w:t>
            </w:r>
            <w:bookmarkStart w:id="2" w:name="_GoBack"/>
            <w:bookmarkEnd w:id="2"/>
            <w:r>
              <w:rPr>
                <w:rFonts w:ascii="宋体" w:hAnsi="宋体" w:hint="eastAsia"/>
                <w:szCs w:val="24"/>
              </w:rPr>
              <w:t>具有一定规模优势和技术优势；自</w:t>
            </w:r>
            <w:r>
              <w:rPr>
                <w:rFonts w:ascii="宋体" w:hAnsi="宋体" w:hint="eastAsia"/>
                <w:szCs w:val="24"/>
              </w:rPr>
              <w:t>2025</w:t>
            </w:r>
            <w:r>
              <w:rPr>
                <w:rFonts w:ascii="宋体" w:hAnsi="宋体" w:hint="eastAsia"/>
                <w:szCs w:val="24"/>
              </w:rPr>
              <w:t>年以来，公司</w:t>
            </w:r>
            <w:r>
              <w:rPr>
                <w:rFonts w:ascii="宋体" w:hAnsi="宋体" w:hint="eastAsia"/>
                <w:szCs w:val="24"/>
              </w:rPr>
              <w:t>200</w:t>
            </w:r>
            <w:r>
              <w:rPr>
                <w:rFonts w:ascii="宋体" w:hAnsi="宋体" w:hint="eastAsia"/>
                <w:szCs w:val="24"/>
              </w:rPr>
              <w:t>万吨焦化项目产能充分发挥，一定程度上</w:t>
            </w:r>
            <w:r>
              <w:rPr>
                <w:rFonts w:ascii="宋体" w:hAnsi="宋体" w:hint="eastAsia"/>
                <w:bCs/>
                <w:szCs w:val="24"/>
              </w:rPr>
              <w:t>降低了生产成本</w:t>
            </w:r>
            <w:r>
              <w:rPr>
                <w:rFonts w:ascii="宋体" w:hAnsi="宋体" w:hint="eastAsia"/>
                <w:szCs w:val="24"/>
              </w:rPr>
              <w:t>；公司</w:t>
            </w:r>
            <w:r>
              <w:rPr>
                <w:rFonts w:ascii="宋体" w:hAnsi="宋体" w:hint="eastAsia"/>
                <w:szCs w:val="24"/>
              </w:rPr>
              <w:t>200</w:t>
            </w:r>
            <w:r>
              <w:rPr>
                <w:rFonts w:ascii="宋体" w:hAnsi="宋体" w:hint="eastAsia"/>
                <w:szCs w:val="24"/>
              </w:rPr>
              <w:t>万吨焦化项目与</w:t>
            </w:r>
            <w:proofErr w:type="gramStart"/>
            <w:r>
              <w:rPr>
                <w:rFonts w:ascii="宋体" w:hAnsi="宋体" w:hint="eastAsia"/>
                <w:szCs w:val="24"/>
              </w:rPr>
              <w:t>武昆股份</w:t>
            </w:r>
            <w:proofErr w:type="gramEnd"/>
            <w:r>
              <w:rPr>
                <w:rFonts w:ascii="宋体" w:hAnsi="宋体" w:hint="eastAsia"/>
                <w:szCs w:val="24"/>
              </w:rPr>
              <w:t>同处一个工业园区，焦炭</w:t>
            </w:r>
            <w:proofErr w:type="gramStart"/>
            <w:r>
              <w:rPr>
                <w:rFonts w:ascii="宋体" w:hAnsi="宋体" w:hint="eastAsia"/>
                <w:szCs w:val="24"/>
              </w:rPr>
              <w:t>直供武昆股份</w:t>
            </w:r>
            <w:proofErr w:type="gramEnd"/>
            <w:r>
              <w:rPr>
                <w:rFonts w:ascii="宋体" w:hAnsi="宋体" w:hint="eastAsia"/>
                <w:szCs w:val="24"/>
              </w:rPr>
              <w:t>，</w:t>
            </w:r>
            <w:r w:rsidR="00372DB8" w:rsidRPr="00372DB8">
              <w:rPr>
                <w:rFonts w:ascii="宋体" w:hAnsi="宋体" w:hint="eastAsia"/>
                <w:szCs w:val="24"/>
              </w:rPr>
              <w:t>减少了中间环节和物流运输成本</w:t>
            </w:r>
            <w:r>
              <w:rPr>
                <w:rFonts w:ascii="宋体" w:hAnsi="宋体" w:hint="eastAsia"/>
                <w:szCs w:val="24"/>
              </w:rPr>
              <w:t>，</w:t>
            </w:r>
            <w:r>
              <w:rPr>
                <w:rFonts w:ascii="宋体" w:hAnsi="宋体" w:hint="eastAsia"/>
                <w:szCs w:val="24"/>
              </w:rPr>
              <w:t>而师宗焦化焦炭用户分布在省内外，需承担较高的运输成本</w:t>
            </w:r>
            <w:r>
              <w:rPr>
                <w:rFonts w:ascii="宋体" w:hAnsi="宋体" w:hint="eastAsia"/>
                <w:szCs w:val="24"/>
              </w:rPr>
              <w:t>。</w:t>
            </w:r>
          </w:p>
          <w:p w14:paraId="392469E8" w14:textId="77777777" w:rsidR="003C03C0" w:rsidRDefault="00014677">
            <w:pPr>
              <w:pStyle w:val="a6"/>
              <w:widowControl/>
              <w:shd w:val="clear" w:color="auto" w:fill="FFFFFF"/>
              <w:spacing w:line="420" w:lineRule="exact"/>
              <w:ind w:firstLineChars="200" w:firstLine="422"/>
              <w:rPr>
                <w:rFonts w:ascii="宋体" w:hAnsi="宋体" w:cs="宋体"/>
                <w:b/>
                <w:bCs/>
                <w:color w:val="0F1115"/>
                <w:sz w:val="21"/>
                <w:szCs w:val="21"/>
                <w:shd w:val="clear" w:color="auto" w:fill="FFFFFF"/>
              </w:rPr>
            </w:pPr>
            <w:r>
              <w:rPr>
                <w:rFonts w:ascii="宋体" w:hAnsi="宋体" w:cs="宋体" w:hint="eastAsia"/>
                <w:b/>
                <w:bCs/>
                <w:color w:val="0F1115"/>
                <w:sz w:val="21"/>
                <w:szCs w:val="21"/>
                <w:shd w:val="clear" w:color="auto" w:fill="FFFFFF"/>
              </w:rPr>
              <w:t>三、安宁焦化的配煤结构有优势吗？化工产品价格变化对公司利润有多少贡献？安宁焦化是否有计划实施甲醇项目？</w:t>
            </w:r>
            <w:r>
              <w:rPr>
                <w:rFonts w:ascii="宋体" w:hAnsi="宋体" w:cs="宋体" w:hint="eastAsia"/>
                <w:b/>
                <w:bCs/>
                <w:color w:val="0F1115"/>
                <w:sz w:val="21"/>
                <w:szCs w:val="21"/>
                <w:shd w:val="clear" w:color="auto" w:fill="FFFFFF"/>
              </w:rPr>
              <w:t xml:space="preserve"> </w:t>
            </w:r>
          </w:p>
          <w:p w14:paraId="2B17543F" w14:textId="77777777" w:rsidR="003C03C0" w:rsidRDefault="00014677">
            <w:pPr>
              <w:spacing w:line="420" w:lineRule="exact"/>
              <w:ind w:firstLineChars="200" w:firstLine="420"/>
              <w:rPr>
                <w:rFonts w:ascii="宋体" w:hAnsi="宋体"/>
                <w:bCs/>
                <w:szCs w:val="24"/>
              </w:rPr>
            </w:pPr>
            <w:r>
              <w:rPr>
                <w:rFonts w:ascii="宋体" w:hAnsi="宋体"/>
                <w:bCs/>
                <w:szCs w:val="24"/>
              </w:rPr>
              <w:t>答：安宁焦化</w:t>
            </w:r>
            <w:r>
              <w:rPr>
                <w:rFonts w:ascii="宋体" w:hAnsi="宋体" w:hint="eastAsia"/>
                <w:bCs/>
                <w:szCs w:val="24"/>
              </w:rPr>
              <w:t>在保证焦炭质量稳定达标的前提下，通过优化配煤结构，提高经济性煤种配比，降低综合配煤成本，从而降低焦炭原料煤成本。今年以来，受</w:t>
            </w:r>
            <w:r>
              <w:rPr>
                <w:rFonts w:ascii="宋体" w:hAnsi="宋体" w:hint="eastAsia"/>
                <w:bCs/>
                <w:szCs w:val="24"/>
              </w:rPr>
              <w:lastRenderedPageBreak/>
              <w:t>地缘政治等因素影响，部分化工副产品价格有所上涨，但公司主要从事冶金焦的生产，化工副产品在公司营业收入中占比较低，其价格变化对公司利润的贡献程度有限。</w:t>
            </w:r>
          </w:p>
          <w:p w14:paraId="3FEEF0C4" w14:textId="77777777" w:rsidR="003C03C0" w:rsidRDefault="00014677">
            <w:pPr>
              <w:spacing w:line="420" w:lineRule="exact"/>
              <w:ind w:firstLine="480"/>
              <w:rPr>
                <w:rFonts w:ascii="宋体" w:hAnsi="宋体" w:cs="宋体"/>
                <w:color w:val="0F1115"/>
                <w:szCs w:val="21"/>
              </w:rPr>
            </w:pPr>
            <w:r>
              <w:rPr>
                <w:rFonts w:ascii="宋体" w:hAnsi="宋体" w:hint="eastAsia"/>
                <w:bCs/>
                <w:szCs w:val="24"/>
              </w:rPr>
              <w:t>目前，安宁焦化无实施甲醇项目的计划。</w:t>
            </w:r>
          </w:p>
          <w:p w14:paraId="67F742D6" w14:textId="77777777" w:rsidR="003C03C0" w:rsidRDefault="00014677">
            <w:pPr>
              <w:pStyle w:val="a6"/>
              <w:widowControl/>
              <w:shd w:val="clear" w:color="auto" w:fill="FFFFFF"/>
              <w:spacing w:line="420" w:lineRule="exact"/>
              <w:ind w:firstLineChars="200" w:firstLine="422"/>
              <w:rPr>
                <w:rFonts w:ascii="宋体" w:hAnsi="宋体" w:cs="宋体"/>
                <w:color w:val="0F1115"/>
                <w:sz w:val="21"/>
                <w:szCs w:val="21"/>
              </w:rPr>
            </w:pPr>
            <w:r>
              <w:rPr>
                <w:rFonts w:ascii="宋体" w:hAnsi="宋体" w:cs="宋体" w:hint="eastAsia"/>
                <w:b/>
                <w:bCs/>
                <w:color w:val="0F1115"/>
                <w:sz w:val="21"/>
                <w:szCs w:val="21"/>
                <w:shd w:val="clear" w:color="auto" w:fill="FFFFFF"/>
              </w:rPr>
              <w:t>四、公司目前是否使用进口煤？</w:t>
            </w:r>
            <w:bookmarkStart w:id="3" w:name="OLE_LINK4"/>
            <w:bookmarkStart w:id="4" w:name="OLE_LINK3"/>
            <w:r>
              <w:rPr>
                <w:rFonts w:ascii="宋体" w:hAnsi="宋体" w:cs="宋体" w:hint="eastAsia"/>
                <w:b/>
                <w:bCs/>
                <w:color w:val="0F1115"/>
                <w:sz w:val="21"/>
                <w:szCs w:val="21"/>
                <w:shd w:val="clear" w:color="auto" w:fill="FFFFFF"/>
              </w:rPr>
              <w:t>目前公司原料煤的采购方式有哪些</w:t>
            </w:r>
            <w:bookmarkEnd w:id="3"/>
            <w:bookmarkEnd w:id="4"/>
            <w:r>
              <w:rPr>
                <w:rFonts w:ascii="宋体" w:hAnsi="宋体" w:cs="宋体" w:hint="eastAsia"/>
                <w:b/>
                <w:bCs/>
                <w:color w:val="0F1115"/>
                <w:sz w:val="21"/>
                <w:szCs w:val="21"/>
                <w:shd w:val="clear" w:color="auto" w:fill="FFFFFF"/>
              </w:rPr>
              <w:t>？</w:t>
            </w:r>
          </w:p>
          <w:p w14:paraId="13CBF3E5" w14:textId="77777777" w:rsidR="003C03C0" w:rsidRDefault="00014677">
            <w:pPr>
              <w:spacing w:line="420" w:lineRule="exact"/>
              <w:ind w:firstLine="480"/>
              <w:rPr>
                <w:rFonts w:ascii="宋体" w:hAnsi="宋体"/>
                <w:bCs/>
                <w:szCs w:val="24"/>
              </w:rPr>
            </w:pPr>
            <w:r>
              <w:rPr>
                <w:rFonts w:ascii="宋体" w:hAnsi="宋体"/>
                <w:bCs/>
                <w:szCs w:val="24"/>
              </w:rPr>
              <w:t>答：目前，公司原料</w:t>
            </w:r>
            <w:proofErr w:type="gramStart"/>
            <w:r>
              <w:rPr>
                <w:rFonts w:ascii="宋体" w:hAnsi="宋体"/>
                <w:bCs/>
                <w:szCs w:val="24"/>
              </w:rPr>
              <w:t>煤</w:t>
            </w:r>
            <w:r>
              <w:rPr>
                <w:rFonts w:ascii="宋体" w:hAnsi="宋体" w:hint="eastAsia"/>
                <w:bCs/>
                <w:szCs w:val="24"/>
              </w:rPr>
              <w:t>未</w:t>
            </w:r>
            <w:proofErr w:type="gramEnd"/>
            <w:r>
              <w:rPr>
                <w:rFonts w:ascii="宋体" w:hAnsi="宋体"/>
                <w:bCs/>
                <w:szCs w:val="24"/>
              </w:rPr>
              <w:t>使用进口煤。</w:t>
            </w:r>
            <w:r>
              <w:rPr>
                <w:rFonts w:ascii="宋体" w:hAnsi="宋体" w:hint="eastAsia"/>
                <w:bCs/>
                <w:szCs w:val="24"/>
              </w:rPr>
              <w:t>公司原料煤主要采用议价</w:t>
            </w:r>
            <w:r>
              <w:rPr>
                <w:rFonts w:ascii="宋体" w:hAnsi="宋体"/>
                <w:bCs/>
                <w:szCs w:val="24"/>
              </w:rPr>
              <w:t>与</w:t>
            </w:r>
            <w:proofErr w:type="gramStart"/>
            <w:r>
              <w:rPr>
                <w:rFonts w:ascii="宋体" w:hAnsi="宋体"/>
                <w:bCs/>
                <w:szCs w:val="24"/>
              </w:rPr>
              <w:t>询</w:t>
            </w:r>
            <w:proofErr w:type="gramEnd"/>
            <w:r>
              <w:rPr>
                <w:rFonts w:ascii="宋体" w:hAnsi="宋体"/>
                <w:bCs/>
                <w:szCs w:val="24"/>
              </w:rPr>
              <w:t>比价</w:t>
            </w:r>
            <w:r>
              <w:rPr>
                <w:rFonts w:ascii="宋体" w:hAnsi="宋体" w:hint="eastAsia"/>
                <w:bCs/>
                <w:szCs w:val="24"/>
              </w:rPr>
              <w:t>双模式，</w:t>
            </w:r>
            <w:proofErr w:type="gramStart"/>
            <w:r>
              <w:rPr>
                <w:rFonts w:ascii="宋体" w:hAnsi="宋体" w:hint="eastAsia"/>
                <w:bCs/>
                <w:szCs w:val="24"/>
              </w:rPr>
              <w:t>以煤企直供</w:t>
            </w:r>
            <w:proofErr w:type="gramEnd"/>
            <w:r>
              <w:rPr>
                <w:rFonts w:ascii="宋体" w:hAnsi="宋体" w:hint="eastAsia"/>
                <w:bCs/>
                <w:szCs w:val="24"/>
              </w:rPr>
              <w:t>为主、市场贸易为辅的方式进行采购。</w:t>
            </w:r>
            <w:r>
              <w:rPr>
                <w:rFonts w:ascii="宋体" w:hAnsi="宋体"/>
                <w:bCs/>
                <w:szCs w:val="24"/>
              </w:rPr>
              <w:t xml:space="preserve"> </w:t>
            </w:r>
          </w:p>
          <w:p w14:paraId="12585E1A" w14:textId="77777777" w:rsidR="003C03C0" w:rsidRDefault="00014677">
            <w:pPr>
              <w:spacing w:line="420" w:lineRule="exact"/>
              <w:ind w:firstLine="480"/>
              <w:rPr>
                <w:rFonts w:ascii="宋体" w:hAnsi="宋体" w:cs="宋体"/>
                <w:color w:val="0F1115"/>
                <w:szCs w:val="21"/>
              </w:rPr>
            </w:pPr>
            <w:r>
              <w:rPr>
                <w:rFonts w:ascii="宋体" w:hAnsi="宋体" w:cs="宋体" w:hint="eastAsia"/>
                <w:b/>
                <w:bCs/>
                <w:color w:val="0F1115"/>
                <w:szCs w:val="21"/>
                <w:shd w:val="clear" w:color="auto" w:fill="FFFFFF"/>
              </w:rPr>
              <w:t>五、公司在资产盘活</w:t>
            </w:r>
            <w:r>
              <w:rPr>
                <w:rFonts w:ascii="宋体" w:hAnsi="宋体" w:cs="宋体" w:hint="eastAsia"/>
                <w:b/>
                <w:bCs/>
                <w:color w:val="0F1115"/>
                <w:szCs w:val="21"/>
                <w:shd w:val="clear" w:color="auto" w:fill="FFFFFF"/>
              </w:rPr>
              <w:t>方面，安宁分公司有何进展？</w:t>
            </w:r>
          </w:p>
          <w:p w14:paraId="1115553F" w14:textId="77777777" w:rsidR="003C03C0" w:rsidRDefault="00014677">
            <w:pPr>
              <w:spacing w:line="420" w:lineRule="exact"/>
              <w:ind w:firstLineChars="200" w:firstLine="420"/>
              <w:rPr>
                <w:rFonts w:ascii="宋体" w:hAnsi="宋体"/>
                <w:szCs w:val="24"/>
              </w:rPr>
            </w:pPr>
            <w:r>
              <w:rPr>
                <w:rFonts w:ascii="宋体" w:hAnsi="宋体"/>
                <w:bCs/>
                <w:szCs w:val="24"/>
              </w:rPr>
              <w:t>答：</w:t>
            </w:r>
            <w:r>
              <w:rPr>
                <w:rFonts w:ascii="宋体" w:hAnsi="宋体" w:hint="eastAsia"/>
                <w:bCs/>
                <w:szCs w:val="24"/>
              </w:rPr>
              <w:t>为</w:t>
            </w:r>
            <w:r>
              <w:rPr>
                <w:rFonts w:ascii="宋体" w:hAnsi="宋体"/>
                <w:bCs/>
                <w:szCs w:val="24"/>
              </w:rPr>
              <w:t>提升公司整体运行效率，</w:t>
            </w:r>
            <w:r>
              <w:rPr>
                <w:rFonts w:ascii="宋体" w:hAnsi="宋体" w:hint="eastAsia"/>
                <w:bCs/>
                <w:szCs w:val="24"/>
              </w:rPr>
              <w:t>公司积极盘活闲置资产。公司于</w:t>
            </w:r>
            <w:r>
              <w:rPr>
                <w:rFonts w:ascii="宋体" w:hAnsi="宋体" w:hint="eastAsia"/>
                <w:bCs/>
                <w:szCs w:val="24"/>
              </w:rPr>
              <w:t>2025</w:t>
            </w:r>
            <w:r>
              <w:rPr>
                <w:rFonts w:ascii="宋体" w:hAnsi="宋体" w:hint="eastAsia"/>
                <w:bCs/>
                <w:szCs w:val="24"/>
              </w:rPr>
              <w:t>年</w:t>
            </w:r>
            <w:r>
              <w:rPr>
                <w:rFonts w:ascii="宋体" w:hAnsi="宋体" w:hint="eastAsia"/>
                <w:bCs/>
                <w:szCs w:val="24"/>
              </w:rPr>
              <w:t>3</w:t>
            </w:r>
            <w:r>
              <w:rPr>
                <w:rFonts w:ascii="宋体" w:hAnsi="宋体" w:hint="eastAsia"/>
                <w:bCs/>
                <w:szCs w:val="24"/>
              </w:rPr>
              <w:t>月</w:t>
            </w:r>
            <w:r>
              <w:rPr>
                <w:rFonts w:ascii="宋体" w:hAnsi="宋体" w:hint="eastAsia"/>
                <w:bCs/>
                <w:szCs w:val="24"/>
              </w:rPr>
              <w:t>10</w:t>
            </w:r>
            <w:r>
              <w:rPr>
                <w:rFonts w:ascii="宋体" w:hAnsi="宋体" w:hint="eastAsia"/>
                <w:bCs/>
                <w:szCs w:val="24"/>
              </w:rPr>
              <w:t>日召开第九届董事会战略委员会</w:t>
            </w:r>
            <w:r>
              <w:rPr>
                <w:rFonts w:ascii="宋体" w:hAnsi="宋体" w:hint="eastAsia"/>
                <w:bCs/>
                <w:szCs w:val="24"/>
              </w:rPr>
              <w:t>2025</w:t>
            </w:r>
            <w:r>
              <w:rPr>
                <w:rFonts w:ascii="宋体" w:hAnsi="宋体" w:hint="eastAsia"/>
                <w:bCs/>
                <w:szCs w:val="24"/>
              </w:rPr>
              <w:t>年第一次会议、第九届董事会第二十八次临时会议，审议通过并同意公司通过公开挂牌方式对公司安宁分公司部分闲置资产进行转让，并于</w:t>
            </w:r>
            <w:r>
              <w:rPr>
                <w:rFonts w:ascii="宋体" w:hAnsi="宋体" w:hint="eastAsia"/>
                <w:bCs/>
                <w:szCs w:val="24"/>
              </w:rPr>
              <w:t>2025</w:t>
            </w:r>
            <w:r>
              <w:rPr>
                <w:rFonts w:ascii="宋体" w:hAnsi="宋体" w:hint="eastAsia"/>
                <w:bCs/>
                <w:szCs w:val="24"/>
              </w:rPr>
              <w:t>年</w:t>
            </w:r>
            <w:r>
              <w:rPr>
                <w:rFonts w:ascii="宋体" w:hAnsi="宋体" w:hint="eastAsia"/>
                <w:bCs/>
                <w:szCs w:val="24"/>
              </w:rPr>
              <w:t>6</w:t>
            </w:r>
            <w:r>
              <w:rPr>
                <w:rFonts w:ascii="宋体" w:hAnsi="宋体" w:hint="eastAsia"/>
                <w:bCs/>
                <w:szCs w:val="24"/>
              </w:rPr>
              <w:t>月完成本次转让事项，具体内容详见临时公告（</w:t>
            </w:r>
            <w:r>
              <w:rPr>
                <w:rFonts w:ascii="宋体" w:hAnsi="宋体" w:hint="eastAsia"/>
                <w:bCs/>
                <w:szCs w:val="24"/>
              </w:rPr>
              <w:t>2025-010</w:t>
            </w:r>
            <w:r>
              <w:rPr>
                <w:rFonts w:ascii="宋体" w:hAnsi="宋体" w:hint="eastAsia"/>
                <w:bCs/>
                <w:szCs w:val="24"/>
              </w:rPr>
              <w:t>、</w:t>
            </w:r>
            <w:r>
              <w:rPr>
                <w:rFonts w:ascii="宋体" w:hAnsi="宋体" w:hint="eastAsia"/>
                <w:bCs/>
                <w:szCs w:val="24"/>
              </w:rPr>
              <w:t>036</w:t>
            </w:r>
            <w:r>
              <w:rPr>
                <w:rFonts w:ascii="宋体" w:hAnsi="宋体" w:hint="eastAsia"/>
                <w:bCs/>
                <w:szCs w:val="24"/>
              </w:rPr>
              <w:t>）。安宁分公司闲置存量资产的处置，敬请关注公司在上交所网站上披露的文件。</w:t>
            </w:r>
          </w:p>
        </w:tc>
      </w:tr>
      <w:tr w:rsidR="003C03C0" w14:paraId="0998CB1A" w14:textId="77777777">
        <w:trPr>
          <w:trHeight w:val="557"/>
          <w:jc w:val="center"/>
        </w:trPr>
        <w:tc>
          <w:tcPr>
            <w:tcW w:w="1524" w:type="dxa"/>
            <w:shd w:val="clear" w:color="auto" w:fill="auto"/>
            <w:vAlign w:val="center"/>
          </w:tcPr>
          <w:p w14:paraId="14672A58" w14:textId="77777777" w:rsidR="003C03C0" w:rsidRDefault="00014677">
            <w:pPr>
              <w:spacing w:line="400" w:lineRule="exact"/>
              <w:jc w:val="center"/>
              <w:rPr>
                <w:rFonts w:ascii="宋体" w:hAnsi="宋体"/>
                <w:b/>
                <w:szCs w:val="24"/>
              </w:rPr>
            </w:pPr>
            <w:r>
              <w:rPr>
                <w:rFonts w:ascii="宋体" w:hAnsi="宋体"/>
                <w:b/>
              </w:rPr>
              <w:lastRenderedPageBreak/>
              <w:t>关于本次活</w:t>
            </w:r>
            <w:r>
              <w:rPr>
                <w:rFonts w:ascii="宋体" w:hAnsi="宋体"/>
                <w:b/>
              </w:rPr>
              <w:t xml:space="preserve"> </w:t>
            </w:r>
            <w:r>
              <w:rPr>
                <w:rFonts w:ascii="宋体" w:hAnsi="宋体"/>
                <w:b/>
              </w:rPr>
              <w:t>动是否涉及</w:t>
            </w:r>
            <w:r>
              <w:rPr>
                <w:rFonts w:ascii="宋体" w:hAnsi="宋体"/>
                <w:b/>
              </w:rPr>
              <w:t xml:space="preserve"> </w:t>
            </w:r>
            <w:r>
              <w:rPr>
                <w:rFonts w:ascii="宋体" w:hAnsi="宋体"/>
                <w:b/>
              </w:rPr>
              <w:t>应披露重大</w:t>
            </w:r>
            <w:r>
              <w:rPr>
                <w:rFonts w:ascii="宋体" w:hAnsi="宋体"/>
                <w:b/>
              </w:rPr>
              <w:t xml:space="preserve"> </w:t>
            </w:r>
            <w:r>
              <w:rPr>
                <w:rFonts w:ascii="宋体" w:hAnsi="宋体"/>
                <w:b/>
              </w:rPr>
              <w:t>信息的说明</w:t>
            </w:r>
          </w:p>
        </w:tc>
        <w:tc>
          <w:tcPr>
            <w:tcW w:w="7561" w:type="dxa"/>
            <w:shd w:val="clear" w:color="auto" w:fill="auto"/>
            <w:vAlign w:val="center"/>
          </w:tcPr>
          <w:p w14:paraId="7E6F6954" w14:textId="77777777" w:rsidR="003C03C0" w:rsidRDefault="00014677">
            <w:pPr>
              <w:spacing w:line="400" w:lineRule="exact"/>
              <w:ind w:firstLine="480"/>
              <w:jc w:val="center"/>
              <w:rPr>
                <w:rFonts w:ascii="宋体" w:hAnsi="宋体" w:cs="华文仿宋"/>
                <w:bCs/>
                <w:szCs w:val="24"/>
              </w:rPr>
            </w:pPr>
            <w:r>
              <w:rPr>
                <w:rFonts w:ascii="宋体" w:hAnsi="宋体" w:cs="华文仿宋" w:hint="eastAsia"/>
                <w:bCs/>
                <w:szCs w:val="24"/>
              </w:rPr>
              <w:t>无</w:t>
            </w:r>
          </w:p>
        </w:tc>
      </w:tr>
      <w:tr w:rsidR="003C03C0" w14:paraId="63B77E12" w14:textId="77777777">
        <w:trPr>
          <w:trHeight w:val="557"/>
          <w:jc w:val="center"/>
        </w:trPr>
        <w:tc>
          <w:tcPr>
            <w:tcW w:w="1524" w:type="dxa"/>
            <w:shd w:val="clear" w:color="auto" w:fill="auto"/>
            <w:vAlign w:val="center"/>
          </w:tcPr>
          <w:p w14:paraId="558C9567" w14:textId="77777777" w:rsidR="003C03C0" w:rsidRDefault="00014677">
            <w:pPr>
              <w:spacing w:line="400" w:lineRule="exact"/>
              <w:jc w:val="center"/>
              <w:rPr>
                <w:rFonts w:ascii="宋体" w:hAnsi="宋体"/>
                <w:b/>
              </w:rPr>
            </w:pPr>
            <w:r>
              <w:rPr>
                <w:rFonts w:ascii="宋体" w:hAnsi="宋体"/>
                <w:b/>
              </w:rPr>
              <w:t>附件清单</w:t>
            </w:r>
          </w:p>
        </w:tc>
        <w:tc>
          <w:tcPr>
            <w:tcW w:w="7561" w:type="dxa"/>
            <w:shd w:val="clear" w:color="auto" w:fill="auto"/>
            <w:vAlign w:val="center"/>
          </w:tcPr>
          <w:p w14:paraId="752D4402" w14:textId="77777777" w:rsidR="003C03C0" w:rsidRDefault="00014677">
            <w:pPr>
              <w:spacing w:line="400" w:lineRule="exact"/>
              <w:ind w:firstLine="480"/>
              <w:jc w:val="center"/>
              <w:rPr>
                <w:rFonts w:ascii="宋体" w:hAnsi="宋体" w:cs="华文仿宋"/>
                <w:bCs/>
                <w:szCs w:val="24"/>
              </w:rPr>
            </w:pPr>
            <w:r>
              <w:rPr>
                <w:rFonts w:ascii="宋体" w:hAnsi="宋体" w:cs="华文仿宋" w:hint="eastAsia"/>
                <w:bCs/>
                <w:szCs w:val="24"/>
              </w:rPr>
              <w:t>无</w:t>
            </w:r>
          </w:p>
        </w:tc>
      </w:tr>
    </w:tbl>
    <w:p w14:paraId="164B523C" w14:textId="77777777" w:rsidR="003C03C0" w:rsidRDefault="00014677">
      <w:pPr>
        <w:spacing w:line="360" w:lineRule="auto"/>
        <w:ind w:firstLine="482"/>
        <w:rPr>
          <w:rFonts w:ascii="宋体" w:hAnsi="宋体" w:cs="宋体"/>
          <w:kern w:val="0"/>
          <w:szCs w:val="24"/>
        </w:rPr>
      </w:pPr>
      <w:r>
        <w:rPr>
          <w:rFonts w:ascii="宋体" w:hAnsi="宋体" w:cs="宋体" w:hint="eastAsia"/>
          <w:kern w:val="0"/>
          <w:szCs w:val="24"/>
        </w:rPr>
        <w:t>公司郑重提醒广大投资者，有关公司信息以公司在上海证券交易所网站</w:t>
      </w:r>
      <w:r>
        <w:rPr>
          <w:rFonts w:ascii="宋体" w:hAnsi="宋体" w:cs="宋体"/>
          <w:kern w:val="0"/>
          <w:szCs w:val="24"/>
        </w:rPr>
        <w:t xml:space="preserve"> </w:t>
      </w:r>
      <w:r>
        <w:rPr>
          <w:rFonts w:ascii="宋体" w:hAnsi="宋体" w:cs="宋体" w:hint="eastAsia"/>
          <w:kern w:val="0"/>
          <w:szCs w:val="24"/>
        </w:rPr>
        <w:t>（</w:t>
      </w:r>
      <w:r>
        <w:rPr>
          <w:rFonts w:ascii="宋体" w:hAnsi="宋体" w:cs="宋体"/>
          <w:kern w:val="0"/>
          <w:szCs w:val="24"/>
        </w:rPr>
        <w:t>www.sse.com.cn</w:t>
      </w:r>
      <w:r>
        <w:rPr>
          <w:rFonts w:ascii="宋体" w:hAnsi="宋体" w:cs="宋体"/>
          <w:kern w:val="0"/>
          <w:szCs w:val="24"/>
        </w:rPr>
        <w:t>）和法定信息披露媒体刊登的相关公告为准。本</w:t>
      </w:r>
      <w:r>
        <w:rPr>
          <w:rFonts w:ascii="宋体" w:hAnsi="宋体" w:cs="宋体" w:hint="eastAsia"/>
          <w:kern w:val="0"/>
          <w:szCs w:val="24"/>
        </w:rPr>
        <w:t>文件</w:t>
      </w:r>
      <w:r>
        <w:rPr>
          <w:rFonts w:ascii="宋体" w:hAnsi="宋体" w:cs="宋体"/>
          <w:kern w:val="0"/>
          <w:szCs w:val="24"/>
        </w:rPr>
        <w:t>中如涉及对外部环境判断、公司发展战略、未来计划等描述，不构成公司对投资者的实质承诺，敬请广大投资者理性投资，注意投资风险。</w:t>
      </w:r>
    </w:p>
    <w:sectPr w:rsidR="003C03C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B90E4" w14:textId="77777777" w:rsidR="00014677" w:rsidRDefault="00014677">
      <w:r>
        <w:separator/>
      </w:r>
    </w:p>
  </w:endnote>
  <w:endnote w:type="continuationSeparator" w:id="0">
    <w:p w14:paraId="2FB1E418" w14:textId="77777777" w:rsidR="00014677" w:rsidRDefault="0001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00BCA" w14:textId="77777777" w:rsidR="00014677" w:rsidRDefault="00014677">
      <w:r>
        <w:separator/>
      </w:r>
    </w:p>
  </w:footnote>
  <w:footnote w:type="continuationSeparator" w:id="0">
    <w:p w14:paraId="2447DBAC" w14:textId="77777777" w:rsidR="00014677" w:rsidRDefault="00014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66AA" w14:textId="77777777" w:rsidR="003C03C0" w:rsidRDefault="00014677">
    <w:pPr>
      <w:pStyle w:val="a5"/>
      <w:tabs>
        <w:tab w:val="clear" w:pos="4153"/>
      </w:tabs>
      <w:jc w:val="right"/>
    </w:pPr>
    <w:r>
      <w:rPr>
        <w:rFonts w:hint="eastAsia"/>
      </w:rPr>
      <w:t>云南煤业能源股份有限公司投资者关系活动记录表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A9171A"/>
    <w:rsid w:val="00003E66"/>
    <w:rsid w:val="00014677"/>
    <w:rsid w:val="00027BA0"/>
    <w:rsid w:val="0003669D"/>
    <w:rsid w:val="0006046B"/>
    <w:rsid w:val="00082A91"/>
    <w:rsid w:val="00086B34"/>
    <w:rsid w:val="00091F8C"/>
    <w:rsid w:val="000F33EE"/>
    <w:rsid w:val="00162964"/>
    <w:rsid w:val="00167548"/>
    <w:rsid w:val="001876AB"/>
    <w:rsid w:val="00201FC2"/>
    <w:rsid w:val="0021190B"/>
    <w:rsid w:val="002173E4"/>
    <w:rsid w:val="00234190"/>
    <w:rsid w:val="003016C4"/>
    <w:rsid w:val="0035417A"/>
    <w:rsid w:val="00372DB8"/>
    <w:rsid w:val="003C03C0"/>
    <w:rsid w:val="003C74A3"/>
    <w:rsid w:val="003D617D"/>
    <w:rsid w:val="0040695A"/>
    <w:rsid w:val="00407152"/>
    <w:rsid w:val="004206F3"/>
    <w:rsid w:val="00424805"/>
    <w:rsid w:val="004943F3"/>
    <w:rsid w:val="004B7E15"/>
    <w:rsid w:val="004E406D"/>
    <w:rsid w:val="004E4D5D"/>
    <w:rsid w:val="004E60C6"/>
    <w:rsid w:val="0053733E"/>
    <w:rsid w:val="00540B69"/>
    <w:rsid w:val="0056036B"/>
    <w:rsid w:val="005705FD"/>
    <w:rsid w:val="00581717"/>
    <w:rsid w:val="00626483"/>
    <w:rsid w:val="00640B20"/>
    <w:rsid w:val="006528AA"/>
    <w:rsid w:val="006E660E"/>
    <w:rsid w:val="0072044B"/>
    <w:rsid w:val="0078098F"/>
    <w:rsid w:val="007965A0"/>
    <w:rsid w:val="007B5A40"/>
    <w:rsid w:val="00807484"/>
    <w:rsid w:val="00842514"/>
    <w:rsid w:val="008516C6"/>
    <w:rsid w:val="0087513D"/>
    <w:rsid w:val="008B0B6E"/>
    <w:rsid w:val="00961434"/>
    <w:rsid w:val="00987FFA"/>
    <w:rsid w:val="009B2799"/>
    <w:rsid w:val="00A23CD7"/>
    <w:rsid w:val="00A363BD"/>
    <w:rsid w:val="00A41EDD"/>
    <w:rsid w:val="00A4779D"/>
    <w:rsid w:val="00A81139"/>
    <w:rsid w:val="00A9171A"/>
    <w:rsid w:val="00AB2C80"/>
    <w:rsid w:val="00AE67A1"/>
    <w:rsid w:val="00B14B30"/>
    <w:rsid w:val="00B316A6"/>
    <w:rsid w:val="00B52A64"/>
    <w:rsid w:val="00B90BFD"/>
    <w:rsid w:val="00BA4ED3"/>
    <w:rsid w:val="00BA53D9"/>
    <w:rsid w:val="00C75291"/>
    <w:rsid w:val="00CF54D4"/>
    <w:rsid w:val="00D94891"/>
    <w:rsid w:val="00E1622A"/>
    <w:rsid w:val="00E90315"/>
    <w:rsid w:val="00E925E1"/>
    <w:rsid w:val="00EA6D09"/>
    <w:rsid w:val="00EE5A77"/>
    <w:rsid w:val="00EE692B"/>
    <w:rsid w:val="00F13EAF"/>
    <w:rsid w:val="00FC289D"/>
    <w:rsid w:val="034321D6"/>
    <w:rsid w:val="0542127F"/>
    <w:rsid w:val="079274FA"/>
    <w:rsid w:val="08CA5909"/>
    <w:rsid w:val="098D5F59"/>
    <w:rsid w:val="0A3D172D"/>
    <w:rsid w:val="0B75558A"/>
    <w:rsid w:val="0BC96FF0"/>
    <w:rsid w:val="1286143B"/>
    <w:rsid w:val="19BE215E"/>
    <w:rsid w:val="1AB2237B"/>
    <w:rsid w:val="1CB2496B"/>
    <w:rsid w:val="1CBF1B4B"/>
    <w:rsid w:val="2B7D7783"/>
    <w:rsid w:val="2CB64BF6"/>
    <w:rsid w:val="36DE6BFE"/>
    <w:rsid w:val="37A97FBD"/>
    <w:rsid w:val="3A680C54"/>
    <w:rsid w:val="43351123"/>
    <w:rsid w:val="4B842010"/>
    <w:rsid w:val="4DFE60AA"/>
    <w:rsid w:val="52C06024"/>
    <w:rsid w:val="575B27BF"/>
    <w:rsid w:val="5AB04BD0"/>
    <w:rsid w:val="5AC606BD"/>
    <w:rsid w:val="5B6338C5"/>
    <w:rsid w:val="61B42C51"/>
    <w:rsid w:val="670E1BEF"/>
    <w:rsid w:val="6CB4446C"/>
    <w:rsid w:val="6EF74724"/>
    <w:rsid w:val="70B328CC"/>
    <w:rsid w:val="7879264D"/>
    <w:rsid w:val="7AE3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table" w:styleId="a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批注框文本 Char"/>
    <w:basedOn w:val="a0"/>
    <w:link w:val="a3"/>
    <w:rPr>
      <w:rFonts w:ascii="Calibri" w:hAnsi="Calibri"/>
      <w:kern w:val="2"/>
      <w:sz w:val="18"/>
      <w:szCs w:val="18"/>
    </w:rPr>
  </w:style>
  <w:style w:type="character" w:customStyle="1" w:styleId="Char0">
    <w:name w:val="页脚 Char"/>
    <w:basedOn w:val="a0"/>
    <w:link w:val="a4"/>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table" w:styleId="a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Char">
    <w:name w:val="批注框文本 Char"/>
    <w:basedOn w:val="a0"/>
    <w:link w:val="a3"/>
    <w:rPr>
      <w:rFonts w:ascii="Calibri" w:hAnsi="Calibri"/>
      <w:kern w:val="2"/>
      <w:sz w:val="18"/>
      <w:szCs w:val="18"/>
    </w:rPr>
  </w:style>
  <w:style w:type="character" w:customStyle="1" w:styleId="Char0">
    <w:name w:val="页脚 Char"/>
    <w:basedOn w:val="a0"/>
    <w:link w:val="a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101</cp:revision>
  <dcterms:created xsi:type="dcterms:W3CDTF">2023-06-30T02:03:00Z</dcterms:created>
  <dcterms:modified xsi:type="dcterms:W3CDTF">2026-06-12T10:47:00Z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99BA57761A3D45C59B560A1C96F23AB1_13</vt:lpwstr>
  </property>
  <property fmtid="{D5CDD505-2E9C-101B-9397-08002B2CF9AE}" pid="4" name="KSOTemplateDocerSaveRecord">
    <vt:lpwstr>eyJoZGlkIjoiMmRlYzE3N2U4NzA5MDM4MDRmN2Y2ZGU2ODEwYzYzNDciLCJ1c2VySWQiOiIyNzc3ODc1MDgifQ==</vt:lpwstr>
  </property>
</Properties>
</file>