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E2C4A">
      <w:pPr>
        <w:spacing w:after="93" w:afterLines="30" w:line="580" w:lineRule="exact"/>
        <w:jc w:val="center"/>
        <w:rPr>
          <w:rFonts w:ascii="仿宋" w:hAnsi="仿宋" w:eastAsia="仿宋"/>
          <w:b/>
          <w:color w:val="000000"/>
          <w:sz w:val="40"/>
          <w:szCs w:val="40"/>
        </w:rPr>
      </w:pPr>
      <w:r>
        <w:rPr>
          <w:rFonts w:hint="eastAsia" w:ascii="仿宋" w:hAnsi="仿宋" w:eastAsia="仿宋"/>
          <w:b/>
          <w:color w:val="000000"/>
          <w:sz w:val="40"/>
          <w:szCs w:val="40"/>
        </w:rPr>
        <w:t>投资者关系活动记录表</w:t>
      </w:r>
    </w:p>
    <w:p w14:paraId="5650E720">
      <w:pPr>
        <w:spacing w:line="580" w:lineRule="exact"/>
        <w:jc w:val="center"/>
        <w:rPr>
          <w:rFonts w:ascii="仿宋" w:hAnsi="仿宋" w:eastAsia="仿宋"/>
          <w:color w:val="000000"/>
          <w:sz w:val="28"/>
          <w:szCs w:val="28"/>
        </w:rPr>
      </w:pPr>
      <w:r>
        <w:rPr>
          <w:rFonts w:hint="eastAsia" w:ascii="仿宋" w:hAnsi="仿宋" w:eastAsia="仿宋"/>
          <w:color w:val="000000"/>
          <w:sz w:val="28"/>
          <w:szCs w:val="28"/>
        </w:rPr>
        <w:t>证券代码：600693                  证券简称：东百集团</w:t>
      </w:r>
    </w:p>
    <w:p w14:paraId="340C19B4">
      <w:pPr>
        <w:spacing w:line="580" w:lineRule="exact"/>
        <w:ind w:right="1020"/>
        <w:jc w:val="right"/>
        <w:rPr>
          <w:rFonts w:hint="default" w:ascii="仿宋" w:hAnsi="仿宋" w:eastAsia="仿宋"/>
          <w:b/>
          <w:color w:val="000000"/>
          <w:sz w:val="28"/>
          <w:szCs w:val="28"/>
          <w:lang w:val="en-US" w:eastAsia="zh-CN"/>
        </w:rPr>
      </w:pPr>
      <w:r>
        <w:rPr>
          <w:rFonts w:hint="eastAsia" w:ascii="仿宋" w:hAnsi="仿宋" w:eastAsia="仿宋"/>
          <w:color w:val="000000"/>
          <w:sz w:val="28"/>
          <w:szCs w:val="28"/>
        </w:rPr>
        <w:t>编号：</w:t>
      </w:r>
      <w:r>
        <w:rPr>
          <w:rFonts w:ascii="仿宋" w:hAnsi="仿宋" w:eastAsia="仿宋"/>
          <w:color w:val="000000"/>
          <w:sz w:val="28"/>
          <w:szCs w:val="28"/>
        </w:rPr>
        <w:t>DBJT202</w:t>
      </w:r>
      <w:r>
        <w:rPr>
          <w:rFonts w:hint="eastAsia" w:ascii="仿宋" w:hAnsi="仿宋" w:eastAsia="仿宋"/>
          <w:color w:val="000000"/>
          <w:sz w:val="28"/>
          <w:szCs w:val="28"/>
          <w:lang w:val="en-US" w:eastAsia="zh-CN"/>
        </w:rPr>
        <w:t>60611</w:t>
      </w:r>
    </w:p>
    <w:tbl>
      <w:tblPr>
        <w:tblStyle w:val="9"/>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0"/>
        <w:gridCol w:w="7376"/>
      </w:tblGrid>
      <w:tr w14:paraId="55AB6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vAlign w:val="center"/>
          </w:tcPr>
          <w:p w14:paraId="60EE5A69">
            <w:pPr>
              <w:spacing w:line="500" w:lineRule="exact"/>
              <w:jc w:val="center"/>
              <w:rPr>
                <w:rFonts w:ascii="仿宋" w:hAnsi="仿宋" w:eastAsia="仿宋" w:cs="宋?"/>
                <w:color w:val="000000"/>
                <w:kern w:val="0"/>
                <w:sz w:val="28"/>
                <w:szCs w:val="28"/>
              </w:rPr>
            </w:pPr>
            <w:r>
              <w:rPr>
                <w:rFonts w:hint="eastAsia" w:ascii="仿宋" w:hAnsi="仿宋" w:eastAsia="仿宋" w:cs="宋?"/>
                <w:color w:val="000000"/>
                <w:kern w:val="0"/>
                <w:sz w:val="28"/>
                <w:szCs w:val="28"/>
              </w:rPr>
              <w:t>投资者关系</w:t>
            </w:r>
          </w:p>
          <w:p w14:paraId="641DAC36">
            <w:pPr>
              <w:spacing w:line="500" w:lineRule="exact"/>
              <w:jc w:val="center"/>
              <w:rPr>
                <w:rFonts w:ascii="仿宋" w:hAnsi="仿宋" w:eastAsia="仿宋"/>
                <w:color w:val="000000"/>
                <w:sz w:val="28"/>
                <w:szCs w:val="28"/>
              </w:rPr>
            </w:pPr>
            <w:r>
              <w:rPr>
                <w:rFonts w:hint="eastAsia" w:ascii="仿宋" w:hAnsi="仿宋" w:eastAsia="仿宋" w:cs="宋?"/>
                <w:color w:val="000000"/>
                <w:kern w:val="0"/>
                <w:sz w:val="28"/>
                <w:szCs w:val="28"/>
              </w:rPr>
              <w:t>活动类别</w:t>
            </w:r>
          </w:p>
        </w:tc>
        <w:tc>
          <w:tcPr>
            <w:tcW w:w="7376" w:type="dxa"/>
            <w:vAlign w:val="center"/>
          </w:tcPr>
          <w:p w14:paraId="40B1A254">
            <w:pPr>
              <w:autoSpaceDE w:val="0"/>
              <w:autoSpaceDN w:val="0"/>
              <w:adjustRightInd w:val="0"/>
              <w:spacing w:line="500" w:lineRule="exact"/>
              <w:ind w:left="108"/>
              <w:jc w:val="left"/>
              <w:rPr>
                <w:rFonts w:ascii="仿宋" w:hAnsi="仿宋" w:eastAsia="仿宋" w:cs="宋?"/>
                <w:color w:val="000000"/>
                <w:kern w:val="0"/>
                <w:sz w:val="28"/>
                <w:szCs w:val="28"/>
              </w:rPr>
            </w:pPr>
            <w:r>
              <w:rPr>
                <w:rFonts w:hint="eastAsia" w:ascii="仿宋" w:hAnsi="仿宋" w:eastAsia="仿宋" w:cs="宋?"/>
                <w:color w:val="000000"/>
                <w:kern w:val="0"/>
                <w:sz w:val="28"/>
                <w:szCs w:val="28"/>
              </w:rPr>
              <w:t>□特定对象调研        □分析师会议</w:t>
            </w:r>
          </w:p>
          <w:p w14:paraId="59117978">
            <w:pPr>
              <w:autoSpaceDE w:val="0"/>
              <w:autoSpaceDN w:val="0"/>
              <w:adjustRightInd w:val="0"/>
              <w:spacing w:line="500" w:lineRule="exact"/>
              <w:ind w:left="108"/>
              <w:jc w:val="left"/>
              <w:rPr>
                <w:rFonts w:ascii="仿宋" w:hAnsi="仿宋" w:eastAsia="仿宋" w:cs="宋?"/>
                <w:color w:val="000000"/>
                <w:kern w:val="0"/>
                <w:sz w:val="28"/>
                <w:szCs w:val="28"/>
              </w:rPr>
            </w:pPr>
            <w:r>
              <w:rPr>
                <w:rFonts w:hint="eastAsia" w:ascii="仿宋" w:hAnsi="仿宋" w:eastAsia="仿宋" w:cs="宋?"/>
                <w:color w:val="000000"/>
                <w:kern w:val="0"/>
                <w:sz w:val="28"/>
                <w:szCs w:val="28"/>
              </w:rPr>
              <w:t xml:space="preserve">□媒体采访            </w:t>
            </w:r>
            <w:r>
              <w:rPr>
                <w:rFonts w:hint="eastAsia" w:ascii="仿宋" w:hAnsi="仿宋" w:eastAsia="仿宋" w:cs="宋?"/>
                <w:color w:val="000000"/>
                <w:kern w:val="0"/>
                <w:sz w:val="28"/>
                <w:szCs w:val="28"/>
              </w:rPr>
              <w:sym w:font="Wingdings 2" w:char="0052"/>
            </w:r>
            <w:r>
              <w:rPr>
                <w:rFonts w:hint="eastAsia" w:ascii="仿宋" w:hAnsi="仿宋" w:eastAsia="仿宋" w:cs="宋?"/>
                <w:color w:val="000000"/>
                <w:kern w:val="0"/>
                <w:sz w:val="28"/>
                <w:szCs w:val="28"/>
              </w:rPr>
              <w:t>业绩说明会</w:t>
            </w:r>
          </w:p>
          <w:p w14:paraId="4F248F35">
            <w:pPr>
              <w:autoSpaceDE w:val="0"/>
              <w:autoSpaceDN w:val="0"/>
              <w:adjustRightInd w:val="0"/>
              <w:spacing w:line="500" w:lineRule="exact"/>
              <w:ind w:left="108"/>
              <w:jc w:val="left"/>
              <w:rPr>
                <w:rFonts w:ascii="仿宋" w:hAnsi="仿宋" w:eastAsia="仿宋" w:cs="宋?"/>
                <w:color w:val="000000"/>
                <w:kern w:val="0"/>
                <w:sz w:val="28"/>
                <w:szCs w:val="28"/>
              </w:rPr>
            </w:pPr>
            <w:r>
              <w:rPr>
                <w:rFonts w:hint="eastAsia" w:ascii="仿宋" w:hAnsi="仿宋" w:eastAsia="仿宋" w:cs="宋?"/>
                <w:color w:val="000000"/>
                <w:kern w:val="0"/>
                <w:sz w:val="28"/>
                <w:szCs w:val="28"/>
              </w:rPr>
              <w:t xml:space="preserve">□新闻发布会          </w:t>
            </w:r>
            <w:r>
              <w:rPr>
                <w:rFonts w:hint="eastAsia" w:ascii="仿宋" w:hAnsi="仿宋" w:eastAsia="仿宋" w:cs="宋?"/>
                <w:color w:val="000000"/>
                <w:kern w:val="0"/>
                <w:sz w:val="28"/>
                <w:szCs w:val="28"/>
              </w:rPr>
              <w:sym w:font="Wingdings 2" w:char="00A3"/>
            </w:r>
            <w:r>
              <w:rPr>
                <w:rFonts w:hint="eastAsia" w:ascii="仿宋" w:hAnsi="仿宋" w:eastAsia="仿宋" w:cs="宋?"/>
                <w:color w:val="000000"/>
                <w:kern w:val="0"/>
                <w:sz w:val="28"/>
                <w:szCs w:val="28"/>
              </w:rPr>
              <w:t>路演活动</w:t>
            </w:r>
          </w:p>
          <w:p w14:paraId="7AE360A2">
            <w:pPr>
              <w:autoSpaceDE w:val="0"/>
              <w:autoSpaceDN w:val="0"/>
              <w:adjustRightInd w:val="0"/>
              <w:spacing w:line="500" w:lineRule="exact"/>
              <w:ind w:left="108"/>
              <w:jc w:val="left"/>
              <w:rPr>
                <w:rFonts w:ascii="仿宋" w:hAnsi="仿宋" w:eastAsia="仿宋" w:cs="宋?"/>
                <w:color w:val="000000"/>
                <w:kern w:val="0"/>
                <w:sz w:val="28"/>
                <w:szCs w:val="28"/>
              </w:rPr>
            </w:pPr>
            <w:r>
              <w:rPr>
                <w:rFonts w:hint="eastAsia" w:ascii="仿宋" w:hAnsi="仿宋" w:eastAsia="仿宋" w:cs="宋?"/>
                <w:color w:val="000000"/>
                <w:kern w:val="0"/>
                <w:sz w:val="28"/>
                <w:szCs w:val="28"/>
              </w:rPr>
              <w:t>□现场参观</w:t>
            </w:r>
          </w:p>
          <w:p w14:paraId="054CD448">
            <w:pPr>
              <w:autoSpaceDE w:val="0"/>
              <w:autoSpaceDN w:val="0"/>
              <w:adjustRightInd w:val="0"/>
              <w:spacing w:line="500" w:lineRule="exact"/>
              <w:ind w:left="108"/>
              <w:jc w:val="left"/>
              <w:rPr>
                <w:rFonts w:ascii="仿宋" w:hAnsi="仿宋" w:eastAsia="仿宋"/>
                <w:color w:val="000000"/>
                <w:sz w:val="28"/>
                <w:szCs w:val="28"/>
              </w:rPr>
            </w:pPr>
            <w:r>
              <w:rPr>
                <w:rFonts w:hint="eastAsia" w:ascii="仿宋" w:hAnsi="仿宋" w:eastAsia="仿宋" w:cs="宋?"/>
                <w:color w:val="000000"/>
                <w:kern w:val="0"/>
                <w:sz w:val="28"/>
                <w:szCs w:val="28"/>
              </w:rPr>
              <w:t>□其他</w:t>
            </w:r>
            <w:r>
              <w:rPr>
                <w:rFonts w:hint="eastAsia" w:ascii="仿宋" w:hAnsi="仿宋" w:eastAsia="仿宋" w:cs="宋?"/>
                <w:color w:val="000000"/>
                <w:kern w:val="0"/>
                <w:sz w:val="28"/>
                <w:szCs w:val="28"/>
                <w:u w:val="single"/>
              </w:rPr>
              <w:t xml:space="preserve">                </w:t>
            </w:r>
            <w:r>
              <w:rPr>
                <w:rFonts w:hint="eastAsia" w:ascii="仿宋" w:hAnsi="仿宋" w:eastAsia="仿宋" w:cs="宋?"/>
                <w:color w:val="000000"/>
                <w:kern w:val="0"/>
                <w:sz w:val="28"/>
                <w:szCs w:val="28"/>
              </w:rPr>
              <w:t>（请文字说明活动内容）</w:t>
            </w:r>
          </w:p>
        </w:tc>
      </w:tr>
      <w:tr w14:paraId="7F7DF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vAlign w:val="center"/>
          </w:tcPr>
          <w:p w14:paraId="7C8EB6D8">
            <w:pPr>
              <w:spacing w:line="500" w:lineRule="exact"/>
              <w:jc w:val="center"/>
              <w:rPr>
                <w:rFonts w:ascii="仿宋" w:hAnsi="仿宋" w:eastAsia="仿宋" w:cs="宋?"/>
                <w:color w:val="000000"/>
                <w:kern w:val="0"/>
                <w:sz w:val="28"/>
                <w:szCs w:val="28"/>
              </w:rPr>
            </w:pPr>
            <w:r>
              <w:rPr>
                <w:rFonts w:hint="eastAsia" w:ascii="仿宋" w:hAnsi="仿宋" w:eastAsia="仿宋" w:cs="宋?"/>
                <w:color w:val="000000"/>
                <w:kern w:val="0"/>
                <w:sz w:val="28"/>
                <w:szCs w:val="28"/>
              </w:rPr>
              <w:t>参与单位名称</w:t>
            </w:r>
          </w:p>
          <w:p w14:paraId="70B595EC">
            <w:pPr>
              <w:spacing w:line="500" w:lineRule="exact"/>
              <w:jc w:val="center"/>
              <w:rPr>
                <w:rFonts w:ascii="仿宋" w:hAnsi="仿宋" w:eastAsia="仿宋"/>
                <w:color w:val="000000"/>
                <w:sz w:val="28"/>
                <w:szCs w:val="28"/>
              </w:rPr>
            </w:pPr>
            <w:r>
              <w:rPr>
                <w:rFonts w:hint="eastAsia" w:ascii="仿宋" w:hAnsi="仿宋" w:eastAsia="仿宋" w:cs="宋?"/>
                <w:color w:val="000000"/>
                <w:kern w:val="0"/>
                <w:sz w:val="28"/>
                <w:szCs w:val="28"/>
              </w:rPr>
              <w:t>及人员姓名</w:t>
            </w:r>
          </w:p>
        </w:tc>
        <w:tc>
          <w:tcPr>
            <w:tcW w:w="7376" w:type="dxa"/>
            <w:vAlign w:val="center"/>
          </w:tcPr>
          <w:p w14:paraId="22254E61">
            <w:pPr>
              <w:spacing w:line="500" w:lineRule="exact"/>
              <w:ind w:left="-105" w:leftChars="-50" w:right="-105" w:rightChars="-50"/>
              <w:jc w:val="center"/>
              <w:rPr>
                <w:rFonts w:ascii="仿宋" w:hAnsi="仿宋" w:eastAsia="仿宋"/>
                <w:color w:val="000000"/>
                <w:sz w:val="28"/>
                <w:szCs w:val="28"/>
              </w:rPr>
            </w:pPr>
            <w:r>
              <w:rPr>
                <w:rFonts w:hint="eastAsia" w:ascii="仿宋" w:hAnsi="仿宋" w:eastAsia="仿宋"/>
                <w:color w:val="000000"/>
                <w:sz w:val="28"/>
                <w:szCs w:val="28"/>
              </w:rPr>
              <w:t>上证路演中心平台投资者与</w:t>
            </w:r>
          </w:p>
          <w:p w14:paraId="0E4A3A0A">
            <w:pPr>
              <w:spacing w:line="500" w:lineRule="exact"/>
              <w:ind w:left="-105" w:leftChars="-50" w:right="-105" w:rightChars="-50"/>
              <w:jc w:val="center"/>
              <w:rPr>
                <w:rFonts w:ascii="仿宋" w:hAnsi="仿宋" w:eastAsia="仿宋"/>
                <w:color w:val="000000"/>
                <w:sz w:val="28"/>
                <w:szCs w:val="28"/>
              </w:rPr>
            </w:pPr>
            <w:r>
              <w:rPr>
                <w:rFonts w:hint="eastAsia" w:ascii="仿宋" w:hAnsi="仿宋" w:eastAsia="仿宋"/>
                <w:color w:val="000000"/>
                <w:sz w:val="28"/>
                <w:szCs w:val="28"/>
              </w:rPr>
              <w:t>公司通过视频录播+文字互动方式进行交流</w:t>
            </w:r>
          </w:p>
        </w:tc>
      </w:tr>
      <w:tr w14:paraId="66700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vAlign w:val="center"/>
          </w:tcPr>
          <w:p w14:paraId="25B03083">
            <w:pPr>
              <w:spacing w:line="500" w:lineRule="exact"/>
              <w:jc w:val="center"/>
              <w:rPr>
                <w:rFonts w:ascii="仿宋" w:hAnsi="仿宋" w:eastAsia="仿宋"/>
                <w:color w:val="000000"/>
                <w:sz w:val="28"/>
                <w:szCs w:val="28"/>
              </w:rPr>
            </w:pPr>
            <w:r>
              <w:rPr>
                <w:rFonts w:hint="eastAsia" w:ascii="仿宋" w:hAnsi="仿宋" w:eastAsia="仿宋" w:cs="宋?"/>
                <w:color w:val="000000"/>
                <w:kern w:val="0"/>
                <w:sz w:val="28"/>
                <w:szCs w:val="28"/>
              </w:rPr>
              <w:t>时     间</w:t>
            </w:r>
          </w:p>
        </w:tc>
        <w:tc>
          <w:tcPr>
            <w:tcW w:w="7376" w:type="dxa"/>
            <w:vAlign w:val="center"/>
          </w:tcPr>
          <w:p w14:paraId="7F248E9B">
            <w:pPr>
              <w:spacing w:line="500" w:lineRule="exact"/>
              <w:jc w:val="left"/>
              <w:rPr>
                <w:rFonts w:ascii="仿宋" w:hAnsi="仿宋" w:eastAsia="仿宋"/>
                <w:color w:val="000000"/>
                <w:sz w:val="28"/>
                <w:szCs w:val="28"/>
              </w:rPr>
            </w:pPr>
            <w:r>
              <w:rPr>
                <w:rFonts w:hint="eastAsia" w:ascii="仿宋" w:hAnsi="仿宋" w:eastAsia="仿宋"/>
                <w:color w:val="000000"/>
                <w:sz w:val="28"/>
                <w:szCs w:val="28"/>
              </w:rPr>
              <w:t>202</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11</w:t>
            </w:r>
            <w:r>
              <w:rPr>
                <w:rFonts w:hint="eastAsia" w:ascii="仿宋" w:hAnsi="仿宋" w:eastAsia="仿宋"/>
                <w:color w:val="000000"/>
                <w:sz w:val="28"/>
                <w:szCs w:val="28"/>
              </w:rPr>
              <w:t>日1</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:00-</w:t>
            </w:r>
            <w:r>
              <w:rPr>
                <w:rFonts w:hint="eastAsia" w:ascii="仿宋" w:hAnsi="仿宋" w:eastAsia="仿宋"/>
                <w:color w:val="000000"/>
                <w:sz w:val="28"/>
                <w:szCs w:val="28"/>
                <w:lang w:val="en-US" w:eastAsia="zh-CN"/>
              </w:rPr>
              <w:t>16</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0</w:t>
            </w:r>
            <w:r>
              <w:rPr>
                <w:rFonts w:hint="eastAsia" w:ascii="仿宋" w:hAnsi="仿宋" w:eastAsia="仿宋"/>
                <w:color w:val="000000"/>
                <w:sz w:val="28"/>
                <w:szCs w:val="28"/>
              </w:rPr>
              <w:t>0</w:t>
            </w:r>
          </w:p>
        </w:tc>
      </w:tr>
      <w:tr w14:paraId="19EF9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vAlign w:val="center"/>
          </w:tcPr>
          <w:p w14:paraId="1C89F24E">
            <w:pPr>
              <w:spacing w:line="500" w:lineRule="exact"/>
              <w:jc w:val="center"/>
              <w:rPr>
                <w:rFonts w:ascii="仿宋" w:hAnsi="仿宋" w:eastAsia="仿宋"/>
                <w:color w:val="000000"/>
                <w:sz w:val="28"/>
                <w:szCs w:val="28"/>
              </w:rPr>
            </w:pPr>
            <w:r>
              <w:rPr>
                <w:rFonts w:hint="eastAsia" w:ascii="仿宋" w:hAnsi="仿宋" w:eastAsia="仿宋" w:cs="宋?"/>
                <w:color w:val="000000"/>
                <w:kern w:val="0"/>
                <w:sz w:val="28"/>
                <w:szCs w:val="28"/>
              </w:rPr>
              <w:t>地     点</w:t>
            </w:r>
          </w:p>
        </w:tc>
        <w:tc>
          <w:tcPr>
            <w:tcW w:w="7376" w:type="dxa"/>
            <w:vAlign w:val="center"/>
          </w:tcPr>
          <w:p w14:paraId="11AA8028">
            <w:pPr>
              <w:spacing w:line="500" w:lineRule="exact"/>
              <w:jc w:val="left"/>
              <w:rPr>
                <w:rFonts w:hint="eastAsia" w:ascii="仿宋" w:hAnsi="仿宋" w:eastAsia="仿宋"/>
                <w:color w:val="000000"/>
                <w:sz w:val="28"/>
                <w:szCs w:val="28"/>
              </w:rPr>
            </w:pPr>
            <w:r>
              <w:rPr>
                <w:rFonts w:hint="eastAsia" w:ascii="仿宋" w:hAnsi="仿宋" w:eastAsia="仿宋"/>
                <w:color w:val="000000"/>
                <w:sz w:val="28"/>
                <w:szCs w:val="28"/>
              </w:rPr>
              <w:t>上海证券交易所上证路演中心（http://roadshow.sseinfo.com/）</w:t>
            </w:r>
          </w:p>
        </w:tc>
      </w:tr>
      <w:tr w14:paraId="58AB7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9" w:hRule="atLeast"/>
          <w:jc w:val="center"/>
        </w:trPr>
        <w:tc>
          <w:tcPr>
            <w:tcW w:w="1980" w:type="dxa"/>
            <w:vAlign w:val="center"/>
          </w:tcPr>
          <w:p w14:paraId="4268CB49">
            <w:pPr>
              <w:spacing w:line="500" w:lineRule="exact"/>
              <w:jc w:val="center"/>
              <w:rPr>
                <w:rFonts w:ascii="仿宋" w:hAnsi="仿宋" w:eastAsia="仿宋" w:cs="宋?"/>
                <w:color w:val="000000"/>
                <w:kern w:val="0"/>
                <w:sz w:val="28"/>
                <w:szCs w:val="28"/>
              </w:rPr>
            </w:pPr>
            <w:r>
              <w:rPr>
                <w:rFonts w:hint="eastAsia" w:ascii="仿宋" w:hAnsi="仿宋" w:eastAsia="仿宋" w:cs="宋?"/>
                <w:color w:val="000000"/>
                <w:kern w:val="0"/>
                <w:sz w:val="28"/>
                <w:szCs w:val="28"/>
              </w:rPr>
              <w:t>上市公司接</w:t>
            </w:r>
          </w:p>
          <w:p w14:paraId="24DFAE5F">
            <w:pPr>
              <w:spacing w:line="500" w:lineRule="exact"/>
              <w:jc w:val="center"/>
              <w:rPr>
                <w:rFonts w:ascii="仿宋" w:hAnsi="仿宋" w:eastAsia="仿宋"/>
                <w:color w:val="000000"/>
                <w:sz w:val="28"/>
                <w:szCs w:val="28"/>
              </w:rPr>
            </w:pPr>
            <w:r>
              <w:rPr>
                <w:rFonts w:hint="eastAsia" w:ascii="仿宋" w:hAnsi="仿宋" w:eastAsia="仿宋" w:cs="宋?"/>
                <w:color w:val="000000"/>
                <w:kern w:val="0"/>
                <w:sz w:val="28"/>
                <w:szCs w:val="28"/>
              </w:rPr>
              <w:t>待人员姓名</w:t>
            </w:r>
          </w:p>
        </w:tc>
        <w:tc>
          <w:tcPr>
            <w:tcW w:w="7376" w:type="dxa"/>
            <w:vAlign w:val="center"/>
          </w:tcPr>
          <w:p w14:paraId="2B2B60E3">
            <w:pPr>
              <w:spacing w:line="500" w:lineRule="exact"/>
              <w:jc w:val="left"/>
              <w:rPr>
                <w:rFonts w:ascii="仿宋" w:hAnsi="仿宋" w:eastAsia="仿宋"/>
                <w:color w:val="000000"/>
                <w:sz w:val="28"/>
                <w:szCs w:val="28"/>
              </w:rPr>
            </w:pPr>
            <w:r>
              <w:rPr>
                <w:rFonts w:hint="eastAsia" w:ascii="仿宋" w:hAnsi="仿宋" w:eastAsia="仿宋"/>
                <w:color w:val="000000"/>
                <w:sz w:val="28"/>
                <w:szCs w:val="28"/>
              </w:rPr>
              <w:t>董事长、总裁  施文义先生</w:t>
            </w:r>
          </w:p>
          <w:p w14:paraId="1DDB04A9">
            <w:pPr>
              <w:spacing w:line="500" w:lineRule="exact"/>
              <w:jc w:val="left"/>
              <w:rPr>
                <w:rFonts w:ascii="仿宋" w:hAnsi="仿宋" w:eastAsia="仿宋"/>
                <w:color w:val="000000"/>
                <w:sz w:val="28"/>
                <w:szCs w:val="28"/>
              </w:rPr>
            </w:pPr>
            <w:r>
              <w:rPr>
                <w:rFonts w:ascii="仿宋" w:hAnsi="仿宋" w:eastAsia="仿宋"/>
                <w:color w:val="000000"/>
                <w:sz w:val="28"/>
                <w:szCs w:val="28"/>
              </w:rPr>
              <w:t>董事、副总裁、财务总监</w:t>
            </w:r>
            <w:r>
              <w:rPr>
                <w:rFonts w:hint="eastAsia" w:ascii="仿宋" w:hAnsi="仿宋" w:eastAsia="仿宋"/>
                <w:color w:val="000000"/>
                <w:sz w:val="28"/>
                <w:szCs w:val="28"/>
              </w:rPr>
              <w:t xml:space="preserve">  林建兴先生</w:t>
            </w:r>
          </w:p>
          <w:p w14:paraId="35FF8D38">
            <w:pPr>
              <w:spacing w:line="500" w:lineRule="exact"/>
              <w:jc w:val="left"/>
              <w:rPr>
                <w:rFonts w:hint="default" w:ascii="仿宋" w:hAnsi="仿宋" w:eastAsia="仿宋"/>
                <w:color w:val="000000"/>
                <w:sz w:val="28"/>
                <w:szCs w:val="28"/>
                <w:lang w:val="en-US" w:eastAsia="zh-CN"/>
              </w:rPr>
            </w:pPr>
            <w:r>
              <w:rPr>
                <w:rFonts w:hint="eastAsia" w:ascii="仿宋" w:hAnsi="仿宋" w:eastAsia="仿宋"/>
                <w:color w:val="000000"/>
                <w:sz w:val="28"/>
                <w:szCs w:val="28"/>
              </w:rPr>
              <w:t xml:space="preserve">独立董事  </w:t>
            </w:r>
            <w:r>
              <w:rPr>
                <w:rFonts w:hint="eastAsia" w:ascii="仿宋" w:hAnsi="仿宋" w:eastAsia="仿宋"/>
                <w:color w:val="000000"/>
                <w:sz w:val="28"/>
                <w:szCs w:val="28"/>
                <w:lang w:val="en-US" w:eastAsia="zh-CN"/>
              </w:rPr>
              <w:t>张榕女士</w:t>
            </w:r>
          </w:p>
          <w:p w14:paraId="3899B7C8">
            <w:pPr>
              <w:spacing w:line="500" w:lineRule="exact"/>
              <w:jc w:val="left"/>
              <w:rPr>
                <w:rFonts w:hint="default" w:ascii="仿宋" w:hAnsi="仿宋" w:eastAsia="仿宋"/>
                <w:color w:val="000000"/>
                <w:sz w:val="28"/>
                <w:szCs w:val="28"/>
                <w:lang w:val="en-US" w:eastAsia="zh-CN"/>
              </w:rPr>
            </w:pPr>
            <w:r>
              <w:rPr>
                <w:rFonts w:hint="eastAsia" w:ascii="仿宋" w:hAnsi="仿宋" w:eastAsia="仿宋"/>
                <w:color w:val="000000"/>
                <w:sz w:val="28"/>
                <w:szCs w:val="28"/>
              </w:rPr>
              <w:t xml:space="preserve">董事会秘书  </w:t>
            </w:r>
            <w:r>
              <w:rPr>
                <w:rFonts w:hint="eastAsia" w:ascii="仿宋" w:hAnsi="仿宋" w:eastAsia="仿宋"/>
                <w:color w:val="000000"/>
                <w:sz w:val="28"/>
                <w:szCs w:val="28"/>
                <w:lang w:val="en-US" w:eastAsia="zh-CN"/>
              </w:rPr>
              <w:t>刘海芬女士</w:t>
            </w:r>
          </w:p>
        </w:tc>
      </w:tr>
      <w:tr w14:paraId="7D6BC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vAlign w:val="center"/>
          </w:tcPr>
          <w:p w14:paraId="1F6AE2E0">
            <w:pPr>
              <w:spacing w:line="500" w:lineRule="exact"/>
              <w:jc w:val="center"/>
              <w:rPr>
                <w:rFonts w:ascii="仿宋" w:hAnsi="仿宋" w:eastAsia="仿宋" w:cs="宋?"/>
                <w:color w:val="000000"/>
                <w:kern w:val="0"/>
                <w:sz w:val="28"/>
                <w:szCs w:val="28"/>
              </w:rPr>
            </w:pPr>
            <w:r>
              <w:rPr>
                <w:rFonts w:hint="eastAsia" w:ascii="仿宋" w:hAnsi="仿宋" w:eastAsia="仿宋" w:cs="宋?"/>
                <w:color w:val="000000"/>
                <w:kern w:val="0"/>
                <w:sz w:val="28"/>
                <w:szCs w:val="28"/>
              </w:rPr>
              <w:t>投资者关系</w:t>
            </w:r>
          </w:p>
          <w:p w14:paraId="2AF3498E">
            <w:pPr>
              <w:spacing w:line="500" w:lineRule="exact"/>
              <w:jc w:val="center"/>
              <w:rPr>
                <w:rFonts w:ascii="仿宋" w:hAnsi="仿宋" w:eastAsia="仿宋" w:cs="宋?"/>
                <w:color w:val="000000"/>
                <w:kern w:val="0"/>
                <w:sz w:val="28"/>
                <w:szCs w:val="28"/>
              </w:rPr>
            </w:pPr>
            <w:r>
              <w:rPr>
                <w:rFonts w:hint="eastAsia" w:ascii="仿宋" w:hAnsi="仿宋" w:eastAsia="仿宋" w:cs="宋?"/>
                <w:color w:val="000000"/>
                <w:kern w:val="0"/>
                <w:sz w:val="28"/>
                <w:szCs w:val="28"/>
              </w:rPr>
              <w:t>活动主要</w:t>
            </w:r>
          </w:p>
          <w:p w14:paraId="471C5E04">
            <w:pPr>
              <w:spacing w:line="500" w:lineRule="exact"/>
              <w:jc w:val="center"/>
              <w:rPr>
                <w:rFonts w:ascii="仿宋" w:hAnsi="仿宋" w:eastAsia="仿宋" w:cs="宋?"/>
                <w:color w:val="000000"/>
                <w:kern w:val="0"/>
                <w:sz w:val="28"/>
                <w:szCs w:val="28"/>
              </w:rPr>
            </w:pPr>
            <w:r>
              <w:rPr>
                <w:rFonts w:hint="eastAsia" w:ascii="仿宋" w:hAnsi="仿宋" w:eastAsia="仿宋" w:cs="宋?"/>
                <w:color w:val="000000"/>
                <w:kern w:val="0"/>
                <w:sz w:val="28"/>
                <w:szCs w:val="28"/>
              </w:rPr>
              <w:t>内容介绍</w:t>
            </w:r>
          </w:p>
        </w:tc>
        <w:tc>
          <w:tcPr>
            <w:tcW w:w="7376" w:type="dxa"/>
            <w:vAlign w:val="center"/>
          </w:tcPr>
          <w:p w14:paraId="03C1B5A9">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firstLine="56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福建东百集团股份有限公司（以下简称“公司”）</w:t>
            </w:r>
            <w:r>
              <w:rPr>
                <w:rFonts w:hint="eastAsia" w:ascii="仿宋" w:hAnsi="仿宋" w:eastAsia="仿宋" w:cs="仿宋"/>
                <w:color w:val="000000"/>
                <w:sz w:val="28"/>
                <w:szCs w:val="28"/>
                <w:lang w:val="en-US" w:eastAsia="zh-CN"/>
              </w:rPr>
              <w:t>分别</w:t>
            </w:r>
            <w:r>
              <w:rPr>
                <w:rFonts w:hint="eastAsia" w:ascii="仿宋" w:hAnsi="仿宋" w:eastAsia="仿宋" w:cs="仿宋"/>
                <w:color w:val="000000"/>
                <w:sz w:val="28"/>
                <w:szCs w:val="28"/>
              </w:rPr>
              <w:t>于202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日</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4月24日及6月4日</w:t>
            </w:r>
            <w:r>
              <w:rPr>
                <w:rFonts w:hint="eastAsia" w:ascii="仿宋" w:hAnsi="仿宋" w:eastAsia="仿宋" w:cs="仿宋"/>
                <w:color w:val="000000"/>
                <w:sz w:val="28"/>
                <w:szCs w:val="28"/>
              </w:rPr>
              <w:t>披露了《202</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年年度报告》</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2026年第一季度报告</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及《</w:t>
            </w:r>
            <w:r>
              <w:rPr>
                <w:rFonts w:hint="eastAsia" w:ascii="仿宋" w:hAnsi="仿宋" w:eastAsia="仿宋" w:cs="仿宋"/>
                <w:color w:val="000000"/>
                <w:sz w:val="28"/>
                <w:szCs w:val="28"/>
              </w:rPr>
              <w:t>关于召开2025年度暨2026年第一季度业绩说明会的公告</w:t>
            </w:r>
            <w:r>
              <w:rPr>
                <w:rFonts w:hint="eastAsia" w:ascii="仿宋" w:hAnsi="仿宋" w:eastAsia="仿宋" w:cs="仿宋"/>
                <w:color w:val="000000"/>
                <w:sz w:val="28"/>
                <w:szCs w:val="28"/>
              </w:rPr>
              <w:t>》</w:t>
            </w:r>
            <w:r>
              <w:rPr>
                <w:rFonts w:hint="eastAsia" w:ascii="仿宋" w:hAnsi="仿宋" w:eastAsia="仿宋" w:cs="仿宋"/>
                <w:color w:val="000000"/>
                <w:sz w:val="28"/>
                <w:szCs w:val="28"/>
              </w:rPr>
              <w:t>等相关公告。为加强与投资者的</w:t>
            </w:r>
            <w:bookmarkStart w:id="1" w:name="_GoBack"/>
            <w:bookmarkEnd w:id="1"/>
            <w:r>
              <w:rPr>
                <w:rFonts w:hint="eastAsia" w:ascii="仿宋" w:hAnsi="仿宋" w:eastAsia="仿宋" w:cs="仿宋"/>
                <w:color w:val="000000"/>
                <w:sz w:val="28"/>
                <w:szCs w:val="28"/>
              </w:rPr>
              <w:t>交流，公司于</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日</w:t>
            </w: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:00-</w:t>
            </w:r>
            <w:r>
              <w:rPr>
                <w:rFonts w:hint="eastAsia" w:ascii="仿宋" w:hAnsi="仿宋" w:eastAsia="仿宋"/>
                <w:color w:val="000000"/>
                <w:sz w:val="28"/>
                <w:szCs w:val="28"/>
                <w:lang w:val="en-US" w:eastAsia="zh-CN"/>
              </w:rPr>
              <w:t>16</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0</w:t>
            </w:r>
            <w:r>
              <w:rPr>
                <w:rFonts w:hint="eastAsia" w:ascii="仿宋" w:hAnsi="仿宋" w:eastAsia="仿宋"/>
                <w:color w:val="000000"/>
                <w:sz w:val="28"/>
                <w:szCs w:val="28"/>
              </w:rPr>
              <w:t>0</w:t>
            </w:r>
            <w:r>
              <w:rPr>
                <w:rFonts w:hint="eastAsia" w:ascii="仿宋" w:hAnsi="仿宋" w:eastAsia="仿宋" w:cs="仿宋"/>
                <w:color w:val="000000"/>
                <w:sz w:val="28"/>
                <w:szCs w:val="28"/>
              </w:rPr>
              <w:t>通过上证路演平台召开了2025年度暨2026年第一季度业绩说明会</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本次说明会</w:t>
            </w:r>
            <w:r>
              <w:rPr>
                <w:rFonts w:hint="eastAsia" w:ascii="仿宋" w:hAnsi="仿宋" w:eastAsia="仿宋"/>
                <w:color w:val="000000"/>
                <w:sz w:val="28"/>
                <w:szCs w:val="28"/>
              </w:rPr>
              <w:t>通过视频录播+文字互动方式</w:t>
            </w:r>
            <w:r>
              <w:rPr>
                <w:rFonts w:hint="eastAsia" w:ascii="仿宋" w:hAnsi="仿宋" w:eastAsia="仿宋" w:cs="仿宋"/>
                <w:color w:val="000000"/>
                <w:sz w:val="28"/>
                <w:szCs w:val="28"/>
              </w:rPr>
              <w:t>与广大投资者就公司2025年度及2026年第一季度的经营成果、财务指标等相关问题进行交流。具体交流内容整理如下:</w:t>
            </w:r>
          </w:p>
          <w:p w14:paraId="08A9EF70">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2" w:firstLineChars="200"/>
              <w:textAlignment w:val="auto"/>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Q1：</w:t>
            </w:r>
            <w:r>
              <w:rPr>
                <w:rFonts w:hint="eastAsia" w:ascii="仿宋" w:hAnsi="仿宋" w:eastAsia="仿宋" w:cs="仿宋"/>
                <w:b/>
                <w:bCs/>
                <w:color w:val="000000"/>
                <w:sz w:val="28"/>
                <w:szCs w:val="28"/>
              </w:rPr>
              <w:t>请问公司2025年分红政策及股东回报规划如何考量？</w:t>
            </w:r>
          </w:p>
          <w:p w14:paraId="7234B060">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0" w:firstLineChars="200"/>
              <w:textAlignment w:val="auto"/>
              <w:rPr>
                <w:rFonts w:hint="eastAsia" w:ascii="仿宋" w:hAnsi="仿宋" w:eastAsia="仿宋" w:cs="仿宋"/>
                <w:color w:val="000000"/>
                <w:sz w:val="28"/>
                <w:szCs w:val="28"/>
              </w:rPr>
            </w:pPr>
            <w:r>
              <w:rPr>
                <w:rFonts w:hint="eastAsia" w:ascii="仿宋" w:hAnsi="仿宋" w:eastAsia="仿宋" w:cs="仿宋"/>
                <w:b w:val="0"/>
                <w:bCs w:val="0"/>
                <w:color w:val="000000"/>
                <w:sz w:val="28"/>
                <w:szCs w:val="28"/>
                <w:lang w:val="en-US" w:eastAsia="zh-CN"/>
              </w:rPr>
              <w:t>A：</w:t>
            </w:r>
            <w:r>
              <w:rPr>
                <w:rFonts w:hint="eastAsia" w:ascii="仿宋" w:hAnsi="仿宋" w:eastAsia="仿宋" w:cs="仿宋"/>
                <w:color w:val="000000"/>
                <w:sz w:val="28"/>
                <w:szCs w:val="28"/>
              </w:rPr>
              <w:t>尊敬的投资者您好，公司高度重视投资者回报，2025年度公司拟派发现金3,479.38万元，加上2025年半年度现金分红金额，全年现金分红合计7,828.62万元，最近三个会计年度累计现金分红约1.83亿元。未来公司将继续聚焦经营，在保障公司长期健康发展的前提下，充分考虑投资者回报等情况综合制定利润分配方案。感谢您的关注。</w:t>
            </w:r>
          </w:p>
          <w:p w14:paraId="1F6FFFB1">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2" w:firstLineChars="200"/>
              <w:textAlignment w:val="auto"/>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Q2：</w:t>
            </w:r>
            <w:r>
              <w:rPr>
                <w:rFonts w:hint="eastAsia" w:ascii="仿宋" w:hAnsi="仿宋" w:eastAsia="仿宋" w:cs="仿宋"/>
                <w:b/>
                <w:bCs/>
                <w:color w:val="000000"/>
                <w:sz w:val="28"/>
                <w:szCs w:val="28"/>
              </w:rPr>
              <w:t>物流板块轻重资产协同进展如何？</w:t>
            </w:r>
          </w:p>
          <w:p w14:paraId="799D1E18">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0" w:firstLineChars="200"/>
              <w:textAlignment w:val="auto"/>
              <w:rPr>
                <w:rFonts w:hint="eastAsia" w:ascii="仿宋" w:hAnsi="仿宋" w:eastAsia="仿宋" w:cs="仿宋"/>
                <w:color w:val="000000"/>
                <w:sz w:val="28"/>
                <w:szCs w:val="28"/>
              </w:rPr>
            </w:pPr>
            <w:r>
              <w:rPr>
                <w:rFonts w:hint="eastAsia" w:ascii="仿宋" w:hAnsi="仿宋" w:eastAsia="仿宋" w:cs="仿宋"/>
                <w:b w:val="0"/>
                <w:bCs w:val="0"/>
                <w:color w:val="000000"/>
                <w:sz w:val="28"/>
                <w:szCs w:val="28"/>
                <w:lang w:val="en-US" w:eastAsia="zh-CN"/>
              </w:rPr>
              <w:t>A：</w:t>
            </w:r>
            <w:r>
              <w:rPr>
                <w:rFonts w:hint="eastAsia" w:ascii="仿宋" w:hAnsi="仿宋" w:eastAsia="仿宋" w:cs="仿宋"/>
                <w:color w:val="000000"/>
                <w:sz w:val="28"/>
                <w:szCs w:val="28"/>
              </w:rPr>
              <w:t>尊敬的投资者您好，公司近期转让北京亦庄仓储物流项目股权，回笼资金；同时在积极推进仓储物流项目资产证券化工作，打造资产上市平台；另外，公司将持续强化招商与资产运营能力，夯实物流园区全周期运营管理，打造现金流稳定的优质物流资产。感谢您的关注。</w:t>
            </w:r>
          </w:p>
          <w:p w14:paraId="03CCDD74">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2" w:firstLineChars="200"/>
              <w:textAlignment w:val="auto"/>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Q3：</w:t>
            </w:r>
            <w:r>
              <w:rPr>
                <w:rFonts w:hint="default" w:ascii="仿宋" w:hAnsi="仿宋" w:eastAsia="仿宋" w:cs="仿宋"/>
                <w:b/>
                <w:bCs/>
                <w:color w:val="000000"/>
                <w:sz w:val="28"/>
                <w:szCs w:val="28"/>
              </w:rPr>
              <w:t>公司未来1-2年是否有新业务拓展或并购计划？</w:t>
            </w:r>
          </w:p>
          <w:p w14:paraId="59AC09B5">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0" w:firstLineChars="200"/>
              <w:textAlignment w:val="auto"/>
              <w:rPr>
                <w:rFonts w:hint="eastAsia" w:ascii="仿宋" w:hAnsi="仿宋" w:eastAsia="仿宋" w:cs="仿宋"/>
                <w:color w:val="000000"/>
                <w:sz w:val="28"/>
                <w:szCs w:val="28"/>
              </w:rPr>
            </w:pPr>
            <w:r>
              <w:rPr>
                <w:rFonts w:hint="eastAsia" w:ascii="仿宋" w:hAnsi="仿宋" w:eastAsia="仿宋" w:cs="仿宋"/>
                <w:b w:val="0"/>
                <w:bCs w:val="0"/>
                <w:color w:val="000000"/>
                <w:sz w:val="28"/>
                <w:szCs w:val="28"/>
                <w:lang w:val="en-US" w:eastAsia="zh-CN"/>
              </w:rPr>
              <w:t>A：</w:t>
            </w:r>
            <w:r>
              <w:rPr>
                <w:rFonts w:hint="eastAsia" w:ascii="仿宋" w:hAnsi="仿宋" w:eastAsia="仿宋" w:cs="仿宋"/>
                <w:color w:val="000000"/>
                <w:sz w:val="28"/>
                <w:szCs w:val="28"/>
              </w:rPr>
              <w:t>尊敬的投资者您好，公司的长期愿景是成为专注于现代生活消费和物流领域的基础设施提供商和运营商。商业零售板块，坚持以福建、甘肃为双中心，打造“城市标杆购物中心为核心，文旅街区、城市更新非标项目为两翼”的多元资产组合，形成“核心标杆项目自持运营+轻资产管理与品牌输出”的可持续发展格局。仓储物流板块，围绕“投-建-招-退-管”闭环运作模式，强化招商运营能力，推动资产证券化，实现从重资产持有向轻资产管理的战略转型。公司如筹划相关重大投资、并购等事项，将严格按照监管规定及时履行信息披露义务。感谢您的关注。</w:t>
            </w:r>
          </w:p>
          <w:p w14:paraId="67F6FBE8">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2" w:firstLineChars="200"/>
              <w:textAlignment w:val="auto"/>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Q4：</w:t>
            </w:r>
            <w:r>
              <w:rPr>
                <w:rFonts w:hint="default" w:ascii="仿宋" w:hAnsi="仿宋" w:eastAsia="仿宋" w:cs="仿宋"/>
                <w:b/>
                <w:bCs/>
                <w:color w:val="000000"/>
                <w:sz w:val="28"/>
                <w:szCs w:val="28"/>
              </w:rPr>
              <w:t>仓储物流板块2025年收入增长37.72%，目前项目竣工及运营情况如何？</w:t>
            </w:r>
          </w:p>
          <w:p w14:paraId="5E45FB7D">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0" w:firstLineChars="200"/>
              <w:textAlignment w:val="auto"/>
              <w:rPr>
                <w:rFonts w:hint="default" w:ascii="仿宋" w:hAnsi="仿宋" w:eastAsia="仿宋" w:cs="仿宋"/>
                <w:color w:val="000000"/>
                <w:sz w:val="28"/>
                <w:szCs w:val="28"/>
              </w:rPr>
            </w:pPr>
            <w:r>
              <w:rPr>
                <w:rFonts w:hint="eastAsia" w:ascii="仿宋" w:hAnsi="仿宋" w:eastAsia="仿宋" w:cs="仿宋"/>
                <w:b w:val="0"/>
                <w:bCs w:val="0"/>
                <w:color w:val="000000"/>
                <w:sz w:val="28"/>
                <w:szCs w:val="28"/>
                <w:lang w:val="en-US" w:eastAsia="zh-CN"/>
              </w:rPr>
              <w:t>A：</w:t>
            </w:r>
            <w:r>
              <w:rPr>
                <w:rFonts w:hint="default" w:ascii="仿宋" w:hAnsi="仿宋" w:eastAsia="仿宋" w:cs="仿宋"/>
                <w:color w:val="000000"/>
                <w:sz w:val="28"/>
                <w:szCs w:val="28"/>
              </w:rPr>
              <w:t>尊敬的投资者您好，目前公司仍自持仓储物流项目11个，合计面积约110万平方米，2025年随着公司最后三个物流项目竣工，相关项目实现全部竣工。2025年该板块业务收入实现37%的增长，主要公司持续加大招商力度，存量项目出租率的提升以及新项目投入运营等，全年新增及续租租约面积超55万平方米，同比增长93%，客户类型覆盖电商、快递、零售消费、智能制造等多个领域，汇聚京东、顺丰、SHEIN、沃尔玛山姆、古茗、小米、比亚迪等行业头部企业。感谢您的关注。</w:t>
            </w:r>
          </w:p>
          <w:p w14:paraId="14E63FB3">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2" w:firstLineChars="200"/>
              <w:textAlignment w:val="auto"/>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Q5：</w:t>
            </w:r>
            <w:r>
              <w:rPr>
                <w:rFonts w:hint="default" w:ascii="仿宋" w:hAnsi="仿宋" w:eastAsia="仿宋" w:cs="仿宋"/>
                <w:b/>
                <w:bCs/>
                <w:color w:val="000000"/>
                <w:sz w:val="28"/>
                <w:szCs w:val="28"/>
              </w:rPr>
              <w:t>为商业零售公司，怎么看待今年“十五五”规划开局之年的消费刺激政策对公司的影响？</w:t>
            </w:r>
          </w:p>
          <w:p w14:paraId="2CDB67B9">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0" w:firstLineChars="200"/>
              <w:textAlignment w:val="auto"/>
              <w:rPr>
                <w:rFonts w:hint="default" w:ascii="仿宋" w:hAnsi="仿宋" w:eastAsia="仿宋" w:cs="仿宋"/>
                <w:color w:val="000000"/>
                <w:sz w:val="28"/>
                <w:szCs w:val="28"/>
              </w:rPr>
            </w:pPr>
            <w:r>
              <w:rPr>
                <w:rFonts w:hint="eastAsia" w:ascii="仿宋" w:hAnsi="仿宋" w:eastAsia="仿宋" w:cs="仿宋"/>
                <w:b w:val="0"/>
                <w:bCs w:val="0"/>
                <w:color w:val="000000"/>
                <w:sz w:val="28"/>
                <w:szCs w:val="28"/>
                <w:lang w:val="en-US" w:eastAsia="zh-CN"/>
              </w:rPr>
              <w:t>A：</w:t>
            </w:r>
            <w:r>
              <w:rPr>
                <w:rFonts w:hint="default" w:ascii="仿宋" w:hAnsi="仿宋" w:eastAsia="仿宋" w:cs="仿宋"/>
                <w:color w:val="000000"/>
                <w:sz w:val="28"/>
                <w:szCs w:val="28"/>
              </w:rPr>
              <w:t>尊敬的投资者您好，公司自持福州东百中心、兰州中心两大省会核心商圈商场，同时运营福清利桥古街文商旅项目，持续深耕首店经济、门店调改、文商旅融合、体验消费等，打造更具吸引力与竞争力的商业新生态。面向“十五五”新发展阶段，公司将持续聚焦主业，持续优化资产运营能力、完善多元消费场景，以稳健经营夯实长期盈利能力。感谢您的关注。</w:t>
            </w:r>
          </w:p>
          <w:p w14:paraId="37831F72">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2" w:firstLineChars="200"/>
              <w:textAlignment w:val="auto"/>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Q6：</w:t>
            </w:r>
            <w:r>
              <w:rPr>
                <w:rFonts w:hint="eastAsia" w:ascii="仿宋" w:hAnsi="仿宋" w:eastAsia="仿宋" w:cs="仿宋"/>
                <w:b/>
                <w:bCs/>
                <w:color w:val="000000"/>
                <w:sz w:val="28"/>
                <w:szCs w:val="28"/>
              </w:rPr>
              <w:t>福清东百利桥古街项目作为公司文商旅融合的重要布局，目前经营情况及客流表现如何？</w:t>
            </w:r>
          </w:p>
          <w:p w14:paraId="7D60C1B3">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0" w:firstLineChars="200"/>
              <w:textAlignment w:val="auto"/>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A：</w:t>
            </w:r>
            <w:r>
              <w:rPr>
                <w:rFonts w:hint="default" w:ascii="仿宋" w:hAnsi="仿宋" w:eastAsia="仿宋" w:cs="仿宋"/>
                <w:color w:val="000000"/>
                <w:sz w:val="28"/>
                <w:szCs w:val="28"/>
              </w:rPr>
              <w:t>尊敬的投资者您好，福清东百利桥古街是公司首个文商旅结合项目，该项目深度挖掘在地文化，结合年轻客群需求，联动城市IP与节庆活动，2025年客流量近2,200万人次，同比增长39%。项目于今年初获评国家AAA级旅游景区，并斩获“金灯奖”文旅地标等多项行业大奖。未来公司将持续续强化场景与内容运营，巩固客流与消费热度，推动公司商业零售业务可持续发展。感谢您的关注。</w:t>
            </w:r>
          </w:p>
          <w:p w14:paraId="0A0E6CDE">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2" w:firstLineChars="200"/>
              <w:textAlignment w:val="auto"/>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Q7：</w:t>
            </w:r>
            <w:r>
              <w:rPr>
                <w:rFonts w:hint="default" w:ascii="仿宋" w:hAnsi="仿宋" w:eastAsia="仿宋" w:cs="仿宋"/>
                <w:b/>
                <w:bCs/>
                <w:color w:val="000000"/>
                <w:sz w:val="28"/>
                <w:szCs w:val="28"/>
              </w:rPr>
              <w:t>查看贵司年报，关注到位于西北的兰州中心2025年净利润有1.88亿，销售规模和客流表现也非常亮眼，请领导分享下原因？</w:t>
            </w:r>
          </w:p>
          <w:p w14:paraId="2572AB8D">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0" w:firstLineChars="200"/>
              <w:textAlignment w:val="auto"/>
              <w:rPr>
                <w:rFonts w:hint="default" w:ascii="仿宋" w:hAnsi="仿宋" w:eastAsia="仿宋" w:cs="仿宋"/>
                <w:color w:val="000000"/>
                <w:sz w:val="28"/>
                <w:szCs w:val="28"/>
              </w:rPr>
            </w:pPr>
            <w:r>
              <w:rPr>
                <w:rFonts w:hint="eastAsia" w:ascii="仿宋" w:hAnsi="仿宋" w:eastAsia="仿宋" w:cs="仿宋"/>
                <w:b w:val="0"/>
                <w:bCs w:val="0"/>
                <w:color w:val="000000"/>
                <w:sz w:val="28"/>
                <w:szCs w:val="28"/>
                <w:lang w:val="en-US" w:eastAsia="zh-CN"/>
              </w:rPr>
              <w:t>A：</w:t>
            </w:r>
            <w:r>
              <w:rPr>
                <w:rFonts w:hint="default" w:ascii="仿宋" w:hAnsi="仿宋" w:eastAsia="仿宋" w:cs="仿宋"/>
                <w:color w:val="000000"/>
                <w:sz w:val="28"/>
                <w:szCs w:val="28"/>
              </w:rPr>
              <w:t>尊敬的投资者您好，兰州中心的核心驱动力在于“区位优势+首店经济+精细化运营”，该项目位于兰州市重要的城市主动脉西津东路，紧邻甘肃省博物馆，区位优势明显；项目体量大，业态齐全，消费场景多元，通过品牌持续迭代，汇集众多国内外知名品牌，2025年项目首进品牌中在甘青宁三省首进品牌的占比超过60%，区域商业的引领地位突出，形成强劲的消费虹吸效应。依托品牌资源与精细化运营能力，叠加得天独厚的区位条件，项目构筑起深厚的竞争壁垒，2025年度项目销售规模、客流数据继续保持甘肃市场第一。感谢您的关注。</w:t>
            </w:r>
          </w:p>
          <w:p w14:paraId="2F849092">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Q8：</w:t>
            </w:r>
            <w:r>
              <w:rPr>
                <w:rFonts w:hint="eastAsia" w:ascii="仿宋" w:hAnsi="仿宋" w:eastAsia="仿宋" w:cs="仿宋"/>
                <w:b/>
                <w:bCs/>
                <w:color w:val="000000"/>
                <w:sz w:val="28"/>
                <w:szCs w:val="28"/>
              </w:rPr>
              <w:t>2026年零售板块在门店扩张、品牌调整上有哪些计划？</w:t>
            </w:r>
          </w:p>
          <w:p w14:paraId="0FC38289">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0" w:firstLineChars="200"/>
              <w:textAlignment w:val="auto"/>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A：</w:t>
            </w:r>
            <w:r>
              <w:rPr>
                <w:rFonts w:hint="eastAsia" w:ascii="仿宋" w:hAnsi="仿宋" w:eastAsia="仿宋" w:cs="仿宋"/>
                <w:color w:val="000000"/>
                <w:sz w:val="28"/>
                <w:szCs w:val="28"/>
                <w:lang w:val="en-US"/>
              </w:rPr>
              <w:t>尊敬的投资者您好，公司依托福州和兰州两大核心区域，一方面深耕自有成熟门店，持续优化标杆项目经营效能；另一方面稳步推进商业轻资产项目拓展，向外输出成熟运营管理能力，兼顾经营稳健性。此外，公司持续推进品牌动态焕新升级，通过引入首店、区域特色品牌、沉浸式体验业态等方式，提升客流吸引力与消费转化，持续构筑核心竞争壁垒。感谢您的关注</w:t>
            </w:r>
            <w:r>
              <w:rPr>
                <w:rFonts w:hint="default" w:ascii="宋体"/>
                <w:sz w:val="24"/>
                <w:lang w:val="en-US"/>
              </w:rPr>
              <w:t>。</w:t>
            </w:r>
          </w:p>
        </w:tc>
      </w:tr>
      <w:tr w14:paraId="3CB98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vAlign w:val="center"/>
          </w:tcPr>
          <w:p w14:paraId="63CC3CC0">
            <w:pPr>
              <w:autoSpaceDE w:val="0"/>
              <w:autoSpaceDN w:val="0"/>
              <w:adjustRightInd w:val="0"/>
              <w:spacing w:line="500" w:lineRule="exact"/>
              <w:ind w:left="108"/>
              <w:jc w:val="center"/>
              <w:rPr>
                <w:rFonts w:ascii="仿宋" w:hAnsi="仿宋" w:eastAsia="仿宋" w:cs="宋?"/>
                <w:color w:val="000000"/>
                <w:kern w:val="0"/>
                <w:sz w:val="28"/>
                <w:szCs w:val="28"/>
              </w:rPr>
            </w:pPr>
            <w:bookmarkStart w:id="0" w:name="_Hlk103253471"/>
            <w:r>
              <w:rPr>
                <w:rFonts w:hint="eastAsia" w:ascii="仿宋" w:hAnsi="仿宋" w:eastAsia="仿宋" w:cs="宋?"/>
                <w:color w:val="000000"/>
                <w:kern w:val="0"/>
                <w:sz w:val="28"/>
                <w:szCs w:val="28"/>
              </w:rPr>
              <w:t>附件清单</w:t>
            </w:r>
          </w:p>
          <w:p w14:paraId="4B706431">
            <w:pPr>
              <w:autoSpaceDE w:val="0"/>
              <w:autoSpaceDN w:val="0"/>
              <w:adjustRightInd w:val="0"/>
              <w:spacing w:line="500" w:lineRule="exact"/>
              <w:ind w:left="108"/>
              <w:jc w:val="center"/>
              <w:rPr>
                <w:rFonts w:ascii="仿宋" w:hAnsi="仿宋" w:eastAsia="仿宋" w:cs="宋?"/>
                <w:color w:val="000000"/>
                <w:kern w:val="0"/>
                <w:sz w:val="28"/>
                <w:szCs w:val="28"/>
              </w:rPr>
            </w:pPr>
            <w:r>
              <w:rPr>
                <w:rFonts w:hint="eastAsia" w:ascii="仿宋" w:hAnsi="仿宋" w:eastAsia="仿宋" w:cs="宋?"/>
                <w:color w:val="000000"/>
                <w:kern w:val="0"/>
                <w:sz w:val="28"/>
                <w:szCs w:val="28"/>
              </w:rPr>
              <w:t>（如有）</w:t>
            </w:r>
          </w:p>
        </w:tc>
        <w:tc>
          <w:tcPr>
            <w:tcW w:w="7376" w:type="dxa"/>
            <w:vAlign w:val="center"/>
          </w:tcPr>
          <w:p w14:paraId="111EA02F">
            <w:pPr>
              <w:spacing w:line="500" w:lineRule="exact"/>
              <w:jc w:val="left"/>
              <w:rPr>
                <w:rFonts w:ascii="仿宋" w:hAnsi="仿宋" w:eastAsia="仿宋" w:cs="仿宋"/>
                <w:sz w:val="28"/>
                <w:szCs w:val="28"/>
              </w:rPr>
            </w:pPr>
            <w:r>
              <w:rPr>
                <w:rFonts w:hint="eastAsia" w:ascii="仿宋" w:hAnsi="仿宋" w:eastAsia="仿宋" w:cs="仿宋"/>
                <w:sz w:val="28"/>
                <w:szCs w:val="28"/>
              </w:rPr>
              <w:t>无</w:t>
            </w:r>
          </w:p>
        </w:tc>
      </w:tr>
      <w:tr w14:paraId="1A0A8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1980" w:type="dxa"/>
            <w:vAlign w:val="center"/>
          </w:tcPr>
          <w:p w14:paraId="5D6CA2E9">
            <w:pPr>
              <w:spacing w:line="500" w:lineRule="exact"/>
              <w:jc w:val="center"/>
              <w:rPr>
                <w:rFonts w:ascii="仿宋" w:hAnsi="仿宋" w:eastAsia="仿宋"/>
                <w:color w:val="000000"/>
                <w:sz w:val="28"/>
                <w:szCs w:val="28"/>
              </w:rPr>
            </w:pPr>
            <w:r>
              <w:rPr>
                <w:rFonts w:hint="eastAsia" w:ascii="仿宋" w:hAnsi="仿宋" w:eastAsia="仿宋" w:cs="宋?"/>
                <w:color w:val="000000"/>
                <w:kern w:val="0"/>
                <w:sz w:val="28"/>
                <w:szCs w:val="28"/>
              </w:rPr>
              <w:t>日     期</w:t>
            </w:r>
          </w:p>
        </w:tc>
        <w:tc>
          <w:tcPr>
            <w:tcW w:w="7376" w:type="dxa"/>
            <w:vAlign w:val="center"/>
          </w:tcPr>
          <w:p w14:paraId="3F195E89">
            <w:pPr>
              <w:spacing w:line="500" w:lineRule="exact"/>
              <w:jc w:val="left"/>
              <w:rPr>
                <w:rFonts w:ascii="仿宋" w:hAnsi="仿宋" w:eastAsia="仿宋"/>
                <w:color w:val="000000"/>
                <w:sz w:val="28"/>
                <w:szCs w:val="28"/>
              </w:rPr>
            </w:pPr>
            <w:r>
              <w:rPr>
                <w:rFonts w:hint="eastAsia" w:ascii="仿宋" w:hAnsi="仿宋" w:eastAsia="仿宋"/>
                <w:color w:val="000000"/>
                <w:sz w:val="28"/>
                <w:szCs w:val="28"/>
              </w:rPr>
              <w:t>20</w:t>
            </w:r>
            <w:r>
              <w:rPr>
                <w:rFonts w:hint="eastAsia" w:ascii="仿宋" w:hAnsi="仿宋" w:eastAsia="仿宋"/>
                <w:color w:val="000000"/>
                <w:sz w:val="28"/>
                <w:szCs w:val="28"/>
                <w:lang w:val="en-US" w:eastAsia="zh-CN"/>
              </w:rPr>
              <w:t>26</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11</w:t>
            </w:r>
            <w:r>
              <w:rPr>
                <w:rFonts w:hint="eastAsia" w:ascii="仿宋" w:hAnsi="仿宋" w:eastAsia="仿宋"/>
                <w:color w:val="000000"/>
                <w:sz w:val="28"/>
                <w:szCs w:val="28"/>
              </w:rPr>
              <w:t>日</w:t>
            </w:r>
          </w:p>
        </w:tc>
      </w:tr>
      <w:bookmarkEnd w:id="0"/>
    </w:tbl>
    <w:p w14:paraId="74904FB9">
      <w:pPr>
        <w:rPr>
          <w:rFonts w:ascii="仿宋" w:hAnsi="仿宋" w:eastAsia="仿宋"/>
        </w:rPr>
      </w:pPr>
    </w:p>
    <w:sectPr>
      <w:headerReference r:id="rId3" w:type="default"/>
      <w:footerReference r:id="rId4" w:type="default"/>
      <w:pgSz w:w="11906" w:h="16838"/>
      <w:pgMar w:top="1418" w:right="1304" w:bottom="1418" w:left="1304"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宋?">
    <w:altName w:val="Times New Roman"/>
    <w:panose1 w:val="00000000000000000000"/>
    <w:charset w:val="00"/>
    <w:family w:val="auto"/>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3356209"/>
    </w:sdtPr>
    <w:sdtEndPr>
      <w:rPr>
        <w:rFonts w:ascii="Times New Roman" w:hAnsi="Times New Roman" w:cs="Times New Roman"/>
      </w:rPr>
    </w:sdtEndPr>
    <w:sdtContent>
      <w:p w14:paraId="302ACCD5">
        <w:pPr>
          <w:pStyle w:val="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69609">
    <w:pPr>
      <w:pStyle w:val="6"/>
      <w:jc w:val="both"/>
    </w:pPr>
    <w:r>
      <w:drawing>
        <wp:inline distT="0" distB="0" distL="0" distR="0">
          <wp:extent cx="1285875" cy="335280"/>
          <wp:effectExtent l="19050" t="0" r="9525" b="0"/>
          <wp:docPr id="2" name="图片 1" descr="C:\Users\Administrator\Desktop\logo\东百集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logo\东百集团.png"/>
                  <pic:cNvPicPr>
                    <a:picLocks noChangeAspect="1" noChangeArrowheads="1"/>
                  </pic:cNvPicPr>
                </pic:nvPicPr>
                <pic:blipFill>
                  <a:blip r:embed="rId1"/>
                  <a:srcRect/>
                  <a:stretch>
                    <a:fillRect/>
                  </a:stretch>
                </pic:blipFill>
                <pic:spPr>
                  <a:xfrm>
                    <a:off x="0" y="0"/>
                    <a:ext cx="1285875" cy="335280"/>
                  </a:xfrm>
                  <a:prstGeom prst="rect">
                    <a:avLst/>
                  </a:prstGeom>
                  <a:noFill/>
                  <a:ln w="9525">
                    <a:noFill/>
                    <a:miter lim="800000"/>
                    <a:headEnd/>
                    <a:tailEnd/>
                  </a:ln>
                </pic:spPr>
              </pic:pic>
            </a:graphicData>
          </a:graphic>
        </wp:inline>
      </w:drawing>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kNTBjOWRmNGVhNzk2MmFlZmIzOTllZmFhOWM1YjkifQ=="/>
  </w:docVars>
  <w:rsids>
    <w:rsidRoot w:val="006D09E4"/>
    <w:rsid w:val="00000E72"/>
    <w:rsid w:val="00043E23"/>
    <w:rsid w:val="00047A4C"/>
    <w:rsid w:val="000600F4"/>
    <w:rsid w:val="0007000E"/>
    <w:rsid w:val="000C3E4D"/>
    <w:rsid w:val="000C70F1"/>
    <w:rsid w:val="0010531C"/>
    <w:rsid w:val="00107B2A"/>
    <w:rsid w:val="00216439"/>
    <w:rsid w:val="002463A0"/>
    <w:rsid w:val="002F0BCC"/>
    <w:rsid w:val="0032579E"/>
    <w:rsid w:val="003A3A6B"/>
    <w:rsid w:val="00452644"/>
    <w:rsid w:val="004716F8"/>
    <w:rsid w:val="004B3CF0"/>
    <w:rsid w:val="004D5176"/>
    <w:rsid w:val="004E1EA8"/>
    <w:rsid w:val="004F0BA1"/>
    <w:rsid w:val="0052240E"/>
    <w:rsid w:val="00570D70"/>
    <w:rsid w:val="005C7614"/>
    <w:rsid w:val="005F3CA8"/>
    <w:rsid w:val="00622CAE"/>
    <w:rsid w:val="006843DF"/>
    <w:rsid w:val="006D09E4"/>
    <w:rsid w:val="0070463B"/>
    <w:rsid w:val="00722CB2"/>
    <w:rsid w:val="00753115"/>
    <w:rsid w:val="00791E26"/>
    <w:rsid w:val="007E5458"/>
    <w:rsid w:val="00823DBB"/>
    <w:rsid w:val="00830681"/>
    <w:rsid w:val="008761F8"/>
    <w:rsid w:val="0087697D"/>
    <w:rsid w:val="00886220"/>
    <w:rsid w:val="008C791B"/>
    <w:rsid w:val="00951FA2"/>
    <w:rsid w:val="009B1D4F"/>
    <w:rsid w:val="009B6701"/>
    <w:rsid w:val="009C0E9A"/>
    <w:rsid w:val="00A1347F"/>
    <w:rsid w:val="00A24393"/>
    <w:rsid w:val="00A36E07"/>
    <w:rsid w:val="00A56F4B"/>
    <w:rsid w:val="00A77AEA"/>
    <w:rsid w:val="00A86839"/>
    <w:rsid w:val="00A96F5A"/>
    <w:rsid w:val="00AB43B7"/>
    <w:rsid w:val="00AD5791"/>
    <w:rsid w:val="00AE0A95"/>
    <w:rsid w:val="00AF467D"/>
    <w:rsid w:val="00B5297E"/>
    <w:rsid w:val="00B7156F"/>
    <w:rsid w:val="00B73D7D"/>
    <w:rsid w:val="00B82E22"/>
    <w:rsid w:val="00BB2802"/>
    <w:rsid w:val="00C12464"/>
    <w:rsid w:val="00C406CE"/>
    <w:rsid w:val="00C50308"/>
    <w:rsid w:val="00C63DCF"/>
    <w:rsid w:val="00C8126B"/>
    <w:rsid w:val="00C95CC3"/>
    <w:rsid w:val="00CB10E6"/>
    <w:rsid w:val="00CB5360"/>
    <w:rsid w:val="00CB67BD"/>
    <w:rsid w:val="00CD14B3"/>
    <w:rsid w:val="00CD1F1B"/>
    <w:rsid w:val="00CF72FC"/>
    <w:rsid w:val="00D04FB3"/>
    <w:rsid w:val="00D36775"/>
    <w:rsid w:val="00D7509E"/>
    <w:rsid w:val="00DA2F14"/>
    <w:rsid w:val="00DC2BD9"/>
    <w:rsid w:val="00DF3910"/>
    <w:rsid w:val="00E414C9"/>
    <w:rsid w:val="00E50DFA"/>
    <w:rsid w:val="00E81B7C"/>
    <w:rsid w:val="00E94D7E"/>
    <w:rsid w:val="00EB2D71"/>
    <w:rsid w:val="00F87EF0"/>
    <w:rsid w:val="01200B7E"/>
    <w:rsid w:val="04943ACF"/>
    <w:rsid w:val="04D4193C"/>
    <w:rsid w:val="09620D4B"/>
    <w:rsid w:val="0B781BBB"/>
    <w:rsid w:val="0BF606D3"/>
    <w:rsid w:val="10223DB2"/>
    <w:rsid w:val="15442068"/>
    <w:rsid w:val="15656E1F"/>
    <w:rsid w:val="197822EC"/>
    <w:rsid w:val="1CD53EA9"/>
    <w:rsid w:val="1E9D44FA"/>
    <w:rsid w:val="1F100F1A"/>
    <w:rsid w:val="25532192"/>
    <w:rsid w:val="287C3E30"/>
    <w:rsid w:val="29CE4854"/>
    <w:rsid w:val="2CD1662F"/>
    <w:rsid w:val="2D9445D7"/>
    <w:rsid w:val="2DE47F8D"/>
    <w:rsid w:val="2E1A1CB3"/>
    <w:rsid w:val="2F1F1056"/>
    <w:rsid w:val="329E2502"/>
    <w:rsid w:val="34E925CE"/>
    <w:rsid w:val="37063652"/>
    <w:rsid w:val="393D67A4"/>
    <w:rsid w:val="3D1F5146"/>
    <w:rsid w:val="3DE669EC"/>
    <w:rsid w:val="491A14E6"/>
    <w:rsid w:val="55046C49"/>
    <w:rsid w:val="56D55E34"/>
    <w:rsid w:val="5C2701FF"/>
    <w:rsid w:val="5F8211E2"/>
    <w:rsid w:val="60B04B8C"/>
    <w:rsid w:val="68F23590"/>
    <w:rsid w:val="69655DEC"/>
    <w:rsid w:val="6C7A3B4E"/>
    <w:rsid w:val="6FD56090"/>
    <w:rsid w:val="70472E3E"/>
    <w:rsid w:val="74E24525"/>
    <w:rsid w:val="76D637B8"/>
    <w:rsid w:val="79152894"/>
    <w:rsid w:val="79660FA7"/>
    <w:rsid w:val="79D52776"/>
    <w:rsid w:val="7B971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9"/>
    <w:pPr>
      <w:spacing w:beforeAutospacing="1" w:afterAutospacing="1"/>
      <w:jc w:val="left"/>
      <w:outlineLvl w:val="3"/>
    </w:pPr>
    <w:rPr>
      <w:rFonts w:hint="eastAsia" w:ascii="宋体" w:hAnsi="宋体"/>
      <w:b/>
      <w:bCs/>
      <w:kern w:val="0"/>
      <w:sz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1">
    <w:name w:val="页眉 字符"/>
    <w:basedOn w:val="10"/>
    <w:link w:val="6"/>
    <w:autoRedefine/>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批注框文本 字符"/>
    <w:basedOn w:val="10"/>
    <w:link w:val="4"/>
    <w:semiHidden/>
    <w:qFormat/>
    <w:uiPriority w:val="99"/>
    <w:rPr>
      <w:rFonts w:ascii="Times New Roman" w:hAnsi="Times New Roman" w:eastAsia="宋体" w:cs="Times New Roman"/>
      <w:sz w:val="18"/>
      <w:szCs w:val="18"/>
    </w:rPr>
  </w:style>
  <w:style w:type="paragraph" w:styleId="14">
    <w:name w:val="List Paragraph"/>
    <w:basedOn w:val="1"/>
    <w:autoRedefine/>
    <w:qFormat/>
    <w:uiPriority w:val="34"/>
    <w:pPr>
      <w:ind w:firstLine="420" w:firstLineChars="200"/>
    </w:pPr>
  </w:style>
  <w:style w:type="paragraph" w:customStyle="1" w:styleId="1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6">
    <w:name w:val="Revision"/>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2028</Words>
  <Characters>2239</Characters>
  <Lines>14</Lines>
  <Paragraphs>4</Paragraphs>
  <TotalTime>79</TotalTime>
  <ScaleCrop>false</ScaleCrop>
  <LinksUpToDate>false</LinksUpToDate>
  <CharactersWithSpaces>2327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2023-06-07T01:39:00Z</dcterms:created>
  <dc:creator>刘海芬</dc:creator>
  <cp:lastModifiedBy>LCK</cp:lastModifiedBy>
  <cp:lastPrinted>2018-12-20T06:09:00Z</cp:lastPrinted>
  <dcterms:modified xsi:type="dcterms:W3CDTF">2026-06-12T05:01:29Z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C94B6C2241E8469BA5A9CC7A84613E14_13</vt:lpwstr>
  </property>
  <property fmtid="{D5CDD505-2E9C-101B-9397-08002B2CF9AE}" pid="4" name="KSOTemplateDocerSaveRecord">
    <vt:lpwstr>eyJoZGlkIjoiMGVkNTBjOWRmNGVhNzk2MmFlZmIzOTllZmFhOWM1YjkiLCJ1c2VySWQiOiI2NTA4NzcwIn0=</vt:lpwstr>
  </property>
</Properties>
</file>