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72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32"/>
        </w:rPr>
      </w:pPr>
      <w:bookmarkStart w:id="1" w:name="quanwen"/>
    </w:p>
    <w:p>
      <w:pPr>
        <w:widowControl/>
        <w:pBdr>
          <w:bottom w:val="none" w:color="auto" w:sz="0" w:space="0"/>
        </w:pBdr>
        <w:tabs>
          <w:tab w:val="center" w:pos="4153"/>
          <w:tab w:val="right" w:pos="8306"/>
        </w:tabs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关于对广东</w:t>
      </w:r>
      <w:bookmarkStart w:id="2" w:name="_GoBack"/>
      <w:bookmarkEnd w:id="2"/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原尚物流股份有限公司及余军、</w:t>
      </w:r>
    </w:p>
    <w:p>
      <w:pPr>
        <w:widowControl/>
        <w:pBdr>
          <w:bottom w:val="none" w:color="auto" w:sz="0" w:space="0"/>
        </w:pBdr>
        <w:tabs>
          <w:tab w:val="center" w:pos="4153"/>
          <w:tab w:val="right" w:pos="8306"/>
        </w:tabs>
        <w:adjustRightInd w:val="0"/>
        <w:snapToGrid w:val="0"/>
        <w:spacing w:afterLines="0" w:line="240" w:lineRule="auto"/>
        <w:jc w:val="center"/>
        <w:rPr>
          <w:rFonts w:hint="default" w:ascii="方正小标宋简体" w:hAnsi="方正小标宋简体" w:eastAsia="方正小标宋简体" w:cs="Times New Roman"/>
          <w:kern w:val="0"/>
          <w:sz w:val="44"/>
          <w:szCs w:val="18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18"/>
          <w:lang w:val="en-US" w:eastAsia="zh-CN" w:bidi="ar-SA"/>
        </w:rPr>
        <w:t>黄秋娜采取出具警示函措施的决定</w:t>
      </w:r>
    </w:p>
    <w:p>
      <w:pPr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广东原尚物流股份有限公司，余军、黄秋娜：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根据《上市公司现场检查规则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证监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号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）等规定，我局对</w:t>
      </w:r>
      <w:r>
        <w:rPr>
          <w:rFonts w:hint="default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广东原尚物流股份有限公司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以下简称*ST原尚</w:t>
      </w:r>
      <w:r>
        <w:rPr>
          <w:rFonts w:hint="eastAsia" w:ascii="仿宋_GB2312" w:hAnsi="Times New Roman" w:eastAsia="仿宋_GB2312" w:cs="黑体"/>
          <w:spacing w:val="-6"/>
          <w:kern w:val="2"/>
          <w:sz w:val="32"/>
          <w:szCs w:val="32"/>
          <w:highlight w:val="none"/>
          <w:lang w:val="en-US" w:eastAsia="zh-CN" w:bidi="ar-SA"/>
        </w:rPr>
        <w:t>或公司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进行了现场检查，发现公司存在以下问题：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*ST原尚2025年半年度和三季度将部分应以净额法核算的收入按总额法核算，导致2025年半年度财务报告、2025年三季度财务报告多记收入0.2亿元、0.91亿元，多记营业成本0.2亿元、0.91亿元，对利润总额没有影响。上述情形不符合《企业会计准则第14号——收入》（财会〔2017〕22号）第四条、第三十四条的相关规定，导致公司2025年半年报和三季报信息披露不准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，违反了《上市公司信息披露管理办法》（证监会令第226号，下同）第三条第一款的规定。余军作为公司董事长、总经理，黄秋娜作为财务负责人，未按照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规定履行勤勉尽责义务，对公司上述违规行为负有主要责任。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公司在披露2025年年度报告时对上述会计差错进行了更正及追溯调整。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1"/>
          <w:highlight w:val="none"/>
          <w:lang w:val="en-US" w:eastAsia="zh-CN" w:bidi="ar-SA"/>
        </w:rPr>
        <w:t>第五十二条第三款、五十三条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的规定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*ST原尚及余军、黄秋娜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采取出具警示函的行政监管措施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。你们应认真吸取教训，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采取有效措施切实整改，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加强对证券法律法规的学习，提升依法合规履职意识，杜绝此类问题再次发生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。同时公司应对相关责任人员进行内部问责，于收到本决定书30日内完成整改，向我局报送公司整改及内部问责情况报告，并抄报上海证券交易所。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12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center"/>
        <w:outlineLvl w:val="9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ind w:right="1262"/>
        <w:jc w:val="both"/>
        <w:rPr>
          <w:rFonts w:hint="eastAsia" w:ascii="仿宋_GB2312" w:hAnsi="Times New Roman" w:eastAsia="仿宋_GB2312" w:cs="Times New Roman"/>
          <w:spacing w:val="1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  <w:t>抄送：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证监会上市司、法治司；</w:t>
      </w:r>
      <w:r>
        <w:rPr>
          <w:rFonts w:hint="eastAsia" w:ascii="仿宋_GB2312" w:hAnsi="Times New Roman" w:eastAsia="仿宋_GB2312" w:cs="Times New Roman"/>
          <w:spacing w:val="8"/>
          <w:sz w:val="28"/>
          <w:highlight w:val="none"/>
        </w:rPr>
        <w:t>上海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  <w:t xml:space="preserve">广东证监局办公室        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val="en-US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eastAsia="zh-CN"/>
        </w:rPr>
        <w:t>202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  <w:t>年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val="en-US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  <w:t>月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highlight w:val="none"/>
          <w:lang w:val="en-US"/>
        </w:rPr>
        <w:t>3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highlight w:val="none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="0" w:afterLines="0"/>
        <w:ind w:firstLine="0"/>
        <w:jc w:val="left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pacing w:val="8"/>
          <w:sz w:val="2"/>
          <w:szCs w:val="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zSVju0AAAAAUBAAAPAAAAAAAAAAEAIAAA&#10;ADgAAABkcnMvZG93bnJldi54bWxQSwECFAAUAAAACACHTuJABWGMPysCAABVBAAADgAAAAAAAAAB&#10;ACAAAAA1AQAAZHJzL2Uyb0RvYy54bWxQSwECFAAKAAAAAACHTuJAAAAAAAAAAAAAAAAABAAAAAAA&#10;AAAAABAAAAAWAAAAZHJzL1BLAQIUAAoAAAAAAIdO4kAAAAAAAAAAAAAAAAAGAAAAAAAAAAAAEAAA&#10;AIwDAABfcmVs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6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D5E83"/>
    <w:rsid w:val="1FBE320A"/>
    <w:rsid w:val="5F7D5DB0"/>
    <w:rsid w:val="5FB79053"/>
    <w:rsid w:val="5FEE34A3"/>
    <w:rsid w:val="7DAFB0B7"/>
    <w:rsid w:val="A6FF55C5"/>
    <w:rsid w:val="F2E78856"/>
    <w:rsid w:val="FA465E8E"/>
    <w:rsid w:val="FB6D5E83"/>
    <w:rsid w:val="FD8FDB5C"/>
    <w:rsid w:val="FFE3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2026-04-26T08:09:00Z</dcterms:created>
  <dc:creator>谭裔江：主办人拟稿</dc:creator>
  <cp:lastModifiedBy>谭裔江</cp:lastModifiedBy>
  <dcterms:modified xsi:type="dcterms:W3CDTF">2026-06-16T09:43:36Z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1DE5FAA7A267D59F02AA306AFF7CCE07</vt:lpwstr>
  </property>
</Properties>
</file>