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D7CB" w14:textId="77777777" w:rsidR="00EF630C" w:rsidRDefault="00EF630C">
      <w:pPr>
        <w:pStyle w:val="a4"/>
        <w:kinsoku w:val="0"/>
        <w:overflowPunct w:val="0"/>
        <w:spacing w:before="5"/>
        <w:ind w:left="0"/>
        <w:rPr>
          <w:sz w:val="19"/>
          <w:szCs w:val="19"/>
        </w:rPr>
      </w:pPr>
      <w:bookmarkStart w:id="0" w:name="br1_13"/>
      <w:bookmarkEnd w:id="0"/>
    </w:p>
    <w:p w14:paraId="6C776467" w14:textId="77777777" w:rsidR="00EF630C" w:rsidRDefault="00000000">
      <w:pPr>
        <w:pStyle w:val="2"/>
        <w:kinsoku w:val="0"/>
        <w:overflowPunct w:val="0"/>
        <w:spacing w:line="428" w:lineRule="exact"/>
        <w:ind w:left="2327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广州港股份有限公司投资者关系活动记录表</w:t>
      </w:r>
    </w:p>
    <w:p w14:paraId="3B53C592" w14:textId="77777777" w:rsidR="00EF630C" w:rsidRDefault="00EF630C">
      <w:pPr>
        <w:pStyle w:val="a4"/>
        <w:kinsoku w:val="0"/>
        <w:overflowPunct w:val="0"/>
        <w:spacing w:before="4"/>
        <w:ind w:left="0"/>
        <w:rPr>
          <w:rFonts w:ascii="Microsoft JhengHei" w:eastAsia="Microsoft JhengHei" w:cs="Microsoft JhengHei"/>
          <w:b/>
          <w:bCs/>
          <w:sz w:val="14"/>
          <w:szCs w:val="14"/>
        </w:rPr>
      </w:pPr>
    </w:p>
    <w:p w14:paraId="17CF3926" w14:textId="77777777" w:rsidR="00EF630C" w:rsidRDefault="00EF630C">
      <w:pPr>
        <w:pStyle w:val="a4"/>
        <w:tabs>
          <w:tab w:val="left" w:pos="3540"/>
          <w:tab w:val="left" w:pos="6421"/>
        </w:tabs>
        <w:kinsoku w:val="0"/>
        <w:overflowPunct w:val="0"/>
        <w:rPr>
          <w:rFonts w:ascii="Times New Roman" w:cs="Times New Roman"/>
        </w:rPr>
      </w:pPr>
    </w:p>
    <w:p w14:paraId="03D028BF" w14:textId="77777777" w:rsidR="00EF630C" w:rsidRDefault="00000000">
      <w:pPr>
        <w:pStyle w:val="a4"/>
        <w:tabs>
          <w:tab w:val="left" w:pos="3540"/>
          <w:tab w:val="left" w:pos="6421"/>
        </w:tabs>
        <w:kinsoku w:val="0"/>
        <w:overflowPunct w:val="0"/>
        <w:rPr>
          <w:rFonts w:ascii="Times New Roman" w:cs="Times New Roman"/>
        </w:rPr>
      </w:pPr>
      <w:r>
        <w:rPr>
          <w:rFonts w:ascii="Times New Roman" w:cs="Times New Roman"/>
        </w:rPr>
        <w:t>证券简称：广州港</w:t>
      </w:r>
      <w:r>
        <w:rPr>
          <w:rFonts w:ascii="Times New Roman" w:cs="Times New Roman"/>
        </w:rPr>
        <w:tab/>
        <w:t xml:space="preserve">    </w:t>
      </w:r>
      <w:r>
        <w:rPr>
          <w:rFonts w:ascii="Times New Roman" w:cs="Times New Roman"/>
        </w:rPr>
        <w:t>证券代码：</w:t>
      </w:r>
      <w:r>
        <w:rPr>
          <w:rFonts w:ascii="Times New Roman" w:cs="Times New Roman"/>
        </w:rPr>
        <w:t>601228</w:t>
      </w:r>
      <w:r>
        <w:rPr>
          <w:rFonts w:ascii="Times New Roman" w:cs="Times New Roman"/>
        </w:rPr>
        <w:tab/>
        <w:t xml:space="preserve">       </w:t>
      </w:r>
      <w:r>
        <w:rPr>
          <w:rFonts w:ascii="Times New Roman" w:cs="Times New Roman"/>
        </w:rPr>
        <w:t>编号：</w:t>
      </w:r>
      <w:r>
        <w:rPr>
          <w:rFonts w:ascii="Times New Roman" w:cs="Times New Roman"/>
        </w:rPr>
        <w:t>2026-01</w:t>
      </w:r>
    </w:p>
    <w:tbl>
      <w:tblPr>
        <w:tblW w:w="9237" w:type="dxa"/>
        <w:tblInd w:w="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7370"/>
      </w:tblGrid>
      <w:tr w:rsidR="00EF630C" w14:paraId="728CF716" w14:textId="77777777">
        <w:trPr>
          <w:trHeight w:val="171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4DE" w14:textId="77777777" w:rsidR="00EF630C" w:rsidRDefault="00000000">
            <w:pPr>
              <w:pStyle w:val="TableParagraph"/>
              <w:kinsoku w:val="0"/>
              <w:overflowPunct w:val="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投资者关系活动类别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2C4E" w14:textId="77777777" w:rsidR="00EF630C" w:rsidRDefault="00000000">
            <w:pPr>
              <w:pStyle w:val="TableParagraph"/>
              <w:kinsoku w:val="0"/>
              <w:overflowPunct w:val="0"/>
              <w:spacing w:before="113" w:line="364" w:lineRule="auto"/>
              <w:ind w:left="107" w:right="89"/>
              <w:rPr>
                <w:rFonts w:hAnsi="宋体" w:hint="eastAsia"/>
              </w:rPr>
            </w:pP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 xml:space="preserve">特定对象调研  </w:t>
            </w: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>分析师会议</w:t>
            </w:r>
          </w:p>
          <w:p w14:paraId="03A67625" w14:textId="77777777" w:rsidR="00EF630C" w:rsidRDefault="00000000">
            <w:pPr>
              <w:pStyle w:val="TableParagraph"/>
              <w:kinsoku w:val="0"/>
              <w:overflowPunct w:val="0"/>
              <w:spacing w:before="113" w:line="364" w:lineRule="auto"/>
              <w:ind w:left="107" w:right="89"/>
              <w:rPr>
                <w:rFonts w:hAnsi="宋体" w:hint="eastAsia"/>
              </w:rPr>
            </w:pP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 xml:space="preserve">业绩说明会    </w:t>
            </w: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>路演活动</w:t>
            </w:r>
          </w:p>
          <w:p w14:paraId="240F19B2" w14:textId="77777777" w:rsidR="00EF630C" w:rsidRDefault="00000000">
            <w:pPr>
              <w:pStyle w:val="TableParagraph"/>
              <w:kinsoku w:val="0"/>
              <w:overflowPunct w:val="0"/>
              <w:spacing w:before="113" w:line="364" w:lineRule="auto"/>
              <w:ind w:left="107" w:right="89"/>
              <w:rPr>
                <w:rFonts w:hAnsi="宋体" w:hint="eastAsia"/>
              </w:rPr>
            </w:pP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 xml:space="preserve">现场参观      </w:t>
            </w:r>
            <w:r>
              <w:rPr>
                <w:rFonts w:hAnsi="宋体" w:hint="eastAsia"/>
              </w:rPr>
              <w:sym w:font="Wingdings 2" w:char="00A3"/>
            </w:r>
            <w:r>
              <w:rPr>
                <w:rFonts w:hAnsi="宋体" w:hint="eastAsia"/>
              </w:rPr>
              <w:t>业绩说明会</w:t>
            </w:r>
          </w:p>
          <w:p w14:paraId="72599A9A" w14:textId="77777777" w:rsidR="00EF630C" w:rsidRDefault="00000000">
            <w:pPr>
              <w:pStyle w:val="TableParagraph"/>
              <w:kinsoku w:val="0"/>
              <w:overflowPunct w:val="0"/>
              <w:spacing w:before="1"/>
              <w:ind w:firstLineChars="50" w:firstLine="120"/>
              <w:rPr>
                <w:rFonts w:hAnsi="宋体" w:hint="eastAsia"/>
              </w:rPr>
            </w:pPr>
            <w:r>
              <w:rPr>
                <w:rFonts w:hAnsi="宋体" w:hint="eastAsia"/>
              </w:rPr>
              <w:sym w:font="Wingdings 2" w:char="0052"/>
            </w:r>
            <w:r>
              <w:rPr>
                <w:rFonts w:hAnsi="宋体" w:hint="eastAsia"/>
              </w:rPr>
              <w:t>其他（现场交流会）</w:t>
            </w:r>
          </w:p>
        </w:tc>
      </w:tr>
      <w:tr w:rsidR="00EF630C" w14:paraId="23655EF6" w14:textId="77777777">
        <w:trPr>
          <w:trHeight w:val="152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B9F" w14:textId="77777777" w:rsidR="00EF630C" w:rsidRDefault="00000000">
            <w:pPr>
              <w:pStyle w:val="TableParagraph"/>
              <w:kinsoku w:val="0"/>
              <w:overflowPunct w:val="0"/>
              <w:spacing w:before="115"/>
              <w:ind w:right="100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  <w:spacing w:val="14"/>
              </w:rPr>
              <w:t>参与单位名称参与</w:t>
            </w:r>
            <w:r>
              <w:rPr>
                <w:rFonts w:hAnsi="宋体" w:hint="eastAsia"/>
              </w:rPr>
              <w:t>人员姓名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0A81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/>
              </w:rPr>
              <w:t>国</w:t>
            </w:r>
            <w:proofErr w:type="gramStart"/>
            <w:r>
              <w:rPr>
                <w:rFonts w:hAnsi="宋体" w:cs="Times New Roman"/>
              </w:rPr>
              <w:t>海证券</w:t>
            </w:r>
            <w:proofErr w:type="gramEnd"/>
            <w:r>
              <w:rPr>
                <w:rFonts w:hAnsi="宋体" w:cs="Times New Roman"/>
              </w:rPr>
              <w:t>股份有限公司</w:t>
            </w:r>
            <w:r>
              <w:rPr>
                <w:rFonts w:hAnsi="宋体" w:cs="Times New Roman" w:hint="eastAsia"/>
              </w:rPr>
              <w:t xml:space="preserve"> </w:t>
            </w:r>
            <w:r>
              <w:rPr>
                <w:rFonts w:hAnsi="宋体" w:cs="Times New Roman"/>
              </w:rPr>
              <w:t>黄安</w:t>
            </w:r>
          </w:p>
          <w:p w14:paraId="5EB2C53D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/>
              </w:rPr>
              <w:t>建信养老金管理有限责任公司 尚廷鲲</w:t>
            </w:r>
          </w:p>
          <w:p w14:paraId="0B458EDA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/>
              </w:rPr>
              <w:t>中国国际金融股份有限公司资产管理部</w:t>
            </w:r>
            <w:r>
              <w:rPr>
                <w:rFonts w:hAnsi="宋体" w:cs="Times New Roman" w:hint="eastAsia"/>
              </w:rPr>
              <w:t xml:space="preserve"> </w:t>
            </w:r>
            <w:r>
              <w:rPr>
                <w:rFonts w:hAnsi="宋体" w:cs="Times New Roman"/>
              </w:rPr>
              <w:t>董俊业</w:t>
            </w:r>
          </w:p>
          <w:p w14:paraId="068604EF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proofErr w:type="gramStart"/>
            <w:r>
              <w:rPr>
                <w:rFonts w:hAnsi="宋体" w:cs="Times New Roman"/>
              </w:rPr>
              <w:t>泉果基金</w:t>
            </w:r>
            <w:proofErr w:type="gramEnd"/>
            <w:r>
              <w:rPr>
                <w:rFonts w:hAnsi="宋体" w:cs="Times New Roman"/>
              </w:rPr>
              <w:t>管理有限公司 游瑾</w:t>
            </w:r>
          </w:p>
          <w:p w14:paraId="5E780017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/>
              </w:rPr>
              <w:t>上</w:t>
            </w:r>
            <w:proofErr w:type="gramStart"/>
            <w:r>
              <w:rPr>
                <w:rFonts w:hAnsi="宋体" w:cs="Times New Roman"/>
              </w:rPr>
              <w:t>银基金</w:t>
            </w:r>
            <w:proofErr w:type="gramEnd"/>
            <w:r>
              <w:rPr>
                <w:rFonts w:hAnsi="宋体" w:cs="Times New Roman"/>
              </w:rPr>
              <w:t>管理有限公司</w:t>
            </w:r>
            <w:r>
              <w:rPr>
                <w:rFonts w:hAnsi="宋体" w:cs="Times New Roman" w:hint="eastAsia"/>
              </w:rPr>
              <w:t xml:space="preserve"> </w:t>
            </w:r>
            <w:r>
              <w:rPr>
                <w:rFonts w:hAnsi="宋体" w:cs="Times New Roman"/>
              </w:rPr>
              <w:t>刘美辰</w:t>
            </w:r>
          </w:p>
          <w:p w14:paraId="3CA86632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proofErr w:type="gramStart"/>
            <w:r>
              <w:rPr>
                <w:rFonts w:hAnsi="宋体" w:cs="Times New Roman"/>
              </w:rPr>
              <w:t>信达澳亚</w:t>
            </w:r>
            <w:proofErr w:type="gramEnd"/>
            <w:r>
              <w:rPr>
                <w:rFonts w:hAnsi="宋体" w:cs="Times New Roman"/>
              </w:rPr>
              <w:t xml:space="preserve"> </w:t>
            </w:r>
            <w:r>
              <w:rPr>
                <w:rFonts w:hAnsi="宋体" w:cs="Times New Roman" w:hint="eastAsia"/>
              </w:rPr>
              <w:t xml:space="preserve">           </w:t>
            </w:r>
            <w:r>
              <w:rPr>
                <w:rFonts w:hAnsi="宋体" w:cs="Times New Roman"/>
              </w:rPr>
              <w:t xml:space="preserve"> 李博</w:t>
            </w:r>
          </w:p>
        </w:tc>
      </w:tr>
      <w:tr w:rsidR="00EF630C" w14:paraId="3BB7FED5" w14:textId="77777777">
        <w:trPr>
          <w:trHeight w:val="786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D232" w14:textId="77777777" w:rsidR="00EF630C" w:rsidRDefault="00000000">
            <w:pPr>
              <w:pStyle w:val="TableParagraph"/>
              <w:kinsoku w:val="0"/>
              <w:overflowPunct w:val="0"/>
              <w:spacing w:before="112" w:line="560" w:lineRule="exact"/>
              <w:jc w:val="center"/>
              <w:rPr>
                <w:rFonts w:hAnsi="宋体" w:hint="eastAsia"/>
                <w:spacing w:val="-1"/>
              </w:rPr>
            </w:pPr>
            <w:r>
              <w:rPr>
                <w:rFonts w:hAnsi="宋体" w:hint="eastAsia"/>
                <w:spacing w:val="-1"/>
              </w:rPr>
              <w:t>时间</w:t>
            </w:r>
            <w:r>
              <w:rPr>
                <w:rFonts w:hAnsi="宋体"/>
                <w:spacing w:val="-1"/>
              </w:rPr>
              <w:t>/</w:t>
            </w:r>
            <w:r>
              <w:rPr>
                <w:rFonts w:hAnsi="宋体" w:hint="eastAsia"/>
                <w:spacing w:val="-1"/>
              </w:rPr>
              <w:t>地点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7EF0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 w:hint="eastAsia"/>
              </w:rPr>
              <w:t>港口中心一楼展厅会议室</w:t>
            </w:r>
          </w:p>
          <w:p w14:paraId="27A68E90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 w:hint="eastAsia"/>
              </w:rPr>
              <w:t>2026年6月17日10:00-12:00</w:t>
            </w:r>
          </w:p>
        </w:tc>
      </w:tr>
      <w:tr w:rsidR="00EF630C" w14:paraId="19FE89F8" w14:textId="77777777">
        <w:trPr>
          <w:trHeight w:val="76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0706" w14:textId="77777777" w:rsidR="00EF630C" w:rsidRDefault="00000000">
            <w:pPr>
              <w:pStyle w:val="TableParagraph"/>
              <w:kinsoku w:val="0"/>
              <w:overflowPunct w:val="0"/>
              <w:spacing w:before="113" w:line="56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公司接待人员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3C42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rPr>
                <w:rFonts w:hAnsi="宋体" w:cs="Times New Roman" w:hint="eastAsia"/>
              </w:rPr>
            </w:pPr>
            <w:r>
              <w:rPr>
                <w:rFonts w:hAnsi="宋体" w:cs="Times New Roman" w:hint="eastAsia"/>
              </w:rPr>
              <w:t>公司董事会秘书梁敬；董事会办公室、投资管理部、财务会计部、生产业务部相关人员。</w:t>
            </w:r>
          </w:p>
        </w:tc>
      </w:tr>
      <w:tr w:rsidR="00EF630C" w14:paraId="3F9C25B9" w14:textId="77777777">
        <w:trPr>
          <w:trHeight w:val="33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A857" w14:textId="77777777" w:rsidR="00EF630C" w:rsidRDefault="00000000">
            <w:pPr>
              <w:pStyle w:val="TableParagraph"/>
              <w:kinsoku w:val="0"/>
              <w:overflowPunct w:val="0"/>
              <w:spacing w:line="560" w:lineRule="exact"/>
              <w:ind w:right="100"/>
              <w:jc w:val="center"/>
              <w:rPr>
                <w:rFonts w:hAnsi="宋体" w:hint="eastAsia"/>
              </w:rPr>
            </w:pPr>
            <w:r>
              <w:rPr>
                <w:rFonts w:ascii="Times New Roman" w:cs="Times New Roman" w:hint="eastAsia"/>
              </w:rPr>
              <w:t>投资者关系活动主要内容介绍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2C0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Cs/>
                <w:iCs/>
              </w:rPr>
              <w:t>调研交流情况如下：</w:t>
            </w:r>
          </w:p>
          <w:p w14:paraId="1DACD517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</w:t>
            </w:r>
            <w:r>
              <w:rPr>
                <w:rFonts w:ascii="Times New Roman" w:eastAsia="楷体" w:cs="Times New Roman"/>
                <w:b/>
                <w:bCs/>
              </w:rPr>
              <w:t>公司</w:t>
            </w:r>
            <w:r>
              <w:rPr>
                <w:rFonts w:ascii="Times New Roman" w:eastAsia="楷体" w:cs="Times New Roman"/>
                <w:b/>
                <w:bCs/>
              </w:rPr>
              <w:t>2025</w:t>
            </w:r>
            <w:r>
              <w:rPr>
                <w:rFonts w:ascii="Times New Roman" w:eastAsia="楷体" w:cs="Times New Roman"/>
                <w:b/>
                <w:bCs/>
              </w:rPr>
              <w:t>年外贸吞吐量高增，主要受益于什么因素？</w:t>
            </w:r>
          </w:p>
          <w:p w14:paraId="0A779838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答：</w:t>
            </w:r>
            <w:r>
              <w:rPr>
                <w:rFonts w:ascii="Times New Roman" w:cs="Times New Roman"/>
              </w:rPr>
              <w:t>需求方面，中国与</w:t>
            </w:r>
            <w:r>
              <w:rPr>
                <w:rFonts w:ascii="Times New Roman" w:cs="Times New Roman" w:hint="eastAsia"/>
              </w:rPr>
              <w:t>各国家的</w:t>
            </w:r>
            <w:r>
              <w:rPr>
                <w:rFonts w:ascii="Times New Roman" w:cs="Times New Roman"/>
              </w:rPr>
              <w:t>贸易往来展现出较强韧性，东南亚、非洲、中东红海及</w:t>
            </w:r>
            <w:bookmarkStart w:id="1" w:name="OLE_LINK2"/>
            <w:r>
              <w:rPr>
                <w:rFonts w:ascii="Times New Roman" w:cs="Times New Roman"/>
              </w:rPr>
              <w:t>印度次大陆航线保持快速增长</w:t>
            </w:r>
            <w:bookmarkEnd w:id="1"/>
            <w:r>
              <w:rPr>
                <w:rFonts w:ascii="Times New Roman" w:cs="Times New Roman"/>
              </w:rPr>
              <w:t>。珠三角腹地中大型企业</w:t>
            </w:r>
            <w:r>
              <w:rPr>
                <w:rFonts w:ascii="Times New Roman" w:cs="Times New Roman"/>
              </w:rPr>
              <w:t>2025</w:t>
            </w:r>
            <w:r>
              <w:rPr>
                <w:rFonts w:ascii="Times New Roman" w:cs="Times New Roman"/>
              </w:rPr>
              <w:t>年出口货量实现较好增长，白色家电和汽车出海带动</w:t>
            </w:r>
            <w:r>
              <w:rPr>
                <w:rFonts w:ascii="Times New Roman" w:cs="Times New Roman"/>
              </w:rPr>
              <w:t>KD</w:t>
            </w:r>
            <w:proofErr w:type="gramStart"/>
            <w:r>
              <w:rPr>
                <w:rFonts w:ascii="Times New Roman" w:cs="Times New Roman"/>
              </w:rPr>
              <w:t>件出口</w:t>
            </w:r>
            <w:proofErr w:type="gramEnd"/>
            <w:r>
              <w:rPr>
                <w:rFonts w:ascii="Times New Roman" w:cs="Times New Roman" w:hint="eastAsia"/>
              </w:rPr>
              <w:t>等带动箱量增长</w:t>
            </w:r>
            <w:r>
              <w:rPr>
                <w:rFonts w:ascii="Times New Roman" w:cs="Times New Roman"/>
              </w:rPr>
              <w:t>。</w:t>
            </w:r>
          </w:p>
          <w:p w14:paraId="29174D0D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供给方面，克拉克森数据显示，</w:t>
            </w:r>
            <w:r>
              <w:rPr>
                <w:rFonts w:ascii="Times New Roman" w:cs="Times New Roman"/>
              </w:rPr>
              <w:t>2025</w:t>
            </w:r>
            <w:r>
              <w:rPr>
                <w:rFonts w:ascii="Times New Roman" w:cs="Times New Roman"/>
              </w:rPr>
              <w:t>年集装箱船总计交付</w:t>
            </w:r>
            <w:r>
              <w:rPr>
                <w:rFonts w:ascii="Times New Roman" w:cs="Times New Roman"/>
              </w:rPr>
              <w:t>270</w:t>
            </w:r>
            <w:r>
              <w:rPr>
                <w:rFonts w:ascii="Times New Roman" w:cs="Times New Roman"/>
              </w:rPr>
              <w:t>艘、</w:t>
            </w:r>
            <w:r>
              <w:rPr>
                <w:rFonts w:ascii="Times New Roman" w:cs="Times New Roman"/>
              </w:rPr>
              <w:t>2454.6</w:t>
            </w:r>
            <w:r>
              <w:rPr>
                <w:rFonts w:ascii="Times New Roman" w:cs="Times New Roman"/>
              </w:rPr>
              <w:t>万载重吨、</w:t>
            </w:r>
            <w:r>
              <w:rPr>
                <w:rFonts w:ascii="Times New Roman" w:cs="Times New Roman"/>
              </w:rPr>
              <w:t>218.3</w:t>
            </w:r>
            <w:r>
              <w:rPr>
                <w:rFonts w:ascii="Times New Roman" w:cs="Times New Roman"/>
              </w:rPr>
              <w:t>万</w:t>
            </w:r>
            <w:r>
              <w:rPr>
                <w:rFonts w:ascii="Times New Roman" w:cs="Times New Roman"/>
              </w:rPr>
              <w:t>TEU</w:t>
            </w:r>
            <w:r>
              <w:rPr>
                <w:rFonts w:ascii="Times New Roman" w:cs="Times New Roman"/>
              </w:rPr>
              <w:t>，拆解</w:t>
            </w:r>
            <w:r>
              <w:rPr>
                <w:rFonts w:ascii="Times New Roman" w:cs="Times New Roman"/>
              </w:rPr>
              <w:t>11</w:t>
            </w:r>
            <w:r>
              <w:rPr>
                <w:rFonts w:ascii="Times New Roman" w:cs="Times New Roman"/>
              </w:rPr>
              <w:t>艘、不到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万</w:t>
            </w:r>
            <w:r>
              <w:rPr>
                <w:rFonts w:ascii="Times New Roman" w:cs="Times New Roman"/>
              </w:rPr>
              <w:t>TEU</w:t>
            </w:r>
            <w:r>
              <w:rPr>
                <w:rFonts w:ascii="Times New Roman" w:cs="Times New Roman"/>
              </w:rPr>
              <w:t>，</w:t>
            </w:r>
            <w:r>
              <w:rPr>
                <w:rFonts w:ascii="Times New Roman" w:cs="Times New Roman"/>
              </w:rPr>
              <w:t>2025</w:t>
            </w:r>
            <w:r>
              <w:rPr>
                <w:rFonts w:ascii="Times New Roman" w:cs="Times New Roman"/>
              </w:rPr>
              <w:t>年集装箱船总运力增长约</w:t>
            </w:r>
            <w:r>
              <w:rPr>
                <w:rFonts w:ascii="Times New Roman" w:cs="Times New Roman"/>
              </w:rPr>
              <w:t>7.1%</w:t>
            </w:r>
            <w:r>
              <w:rPr>
                <w:rFonts w:ascii="Times New Roman" w:cs="Times New Roman"/>
              </w:rPr>
              <w:t>。广州港受益于长期</w:t>
            </w:r>
            <w:proofErr w:type="gramStart"/>
            <w:r>
              <w:rPr>
                <w:rFonts w:ascii="Times New Roman" w:cs="Times New Roman"/>
              </w:rPr>
              <w:t>布局珠西腹地</w:t>
            </w:r>
            <w:proofErr w:type="gramEnd"/>
            <w:r>
              <w:rPr>
                <w:rFonts w:ascii="Times New Roman" w:cs="Times New Roman"/>
              </w:rPr>
              <w:t>货源及一带一路航线，以及集装箱运力快速增长，带动了外贸集装箱箱量增长。</w:t>
            </w:r>
          </w:p>
          <w:p w14:paraId="7DF3A1BE" w14:textId="77777777" w:rsidR="00EF630C" w:rsidRDefault="00EF630C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</w:p>
          <w:p w14:paraId="0690F4CE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lastRenderedPageBreak/>
              <w:t>问：</w:t>
            </w:r>
            <w:r>
              <w:rPr>
                <w:rFonts w:ascii="Times New Roman" w:eastAsia="楷体" w:cs="Times New Roman"/>
                <w:b/>
                <w:bCs/>
              </w:rPr>
              <w:t>集装箱吞吐量的增量主要来自哪些货类</w:t>
            </w:r>
            <w:r>
              <w:rPr>
                <w:rFonts w:ascii="Times New Roman" w:eastAsia="楷体" w:cs="Times New Roman"/>
                <w:b/>
                <w:bCs/>
              </w:rPr>
              <w:t>/</w:t>
            </w:r>
            <w:r>
              <w:rPr>
                <w:rFonts w:ascii="Times New Roman" w:eastAsia="楷体" w:cs="Times New Roman"/>
                <w:b/>
                <w:bCs/>
              </w:rPr>
              <w:t>航线？</w:t>
            </w:r>
          </w:p>
          <w:p w14:paraId="020C4334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答：</w:t>
            </w:r>
            <w:r>
              <w:rPr>
                <w:rFonts w:ascii="Times New Roman" w:cs="Times New Roman"/>
              </w:rPr>
              <w:t>南沙港区</w:t>
            </w:r>
            <w:r>
              <w:rPr>
                <w:rFonts w:ascii="Times New Roman" w:cs="Times New Roman"/>
              </w:rPr>
              <w:t>“</w:t>
            </w:r>
            <w:r>
              <w:rPr>
                <w:rFonts w:ascii="Times New Roman" w:cs="Times New Roman"/>
              </w:rPr>
              <w:t>一带一路</w:t>
            </w:r>
            <w:r>
              <w:rPr>
                <w:rFonts w:ascii="Times New Roman" w:cs="Times New Roman"/>
              </w:rPr>
              <w:t>”</w:t>
            </w:r>
            <w:r>
              <w:rPr>
                <w:rFonts w:ascii="Times New Roman" w:cs="Times New Roman"/>
              </w:rPr>
              <w:t>和</w:t>
            </w:r>
            <w:r>
              <w:rPr>
                <w:rFonts w:ascii="Times New Roman" w:cs="Times New Roman"/>
              </w:rPr>
              <w:t>RCEP</w:t>
            </w:r>
            <w:r>
              <w:rPr>
                <w:rFonts w:ascii="Times New Roman" w:cs="Times New Roman"/>
              </w:rPr>
              <w:t>航线密度持续提升，新增航线中连接新兴市场的东南亚、非洲、印度和红海的航线</w:t>
            </w:r>
            <w:proofErr w:type="gramStart"/>
            <w:r>
              <w:rPr>
                <w:rFonts w:ascii="Times New Roman" w:cs="Times New Roman"/>
              </w:rPr>
              <w:t>占比较</w:t>
            </w:r>
            <w:proofErr w:type="gramEnd"/>
            <w:r>
              <w:rPr>
                <w:rFonts w:ascii="Times New Roman" w:cs="Times New Roman"/>
              </w:rPr>
              <w:t>高。叠加现有航线运营船型进一步升级，东南亚、非洲、中印红航线在南沙港区总体舱位均得到明显提升。此外南美、北美电</w:t>
            </w:r>
            <w:proofErr w:type="gramStart"/>
            <w:r>
              <w:rPr>
                <w:rFonts w:ascii="Times New Roman" w:cs="Times New Roman"/>
              </w:rPr>
              <w:t>商快航实现</w:t>
            </w:r>
            <w:proofErr w:type="gramEnd"/>
            <w:r>
              <w:rPr>
                <w:rFonts w:ascii="Times New Roman" w:cs="Times New Roman"/>
              </w:rPr>
              <w:t>突破，带动南沙港区外贸集装箱吞吐量实现高速增长。</w:t>
            </w:r>
          </w:p>
          <w:p w14:paraId="2B7AD67E" w14:textId="473E939F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问：公司</w:t>
            </w:r>
            <w:r>
              <w:rPr>
                <w:rFonts w:ascii="Times New Roman" w:eastAsia="楷体" w:cs="Times New Roman" w:hint="eastAsia"/>
                <w:b/>
                <w:bCs/>
              </w:rPr>
              <w:t>2025</w:t>
            </w:r>
            <w:r>
              <w:rPr>
                <w:rFonts w:ascii="Times New Roman" w:eastAsia="楷体" w:cs="Times New Roman" w:hint="eastAsia"/>
                <w:b/>
                <w:bCs/>
              </w:rPr>
              <w:t>年度装卸、物流、贸易业务营</w:t>
            </w:r>
            <w:r w:rsidR="004E7BD2">
              <w:rPr>
                <w:rFonts w:ascii="Times New Roman" w:eastAsia="楷体" w:cs="Times New Roman" w:hint="eastAsia"/>
                <w:b/>
                <w:bCs/>
              </w:rPr>
              <w:t>收</w:t>
            </w:r>
            <w:r>
              <w:rPr>
                <w:rFonts w:ascii="Times New Roman" w:eastAsia="楷体" w:cs="Times New Roman" w:hint="eastAsia"/>
                <w:b/>
                <w:bCs/>
              </w:rPr>
              <w:t>占比及毛利情况？</w:t>
            </w:r>
          </w:p>
          <w:p w14:paraId="228366E3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答：公司</w:t>
            </w:r>
            <w:r>
              <w:rPr>
                <w:rFonts w:ascii="Times New Roman" w:cs="Times New Roman" w:hint="eastAsia"/>
              </w:rPr>
              <w:t>2025</w:t>
            </w:r>
            <w:r>
              <w:rPr>
                <w:rFonts w:ascii="Times New Roman" w:cs="Times New Roman" w:hint="eastAsia"/>
              </w:rPr>
              <w:t>年度营业收入</w:t>
            </w:r>
            <w:r>
              <w:rPr>
                <w:rFonts w:ascii="Times New Roman" w:cs="Times New Roman" w:hint="eastAsia"/>
              </w:rPr>
              <w:t>139.08</w:t>
            </w:r>
            <w:r>
              <w:rPr>
                <w:rFonts w:ascii="Times New Roman" w:cs="Times New Roman" w:hint="eastAsia"/>
              </w:rPr>
              <w:t>亿元。其中，装卸及相关业务营业收入</w:t>
            </w:r>
            <w:r>
              <w:rPr>
                <w:rFonts w:ascii="Times New Roman" w:cs="Times New Roman" w:hint="eastAsia"/>
              </w:rPr>
              <w:t>71.35</w:t>
            </w:r>
            <w:r>
              <w:rPr>
                <w:rFonts w:ascii="Times New Roman" w:cs="Times New Roman" w:hint="eastAsia"/>
              </w:rPr>
              <w:t>亿元，约</w:t>
            </w:r>
            <w:r>
              <w:rPr>
                <w:rFonts w:ascii="Times New Roman" w:cs="Times New Roman"/>
              </w:rPr>
              <w:t>占总营收</w:t>
            </w:r>
            <w:r>
              <w:rPr>
                <w:rFonts w:ascii="Times New Roman" w:cs="Times New Roman"/>
              </w:rPr>
              <w:t>51.30%</w:t>
            </w:r>
            <w:r>
              <w:rPr>
                <w:rFonts w:ascii="Times New Roman" w:cs="Times New Roman" w:hint="eastAsia"/>
              </w:rPr>
              <w:t>，毛利率</w:t>
            </w:r>
            <w:r>
              <w:rPr>
                <w:rFonts w:ascii="Times New Roman" w:cs="Times New Roman" w:hint="eastAsia"/>
              </w:rPr>
              <w:t>33.49%</w:t>
            </w:r>
            <w:r>
              <w:rPr>
                <w:rFonts w:ascii="Times New Roman" w:cs="Times New Roman" w:hint="eastAsia"/>
              </w:rPr>
              <w:t>；物流及港口辅助业务营业收入</w:t>
            </w:r>
            <w:r>
              <w:rPr>
                <w:rFonts w:ascii="Times New Roman" w:cs="Times New Roman" w:hint="eastAsia"/>
              </w:rPr>
              <w:t>33.50</w:t>
            </w:r>
            <w:r>
              <w:rPr>
                <w:rFonts w:ascii="Times New Roman" w:cs="Times New Roman" w:hint="eastAsia"/>
              </w:rPr>
              <w:t>亿元，约</w:t>
            </w:r>
            <w:r>
              <w:rPr>
                <w:rFonts w:ascii="Times New Roman" w:cs="Times New Roman"/>
              </w:rPr>
              <w:t>占总营收</w:t>
            </w:r>
            <w:r>
              <w:rPr>
                <w:rFonts w:ascii="Times New Roman" w:cs="Times New Roman"/>
              </w:rPr>
              <w:t>24.09%</w:t>
            </w:r>
            <w:r>
              <w:rPr>
                <w:rFonts w:ascii="Times New Roman" w:cs="Times New Roman" w:hint="eastAsia"/>
              </w:rPr>
              <w:t>，毛利率</w:t>
            </w:r>
            <w:r>
              <w:rPr>
                <w:rFonts w:ascii="Times New Roman" w:cs="Times New Roman" w:hint="eastAsia"/>
              </w:rPr>
              <w:t>20.37%</w:t>
            </w:r>
            <w:r>
              <w:rPr>
                <w:rFonts w:ascii="Times New Roman" w:cs="Times New Roman" w:hint="eastAsia"/>
              </w:rPr>
              <w:t>；贸易业务营业收入</w:t>
            </w:r>
            <w:r>
              <w:rPr>
                <w:rFonts w:ascii="Times New Roman" w:cs="Times New Roman" w:hint="eastAsia"/>
              </w:rPr>
              <w:t>29.82</w:t>
            </w:r>
            <w:r>
              <w:rPr>
                <w:rFonts w:ascii="Times New Roman" w:cs="Times New Roman" w:hint="eastAsia"/>
              </w:rPr>
              <w:t>亿元，约</w:t>
            </w:r>
            <w:r>
              <w:rPr>
                <w:rFonts w:ascii="Times New Roman" w:cs="Times New Roman"/>
              </w:rPr>
              <w:t>占总营收</w:t>
            </w:r>
            <w:r>
              <w:rPr>
                <w:rFonts w:ascii="Times New Roman" w:cs="Times New Roman"/>
              </w:rPr>
              <w:t>21.44%</w:t>
            </w:r>
            <w:r>
              <w:rPr>
                <w:rFonts w:ascii="Times New Roman" w:cs="Times New Roman" w:hint="eastAsia"/>
              </w:rPr>
              <w:t>，毛利率</w:t>
            </w:r>
            <w:r>
              <w:rPr>
                <w:rFonts w:ascii="Times New Roman" w:cs="Times New Roman" w:hint="eastAsia"/>
              </w:rPr>
              <w:t>0.99%</w:t>
            </w:r>
            <w:r>
              <w:rPr>
                <w:rFonts w:ascii="Times New Roman" w:cs="Times New Roman" w:hint="eastAsia"/>
              </w:rPr>
              <w:t>。</w:t>
            </w:r>
          </w:p>
          <w:p w14:paraId="260EC50B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</w:t>
            </w:r>
            <w:r>
              <w:rPr>
                <w:rFonts w:ascii="Times New Roman" w:eastAsia="楷体" w:cs="Times New Roman"/>
                <w:b/>
                <w:bCs/>
              </w:rPr>
              <w:t>南沙新增产能的投产节奏？</w:t>
            </w:r>
          </w:p>
          <w:p w14:paraId="1FAA01C7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hAnsi="宋体" w:cs="Times New Roman" w:hint="eastAsia"/>
              </w:rPr>
            </w:pPr>
            <w:r>
              <w:rPr>
                <w:rFonts w:hAnsi="宋体" w:cs="Times New Roman" w:hint="eastAsia"/>
              </w:rPr>
              <w:t>答：</w:t>
            </w:r>
            <w:r>
              <w:rPr>
                <w:rFonts w:hAnsi="宋体" w:cs="Times New Roman"/>
              </w:rPr>
              <w:t>广州港加快推进南沙港区国际通用码头工程、南沙港区五期工程建设施工，分阶段稳步推动产能释放。南沙港区国际通用码头预计在2027年部分投入试运行</w:t>
            </w:r>
            <w:r>
              <w:rPr>
                <w:rFonts w:hAnsi="宋体" w:cs="Times New Roman" w:hint="eastAsia"/>
              </w:rPr>
              <w:t>，预计2029年完成智能化改造后将进一步释放产能</w:t>
            </w:r>
            <w:r>
              <w:rPr>
                <w:rFonts w:hAnsi="宋体" w:cs="Times New Roman"/>
              </w:rPr>
              <w:t>。南沙港区五期</w:t>
            </w:r>
            <w:r>
              <w:rPr>
                <w:rFonts w:hAnsi="宋体" w:cs="Times New Roman" w:hint="eastAsia"/>
              </w:rPr>
              <w:t>工程</w:t>
            </w:r>
            <w:r>
              <w:rPr>
                <w:rFonts w:hAnsi="宋体" w:cs="Times New Roman"/>
              </w:rPr>
              <w:t>预计2030年部分投入试运行，预计2032年全面投产。</w:t>
            </w:r>
          </w:p>
          <w:p w14:paraId="5812ED68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</w:t>
            </w:r>
            <w:r>
              <w:rPr>
                <w:rFonts w:ascii="Times New Roman" w:eastAsia="楷体" w:cs="Times New Roman"/>
                <w:b/>
                <w:bCs/>
              </w:rPr>
              <w:t>平陆运河全面进入有水调试阶段，通航后对广州港的影响？</w:t>
            </w:r>
          </w:p>
          <w:p w14:paraId="692A9EDF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答：</w:t>
            </w:r>
            <w:r>
              <w:rPr>
                <w:rFonts w:ascii="Times New Roman" w:cs="Times New Roman"/>
              </w:rPr>
              <w:t>平陆运河</w:t>
            </w:r>
            <w:r>
              <w:rPr>
                <w:rFonts w:ascii="Times New Roman" w:cs="Times New Roman" w:hint="eastAsia"/>
              </w:rPr>
              <w:t>是</w:t>
            </w:r>
            <w:r>
              <w:rPr>
                <w:rFonts w:ascii="Times New Roman" w:cs="Times New Roman"/>
              </w:rPr>
              <w:t>承载国家战略的世纪工程</w:t>
            </w:r>
            <w:r>
              <w:rPr>
                <w:rFonts w:ascii="Times New Roman" w:cs="Times New Roman" w:hint="eastAsia"/>
              </w:rPr>
              <w:t>，承载着通江达海、向海图强的使命，对优化国家水运格局、推动西南区域经济发展具有深远意义，同时西南地区经济的发展，也将为广州港带来新的发展机遇。</w:t>
            </w:r>
          </w:p>
          <w:p w14:paraId="231DC707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平陆运河开通后，广州港的港口腹地将愈加纵深至大西南地区，通过海铁联运与江海联运双轮驱动，有望吸引更多货源选择经广州港出海。从货主角度出发，</w:t>
            </w:r>
            <w:proofErr w:type="gramStart"/>
            <w:r>
              <w:rPr>
                <w:rFonts w:ascii="Times New Roman" w:cs="Times New Roman" w:hint="eastAsia"/>
              </w:rPr>
              <w:t>物流全</w:t>
            </w:r>
            <w:proofErr w:type="gramEnd"/>
            <w:r>
              <w:rPr>
                <w:rFonts w:ascii="Times New Roman" w:cs="Times New Roman" w:hint="eastAsia"/>
              </w:rPr>
              <w:t>链条的便利性、时效性与经济性始终是其核心关注因素</w:t>
            </w:r>
            <w:r>
              <w:rPr>
                <w:rFonts w:ascii="Segoe UI" w:eastAsia="Segoe UI" w:hAnsi="Segoe UI" w:cs="Segoe UI"/>
                <w:shd w:val="clear" w:color="auto" w:fill="FFFFFF"/>
              </w:rPr>
              <w:t>，</w:t>
            </w:r>
            <w:r>
              <w:rPr>
                <w:rFonts w:ascii="Times New Roman" w:cs="Times New Roman" w:hint="eastAsia"/>
              </w:rPr>
              <w:t>广州港凭借南沙港区的枢纽优势及航线网络密度，仍将成为西部陆海新通道的关键出海口，</w:t>
            </w:r>
            <w:r>
              <w:rPr>
                <w:rFonts w:ascii="Segoe UI" w:eastAsia="Segoe UI" w:hAnsi="Segoe UI" w:cs="Segoe UI"/>
                <w:shd w:val="clear" w:color="auto" w:fill="FFFFFF"/>
              </w:rPr>
              <w:t>为货主提供更具竞争力的综合物流选择。</w:t>
            </w:r>
          </w:p>
          <w:p w14:paraId="48690E3E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总体而言，平陆运河通航可能在短期内</w:t>
            </w:r>
            <w:proofErr w:type="gramStart"/>
            <w:r>
              <w:rPr>
                <w:rFonts w:ascii="Times New Roman" w:cs="Times New Roman"/>
              </w:rPr>
              <w:t>带来部</w:t>
            </w:r>
            <w:proofErr w:type="gramEnd"/>
            <w:r>
              <w:rPr>
                <w:rFonts w:ascii="Times New Roman" w:cs="Times New Roman"/>
              </w:rPr>
              <w:t>分散杂货的分流，但长期利好趋势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Segoe UI" w:eastAsia="Segoe UI" w:hAnsi="Segoe UI" w:cs="Segoe UI"/>
                <w:shd w:val="clear" w:color="auto" w:fill="FFFFFF"/>
              </w:rPr>
              <w:t>更好地服务西南区域经济</w:t>
            </w:r>
            <w:r>
              <w:rPr>
                <w:rFonts w:ascii="Times New Roman" w:cs="Times New Roman"/>
              </w:rPr>
              <w:t>。</w:t>
            </w:r>
          </w:p>
          <w:p w14:paraId="01542AEE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问：广东港口整合的进度如何？</w:t>
            </w:r>
          </w:p>
          <w:p w14:paraId="14FFAE1A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答：公司没有收到相关的信息。</w:t>
            </w:r>
          </w:p>
          <w:p w14:paraId="2FC6D36B" w14:textId="77777777" w:rsidR="00EF630C" w:rsidRDefault="00EF630C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</w:p>
          <w:p w14:paraId="79A98925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lastRenderedPageBreak/>
              <w:t>问：公司自动化码头建设情况？</w:t>
            </w:r>
          </w:p>
          <w:p w14:paraId="77FF4DC2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hAnsi="宋体" w:hint="eastAsia"/>
              </w:rPr>
            </w:pPr>
            <w:r>
              <w:rPr>
                <w:rFonts w:ascii="Times New Roman" w:cs="Times New Roman" w:hint="eastAsia"/>
              </w:rPr>
              <w:t>答：</w:t>
            </w:r>
            <w:r>
              <w:rPr>
                <w:rFonts w:hAnsi="宋体"/>
              </w:rPr>
              <w:t>广州港南沙四期全自动化码头已全面投产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南沙三期同步实施智能化升级，通过投放无人驾驶集卡、远程操控等举措，稳步提升现有码头自动化水平。南沙</w:t>
            </w:r>
            <w:r>
              <w:rPr>
                <w:rFonts w:hAnsi="宋体" w:hint="eastAsia"/>
              </w:rPr>
              <w:t>港区</w:t>
            </w:r>
            <w:r>
              <w:rPr>
                <w:rFonts w:hAnsi="宋体"/>
              </w:rPr>
              <w:t>国际通用码头、南沙</w:t>
            </w:r>
            <w:r>
              <w:rPr>
                <w:rFonts w:hAnsi="宋体" w:hint="eastAsia"/>
              </w:rPr>
              <w:t>港区</w:t>
            </w:r>
            <w:r>
              <w:rPr>
                <w:rFonts w:hAnsi="宋体"/>
              </w:rPr>
              <w:t>五期</w:t>
            </w:r>
            <w:r>
              <w:rPr>
                <w:rFonts w:hAnsi="宋体" w:hint="eastAsia"/>
              </w:rPr>
              <w:t>工程</w:t>
            </w:r>
            <w:r>
              <w:rPr>
                <w:rFonts w:hAnsi="宋体"/>
              </w:rPr>
              <w:t>两大在建项目</w:t>
            </w:r>
            <w:r>
              <w:rPr>
                <w:rFonts w:hAnsi="宋体" w:hint="eastAsia"/>
              </w:rPr>
              <w:t>均采用兼顾近期落地应用与远期升级迭代的自动化码头技术路线。</w:t>
            </w:r>
            <w:r>
              <w:rPr>
                <w:rFonts w:hAnsi="宋体"/>
              </w:rPr>
              <w:t>公司同步搭建一体化信息系统统筹各码头生产作业，形成存量码头改造提效、新建自动化项目扩容增量的发展格局，持续提升港区作业效率与综合吞吐能力</w:t>
            </w:r>
            <w:r>
              <w:rPr>
                <w:rFonts w:hAnsi="宋体" w:hint="eastAsia"/>
              </w:rPr>
              <w:t>。</w:t>
            </w:r>
          </w:p>
          <w:p w14:paraId="1856F0B5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2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eastAsia="楷体" w:cs="Times New Roman" w:hint="eastAsia"/>
                <w:b/>
                <w:bCs/>
              </w:rPr>
              <w:t>问：公司在市值管理方面采取的措施？</w:t>
            </w:r>
          </w:p>
          <w:p w14:paraId="5A5D1284" w14:textId="77777777" w:rsidR="00EF630C" w:rsidRDefault="00000000">
            <w:pPr>
              <w:pStyle w:val="TableParagraph"/>
              <w:kinsoku w:val="0"/>
              <w:overflowPunct w:val="0"/>
              <w:spacing w:line="460" w:lineRule="exact"/>
              <w:ind w:firstLineChars="200" w:firstLine="480"/>
              <w:jc w:val="both"/>
              <w:rPr>
                <w:rFonts w:ascii="Times New Roman" w:eastAsia="楷体" w:cs="Times New Roman"/>
                <w:b/>
                <w:bCs/>
              </w:rPr>
            </w:pPr>
            <w:r>
              <w:rPr>
                <w:rFonts w:ascii="Times New Roman" w:cs="Times New Roman" w:hint="eastAsia"/>
              </w:rPr>
              <w:t>答：公司董事会、管理层高度重视市值管理工作，制定了市值管理相关制度。公司始终聚焦提升企业内在价值和长期盈利能力，</w:t>
            </w:r>
            <w:r>
              <w:rPr>
                <w:rFonts w:ascii="Times New Roman" w:cs="Times New Roman"/>
              </w:rPr>
              <w:t>认为扎实做好主业、提升盈利能力才是最好的市值管理</w:t>
            </w:r>
            <w:r>
              <w:rPr>
                <w:rFonts w:ascii="Times New Roman" w:cs="Times New Roman" w:hint="eastAsia"/>
              </w:rPr>
              <w:t>。一是抓实港口生产经营，</w:t>
            </w:r>
            <w:r>
              <w:rPr>
                <w:rFonts w:ascii="Times New Roman" w:cs="Times New Roman"/>
              </w:rPr>
              <w:t>2025</w:t>
            </w:r>
            <w:r>
              <w:rPr>
                <w:rFonts w:ascii="Times New Roman" w:cs="Times New Roman"/>
              </w:rPr>
              <w:t>年，全年共完成货物吞吐量</w:t>
            </w:r>
            <w:r>
              <w:rPr>
                <w:rFonts w:ascii="Times New Roman" w:cs="Times New Roman"/>
              </w:rPr>
              <w:t>5.</w:t>
            </w:r>
            <w:r>
              <w:rPr>
                <w:rFonts w:ascii="Times New Roman" w:cs="Times New Roman" w:hint="eastAsia"/>
              </w:rPr>
              <w:t>83</w:t>
            </w:r>
            <w:r>
              <w:rPr>
                <w:rFonts w:ascii="Times New Roman" w:cs="Times New Roman"/>
              </w:rPr>
              <w:t>亿吨，集装箱吞吐量</w:t>
            </w:r>
            <w:r>
              <w:rPr>
                <w:rFonts w:ascii="Times New Roman" w:cs="Times New Roman" w:hint="eastAsia"/>
              </w:rPr>
              <w:t>2714.5</w:t>
            </w:r>
            <w:r>
              <w:rPr>
                <w:rFonts w:ascii="Times New Roman" w:cs="Times New Roman"/>
              </w:rPr>
              <w:t>万标箱，同比分别增长</w:t>
            </w:r>
            <w:r>
              <w:rPr>
                <w:rFonts w:ascii="Times New Roman" w:cs="Times New Roman"/>
              </w:rPr>
              <w:t>2.</w:t>
            </w:r>
            <w:r>
              <w:rPr>
                <w:rFonts w:ascii="Times New Roman" w:cs="Times New Roman" w:hint="eastAsia"/>
              </w:rPr>
              <w:t>6</w:t>
            </w:r>
            <w:r>
              <w:rPr>
                <w:rFonts w:ascii="Times New Roman" w:cs="Times New Roman"/>
              </w:rPr>
              <w:t>%</w:t>
            </w:r>
            <w:r>
              <w:rPr>
                <w:rFonts w:ascii="Times New Roman" w:cs="Times New Roman"/>
              </w:rPr>
              <w:t>和</w:t>
            </w:r>
            <w:r>
              <w:rPr>
                <w:rFonts w:ascii="Times New Roman" w:cs="Times New Roman" w:hint="eastAsia"/>
              </w:rPr>
              <w:t>7</w:t>
            </w:r>
            <w:r>
              <w:rPr>
                <w:rFonts w:ascii="Times New Roman" w:cs="Times New Roman"/>
              </w:rPr>
              <w:t>.</w:t>
            </w:r>
            <w:r>
              <w:rPr>
                <w:rFonts w:ascii="Times New Roman" w:cs="Times New Roman" w:hint="eastAsia"/>
              </w:rPr>
              <w:t>7</w:t>
            </w:r>
            <w:r>
              <w:rPr>
                <w:rFonts w:ascii="Times New Roman" w:cs="Times New Roman"/>
              </w:rPr>
              <w:t>%</w:t>
            </w:r>
            <w:r>
              <w:rPr>
                <w:rFonts w:ascii="Times New Roman" w:cs="Times New Roman" w:hint="eastAsia"/>
              </w:rPr>
              <w:t>；</w:t>
            </w:r>
            <w:r>
              <w:rPr>
                <w:rFonts w:ascii="Times New Roman" w:cs="Times New Roman"/>
              </w:rPr>
              <w:t>全年完成外贸集装箱吞吐量</w:t>
            </w:r>
            <w:r>
              <w:rPr>
                <w:rFonts w:ascii="Times New Roman" w:cs="Times New Roman"/>
              </w:rPr>
              <w:t>1411.2</w:t>
            </w:r>
            <w:r>
              <w:rPr>
                <w:rFonts w:ascii="Times New Roman" w:cs="Times New Roman"/>
              </w:rPr>
              <w:t>万标箱，增长</w:t>
            </w:r>
            <w:r>
              <w:rPr>
                <w:rFonts w:ascii="Times New Roman" w:cs="Times New Roman"/>
              </w:rPr>
              <w:t>19.9%</w:t>
            </w:r>
            <w:r>
              <w:rPr>
                <w:rFonts w:ascii="Times New Roman" w:cs="Times New Roman" w:hint="eastAsia"/>
              </w:rPr>
              <w:t>。</w:t>
            </w:r>
            <w:r>
              <w:rPr>
                <w:rFonts w:ascii="Times New Roman" w:cs="Times New Roman"/>
              </w:rPr>
              <w:t>外贸箱量首次超过内贸，占比达</w:t>
            </w:r>
            <w:r>
              <w:rPr>
                <w:rFonts w:ascii="Times New Roman" w:cs="Times New Roman"/>
              </w:rPr>
              <w:t>52%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货源结构持续优化，经营质量稳步向好</w:t>
            </w:r>
            <w:r>
              <w:rPr>
                <w:rFonts w:ascii="Times New Roman" w:cs="Times New Roman" w:hint="eastAsia"/>
              </w:rPr>
              <w:t>。二是加速推进重大项目投资建设，推动南沙国际通用码头、南沙港区五期工程等重大项目建设进度，全面夯实港口硬件服务能级。三是加强企业内部管理，持续强化风险防控体系。通过精细化管控，推进“两金”压降等措施，持续优化公司的财务成本。</w:t>
            </w:r>
            <w:r>
              <w:rPr>
                <w:rFonts w:ascii="Times New Roman" w:cs="Times New Roman"/>
              </w:rPr>
              <w:t>从股东回报看，</w:t>
            </w:r>
            <w:bookmarkStart w:id="2" w:name="OLE_LINK1"/>
            <w:r>
              <w:rPr>
                <w:rFonts w:ascii="Times New Roman" w:cs="Times New Roman"/>
              </w:rPr>
              <w:t>公司自上市以来连续多年保持</w:t>
            </w:r>
            <w:r>
              <w:rPr>
                <w:rFonts w:ascii="Times New Roman" w:cs="Times New Roman"/>
              </w:rPr>
              <w:t>30%</w:t>
            </w:r>
            <w:r>
              <w:rPr>
                <w:rFonts w:ascii="Times New Roman" w:cs="Times New Roman"/>
              </w:rPr>
              <w:t>以上的分红比例，</w:t>
            </w:r>
            <w:r>
              <w:rPr>
                <w:rFonts w:ascii="Times New Roman" w:cs="Times New Roman"/>
              </w:rPr>
              <w:t>2024</w:t>
            </w:r>
            <w:r>
              <w:rPr>
                <w:rFonts w:ascii="Times New Roman" w:cs="Times New Roman"/>
              </w:rPr>
              <w:t>年度现金分红</w:t>
            </w:r>
            <w:r>
              <w:rPr>
                <w:rFonts w:ascii="Times New Roman" w:cs="Times New Roman"/>
              </w:rPr>
              <w:t>2.94</w:t>
            </w:r>
            <w:r>
              <w:rPr>
                <w:rFonts w:ascii="Times New Roman" w:cs="Times New Roman"/>
              </w:rPr>
              <w:t>亿元、分红</w:t>
            </w:r>
            <w:r>
              <w:rPr>
                <w:rFonts w:ascii="Times New Roman" w:cs="Times New Roman" w:hint="eastAsia"/>
              </w:rPr>
              <w:t>比例</w:t>
            </w:r>
            <w:r>
              <w:rPr>
                <w:rFonts w:ascii="Times New Roman" w:cs="Times New Roman"/>
              </w:rPr>
              <w:t>30.51%</w:t>
            </w:r>
            <w:r>
              <w:rPr>
                <w:rFonts w:ascii="Times New Roman" w:cs="Times New Roman"/>
              </w:rPr>
              <w:t>，</w:t>
            </w:r>
            <w:r>
              <w:rPr>
                <w:rFonts w:ascii="Times New Roman" w:cs="Times New Roman"/>
              </w:rPr>
              <w:t>2025</w:t>
            </w:r>
            <w:r>
              <w:rPr>
                <w:rFonts w:ascii="Times New Roman" w:cs="Times New Roman"/>
              </w:rPr>
              <w:t>年度拟</w:t>
            </w:r>
            <w:r>
              <w:rPr>
                <w:rFonts w:ascii="Times New Roman" w:cs="Times New Roman" w:hint="eastAsia"/>
              </w:rPr>
              <w:t>派发现金红利</w:t>
            </w:r>
            <w:r>
              <w:rPr>
                <w:rFonts w:ascii="Times New Roman" w:cs="Times New Roman"/>
              </w:rPr>
              <w:t>2.49</w:t>
            </w:r>
            <w:r>
              <w:rPr>
                <w:rFonts w:ascii="Times New Roman" w:cs="Times New Roman"/>
              </w:rPr>
              <w:t>亿元、分红</w:t>
            </w:r>
            <w:r>
              <w:rPr>
                <w:rFonts w:ascii="Times New Roman" w:cs="Times New Roman" w:hint="eastAsia"/>
              </w:rPr>
              <w:t>比例</w:t>
            </w:r>
            <w:r>
              <w:rPr>
                <w:rFonts w:ascii="Times New Roman" w:cs="Times New Roman"/>
              </w:rPr>
              <w:t>30.3%</w:t>
            </w:r>
            <w:r>
              <w:rPr>
                <w:rFonts w:ascii="Times New Roman" w:cs="Times New Roman"/>
              </w:rPr>
              <w:t>，</w:t>
            </w:r>
            <w:bookmarkEnd w:id="2"/>
            <w:r>
              <w:rPr>
                <w:rFonts w:ascii="Times New Roman" w:cs="Times New Roman"/>
              </w:rPr>
              <w:t>用实际行动回报投资者。公司基本面稳健向好</w:t>
            </w:r>
            <w:r>
              <w:rPr>
                <w:rFonts w:ascii="Times New Roman" w:cs="Times New Roman" w:hint="eastAsia"/>
              </w:rPr>
              <w:t>，公司</w:t>
            </w:r>
            <w:r>
              <w:rPr>
                <w:rFonts w:ascii="Times New Roman" w:cs="Times New Roman"/>
              </w:rPr>
              <w:t>会继续聚焦核心业务，</w:t>
            </w:r>
            <w:r>
              <w:rPr>
                <w:rFonts w:ascii="Times New Roman" w:cs="Times New Roman" w:hint="eastAsia"/>
              </w:rPr>
              <w:t>运用好市值管理的工具，用持续稳健的业绩回馈投资者。</w:t>
            </w:r>
          </w:p>
        </w:tc>
      </w:tr>
      <w:tr w:rsidR="00EF630C" w14:paraId="279C4E25" w14:textId="77777777">
        <w:trPr>
          <w:trHeight w:val="78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06E4" w14:textId="77777777" w:rsidR="00EF630C" w:rsidRDefault="00000000">
            <w:pPr>
              <w:pStyle w:val="TableParagraph"/>
              <w:kinsoku w:val="0"/>
              <w:overflowPunct w:val="0"/>
              <w:spacing w:before="115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lastRenderedPageBreak/>
              <w:t>附件（如有）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4D1E" w14:textId="77777777" w:rsidR="00EF630C" w:rsidRDefault="00000000">
            <w:pPr>
              <w:pStyle w:val="TableParagraph"/>
              <w:kinsoku w:val="0"/>
              <w:overflowPunct w:val="0"/>
              <w:jc w:val="center"/>
              <w:rPr>
                <w:rFonts w:hAnsi="宋体" w:cs="Times New Roman" w:hint="eastAsia"/>
                <w:sz w:val="22"/>
                <w:szCs w:val="22"/>
              </w:rPr>
            </w:pPr>
            <w:r>
              <w:rPr>
                <w:rFonts w:hAnsi="宋体" w:cs="Times New Roman" w:hint="eastAsia"/>
                <w:sz w:val="22"/>
                <w:szCs w:val="22"/>
              </w:rPr>
              <w:t>无</w:t>
            </w:r>
          </w:p>
        </w:tc>
      </w:tr>
    </w:tbl>
    <w:p w14:paraId="326E978A" w14:textId="77777777" w:rsidR="00EF630C" w:rsidRDefault="00EF630C"/>
    <w:sectPr w:rsidR="00EF630C">
      <w:pgSz w:w="11900" w:h="16820"/>
      <w:pgMar w:top="15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6990" w14:textId="77777777" w:rsidR="0022047E" w:rsidRDefault="0022047E" w:rsidP="004E7BD2">
      <w:r>
        <w:separator/>
      </w:r>
    </w:p>
  </w:endnote>
  <w:endnote w:type="continuationSeparator" w:id="0">
    <w:p w14:paraId="05F7FF55" w14:textId="77777777" w:rsidR="0022047E" w:rsidRDefault="0022047E" w:rsidP="004E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8777" w14:textId="77777777" w:rsidR="0022047E" w:rsidRDefault="0022047E" w:rsidP="004E7BD2">
      <w:r>
        <w:separator/>
      </w:r>
    </w:p>
  </w:footnote>
  <w:footnote w:type="continuationSeparator" w:id="0">
    <w:p w14:paraId="4F5141AA" w14:textId="77777777" w:rsidR="0022047E" w:rsidRDefault="0022047E" w:rsidP="004E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76"/>
    <w:rsid w:val="0001387F"/>
    <w:rsid w:val="0001743A"/>
    <w:rsid w:val="00071812"/>
    <w:rsid w:val="000A58B5"/>
    <w:rsid w:val="000C3376"/>
    <w:rsid w:val="00156423"/>
    <w:rsid w:val="001602B0"/>
    <w:rsid w:val="001F65B8"/>
    <w:rsid w:val="0022047E"/>
    <w:rsid w:val="00402BE2"/>
    <w:rsid w:val="00492BE4"/>
    <w:rsid w:val="004A5ECB"/>
    <w:rsid w:val="004E52B9"/>
    <w:rsid w:val="004E7BD2"/>
    <w:rsid w:val="005420CF"/>
    <w:rsid w:val="00576D6B"/>
    <w:rsid w:val="006549B8"/>
    <w:rsid w:val="006F47BE"/>
    <w:rsid w:val="007530F0"/>
    <w:rsid w:val="007C3516"/>
    <w:rsid w:val="00830FBC"/>
    <w:rsid w:val="008C3F3C"/>
    <w:rsid w:val="0098344E"/>
    <w:rsid w:val="009E3712"/>
    <w:rsid w:val="00A1631D"/>
    <w:rsid w:val="00A6353A"/>
    <w:rsid w:val="00B039A4"/>
    <w:rsid w:val="00B12645"/>
    <w:rsid w:val="00B14792"/>
    <w:rsid w:val="00B77EDA"/>
    <w:rsid w:val="00CF4083"/>
    <w:rsid w:val="00CF4C23"/>
    <w:rsid w:val="00D730E2"/>
    <w:rsid w:val="00D95C8A"/>
    <w:rsid w:val="00E36F3B"/>
    <w:rsid w:val="00E8343C"/>
    <w:rsid w:val="00EF630C"/>
    <w:rsid w:val="00F4370A"/>
    <w:rsid w:val="00F66370"/>
    <w:rsid w:val="00F8473E"/>
    <w:rsid w:val="00FB553A"/>
    <w:rsid w:val="00FD6929"/>
    <w:rsid w:val="017A4FA8"/>
    <w:rsid w:val="0A1F2D91"/>
    <w:rsid w:val="0AE138D7"/>
    <w:rsid w:val="0CFA0B97"/>
    <w:rsid w:val="0E8F1DA3"/>
    <w:rsid w:val="10AC47FB"/>
    <w:rsid w:val="140F2E92"/>
    <w:rsid w:val="1BBE3D8C"/>
    <w:rsid w:val="2079577C"/>
    <w:rsid w:val="26C22771"/>
    <w:rsid w:val="2D7A573F"/>
    <w:rsid w:val="342F3D32"/>
    <w:rsid w:val="35E83EEF"/>
    <w:rsid w:val="3E8701DA"/>
    <w:rsid w:val="40D75B91"/>
    <w:rsid w:val="46D13294"/>
    <w:rsid w:val="47413D8D"/>
    <w:rsid w:val="52944899"/>
    <w:rsid w:val="5402266C"/>
    <w:rsid w:val="55997E7C"/>
    <w:rsid w:val="585F1909"/>
    <w:rsid w:val="5D6A49C3"/>
    <w:rsid w:val="6E53093A"/>
    <w:rsid w:val="6E904699"/>
    <w:rsid w:val="6FE8687C"/>
    <w:rsid w:val="74E20E68"/>
    <w:rsid w:val="76A634D7"/>
    <w:rsid w:val="76AD5B39"/>
    <w:rsid w:val="7ADF32E7"/>
    <w:rsid w:val="7E9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FE6DF"/>
  <w15:docId w15:val="{8B9524DA-0E3E-4B6C-82D0-1D96297F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  <w:adjustRightInd w:val="0"/>
    </w:pPr>
    <w:rPr>
      <w:rFonts w:ascii="宋体" w:cs="宋体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spacing w:line="429" w:lineRule="exact"/>
      <w:ind w:left="902" w:right="2340"/>
      <w:jc w:val="center"/>
      <w:outlineLvl w:val="1"/>
    </w:pPr>
    <w:rPr>
      <w:rFonts w:ascii="Microsoft JhengHei" w:eastAsia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420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20">
    <w:name w:val="标题 2 字符"/>
    <w:basedOn w:val="a0"/>
    <w:link w:val="2"/>
    <w:uiPriority w:val="1"/>
    <w:qFormat/>
    <w:rPr>
      <w:rFonts w:ascii="Microsoft JhengHei" w:eastAsia="Microsoft JhengHei" w:hAnsi="Times New Roman" w:cs="Microsoft JhengHei"/>
      <w:b/>
      <w:bCs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宋体" w:eastAsia="宋体" w:hAnsi="Times New Roman" w:cs="宋体"/>
      <w:kern w:val="0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宋体" w:eastAsia="宋体" w:hAnsi="Times New Roman" w:cs="宋体"/>
      <w:kern w:val="0"/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b">
    <w:name w:val="Revision"/>
    <w:hidden/>
    <w:uiPriority w:val="99"/>
    <w:unhideWhenUsed/>
    <w:rsid w:val="004E7BD2"/>
    <w:rPr>
      <w:rFonts w:asci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锁颍馨</dc:creator>
  <cp:lastModifiedBy>董办02</cp:lastModifiedBy>
  <cp:revision>7</cp:revision>
  <cp:lastPrinted>2026-06-18T01:36:00Z</cp:lastPrinted>
  <dcterms:created xsi:type="dcterms:W3CDTF">2023-02-13T04:32:00Z</dcterms:created>
  <dcterms:modified xsi:type="dcterms:W3CDTF">2026-06-18T07:22:00Z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DDCBD3385E494F96828B262BD63825B4</vt:lpwstr>
  </property>
</Properties>
</file>