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标题：关于对山东键邦新材料股份有限公司有关股权收购事项的监管工作函</w:t>
      </w:r>
    </w:p>
    <w:p>
      <w:r>
        <w:t>证券代码：603285</w:t>
      </w:r>
    </w:p>
    <w:p>
      <w:r>
        <w:t>证券简称：键邦股份</w:t>
      </w:r>
    </w:p>
    <w:p>
      <w:r>
        <w:t>监管类型：监管工作函</w:t>
      </w:r>
    </w:p>
    <w:p>
      <w:r>
        <w:t>涉及对象：上市公司</w:t>
      </w:r>
    </w:p>
    <w:p>
      <w:r>
        <w:t>处分日期：2026-06-18</w:t>
      </w:r>
    </w:p>
    <w:p>
      <w:r>
        <w:t>处理事由：关于对山东键邦新材料股份有限公司有关股权收购事项的监管工作函</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2026-06-18T10:40:00Z</dcterms:created>
  <dc:creator>Apache POI</dc:creator>
</cp:coreProperties>
</file>