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标题：关于恒为科技（上海）股份有限公司资产收购相关事项的监管工作函</w:t>
      </w:r>
    </w:p>
    <w:p>
      <w:r>
        <w:t>证券代码：603496</w:t>
      </w:r>
    </w:p>
    <w:p>
      <w:r>
        <w:t>证券简称：恒为科技</w:t>
      </w:r>
    </w:p>
    <w:p>
      <w:r>
        <w:t>监管类型：监管工作函</w:t>
      </w:r>
    </w:p>
    <w:p>
      <w:r>
        <w:t>涉及对象：上市公司,董事,高级管理人员,中介机构及其相关人员</w:t>
      </w:r>
    </w:p>
    <w:p>
      <w:r>
        <w:t>处分日期：2026-06-23</w:t>
      </w:r>
    </w:p>
    <w:p>
      <w:r>
        <w:t>处理事由：就公司资产收购事项明确监管要求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2026-06-23T13:30:00Z</dcterms:created>
  <dc:creator>Apache POI</dc:creator>
</cp:coreProperties>
</file>