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13D0" w14:textId="77777777" w:rsidR="00494052" w:rsidRDefault="00F62915">
      <w:pPr>
        <w:spacing w:beforeLines="50" w:before="156" w:afterLines="100" w:after="312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600360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华微</w:t>
      </w:r>
      <w:r>
        <w:rPr>
          <w:rFonts w:hint="eastAsia"/>
          <w:color w:val="000000"/>
          <w:sz w:val="24"/>
        </w:rPr>
        <w:t>电子</w:t>
      </w:r>
      <w:r>
        <w:rPr>
          <w:rFonts w:hint="eastAsia"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</w:t>
      </w:r>
      <w:r>
        <w:t>编号：</w:t>
      </w:r>
      <w:r>
        <w:t>2026-003</w:t>
      </w:r>
    </w:p>
    <w:p w14:paraId="510AAE0B" w14:textId="77777777" w:rsidR="00494052" w:rsidRDefault="00F6291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ascii="宋体" w:hAnsi="宋体"/>
          <w:b/>
          <w:bCs/>
          <w:iCs/>
          <w:color w:val="FF0000"/>
          <w:sz w:val="32"/>
          <w:szCs w:val="32"/>
        </w:rPr>
        <w:t>吉林华微电子股份有限公司</w:t>
      </w:r>
    </w:p>
    <w:p w14:paraId="66B0C19E" w14:textId="77777777" w:rsidR="00494052" w:rsidRDefault="00F6291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2600A6F0" w14:textId="77777777" w:rsidR="00494052" w:rsidRDefault="00F62915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494052" w14:paraId="3B2D1DCB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052E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2006DD5" w14:textId="77777777" w:rsidR="00494052" w:rsidRDefault="00494052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018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 xml:space="preserve">√ 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5AD4FC9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4DAAE68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461A432" w14:textId="77777777" w:rsidR="00494052" w:rsidRDefault="00F62915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</w:p>
          <w:p w14:paraId="10E4F8E5" w14:textId="77777777" w:rsidR="00494052" w:rsidRDefault="00F6291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其他（</w:t>
            </w:r>
            <w:r>
              <w:rPr>
                <w:rFonts w:hAnsi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hAnsi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494052" w14:paraId="12DE15F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BDA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27F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广发证券股份有限公司、吉林亿晟恒德投资基金管理有限公司</w:t>
            </w:r>
            <w:bookmarkStart w:id="0" w:name="OLE_LINK6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、吉林市科技投资有限公司</w:t>
            </w:r>
            <w:bookmarkEnd w:id="0"/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、吉林市国弘投资有限公司及其他个人投资者</w:t>
            </w:r>
          </w:p>
        </w:tc>
      </w:tr>
      <w:tr w:rsidR="00494052" w14:paraId="7994075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1D6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EE8" w14:textId="2F171834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16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（星期二）</w:t>
            </w:r>
            <w:r w:rsidR="00BA4263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BA4263">
              <w:rPr>
                <w:bCs/>
                <w:iCs/>
                <w:color w:val="000000"/>
                <w:sz w:val="24"/>
              </w:rPr>
              <w:t>3</w:t>
            </w:r>
            <w:r>
              <w:rPr>
                <w:bCs/>
                <w:iCs/>
                <w:color w:val="000000"/>
                <w:sz w:val="24"/>
              </w:rPr>
              <w:t>0~11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>
              <w:rPr>
                <w:bCs/>
                <w:iCs/>
                <w:color w:val="000000"/>
                <w:sz w:val="24"/>
              </w:rPr>
              <w:t>00</w:t>
            </w:r>
          </w:p>
        </w:tc>
      </w:tr>
      <w:tr w:rsidR="00494052" w14:paraId="363A7145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E3A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4C5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吉林省吉林市高新区深圳街9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号、99号</w:t>
            </w:r>
          </w:p>
        </w:tc>
      </w:tr>
      <w:tr w:rsidR="00494052" w14:paraId="4EF23437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2686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2DE" w14:textId="77777777" w:rsidR="00494052" w:rsidRDefault="00F6291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副总经理、</w:t>
            </w:r>
            <w:r>
              <w:rPr>
                <w:rFonts w:ascii="宋体" w:hAnsi="宋体"/>
                <w:bCs/>
                <w:sz w:val="24"/>
              </w:rPr>
              <w:t>财务负责人、董事会秘书李娟娟</w:t>
            </w:r>
          </w:p>
        </w:tc>
      </w:tr>
      <w:tr w:rsidR="00494052" w14:paraId="4DCF989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C41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1849" w14:textId="77777777" w:rsidR="00494052" w:rsidRDefault="00F62915">
            <w:pPr>
              <w:pStyle w:val="Style6"/>
              <w:numPr>
                <w:ilvl w:val="0"/>
                <w:numId w:val="1"/>
              </w:numPr>
              <w:spacing w:afterLines="50" w:after="156" w:line="460" w:lineRule="exact"/>
              <w:ind w:left="42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参观</w:t>
            </w:r>
            <w:bookmarkStart w:id="1" w:name="OLE_LINK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公司展厅</w:t>
            </w:r>
            <w:bookmarkEnd w:id="1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，观看公司宣传片</w:t>
            </w:r>
          </w:p>
          <w:p w14:paraId="12750799" w14:textId="77777777" w:rsidR="00494052" w:rsidRDefault="00F62915">
            <w:pPr>
              <w:pStyle w:val="Style6"/>
              <w:numPr>
                <w:ilvl w:val="0"/>
                <w:numId w:val="1"/>
              </w:numPr>
              <w:spacing w:afterLines="50" w:after="156" w:line="460" w:lineRule="exact"/>
              <w:ind w:left="420" w:firstLineChars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互动交流环节</w:t>
            </w:r>
          </w:p>
          <w:p w14:paraId="15675D27" w14:textId="77777777" w:rsidR="00494052" w:rsidRDefault="00F62915">
            <w:pPr>
              <w:pStyle w:val="Style6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国资入主后，在内控体系、管理层激励、决策效率等方面采取了哪些具体措施？</w:t>
            </w:r>
          </w:p>
          <w:p w14:paraId="6FDC7CAA" w14:textId="77777777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2025年，公司深化内控体系建设，共修订《公司章程》《股东会议事规则》等16份公司治理相关制度，进一步夯实了治理基础。同时对《内部控制制度》进行了全面修订，后续将紧密围绕“强内控、防风险、促合规”的目标，持续健全制度、优化流程，加强内部审计的监督与评价职能，强化对内部控制有效性的评估与持续改进，不断提升风险防范能力、经营管理效率及规范运作水平。同时，公司将持续完善法人治理结构，强化全流程资金管控，建立全面预算管理体系，确保资金使用效率与安全，稳步推进业务发展。</w:t>
            </w:r>
          </w:p>
          <w:p w14:paraId="66E75AFC" w14:textId="77777777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在管理层激励方面，公司制定《董事、高级管理人员薪酬管理制度》，将董高薪酬与公司业绩、重点项目等核心经营指标直接挂钩，从制度上保障了管理层与股东利益的一致性。</w:t>
            </w:r>
          </w:p>
          <w:p w14:paraId="49F32670" w14:textId="77777777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决策效率方面，公司进一步配齐健全党委班子，实现“党建入章”，明确公司党委在法人治理结构中的法定地位。在此基础上，公司厘清了党委会、董事会与经营层的权责边界，将日常经营事项充分授权给经营层决策，既发挥了国资在合规把控上的优势，又避免了层层审批导致的效率损耗，在合规前提下有效提升了经营决策效率。</w:t>
            </w:r>
          </w:p>
          <w:p w14:paraId="49660B84" w14:textId="77777777" w:rsidR="00494052" w:rsidRDefault="00F62915">
            <w:pPr>
              <w:pStyle w:val="Style6"/>
              <w:numPr>
                <w:ilvl w:val="0"/>
                <w:numId w:val="2"/>
              </w:numPr>
              <w:spacing w:beforeLines="50" w:before="156" w:line="460" w:lineRule="exact"/>
              <w:ind w:left="0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公司如何应对原材料价格波动对利润的冲击？</w:t>
            </w:r>
          </w:p>
          <w:p w14:paraId="67066489" w14:textId="074E6878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公司通过优化客户结构与市场布局、加快高附加值产品的研发速度及供货量等方式，增加高附加值产品的销售量；成本方面，通过内部实施成本管控，与材料供应商商务谈判，战略合作等手段</w:t>
            </w:r>
            <w:r w:rsidR="00D17793">
              <w:rPr>
                <w:rFonts w:ascii="宋体" w:hAnsi="宋体" w:hint="eastAsia"/>
                <w:sz w:val="24"/>
                <w:szCs w:val="24"/>
              </w:rPr>
              <w:t>控制</w:t>
            </w:r>
            <w:r>
              <w:rPr>
                <w:rFonts w:ascii="宋体" w:hAnsi="宋体" w:hint="eastAsia"/>
                <w:sz w:val="24"/>
                <w:szCs w:val="24"/>
              </w:rPr>
              <w:t>原材料采购成本。</w:t>
            </w:r>
          </w:p>
          <w:p w14:paraId="0ED5617E" w14:textId="77777777" w:rsidR="00494052" w:rsidRDefault="00F62915">
            <w:pPr>
              <w:pStyle w:val="Style6"/>
              <w:numPr>
                <w:ilvl w:val="0"/>
                <w:numId w:val="2"/>
              </w:numPr>
              <w:spacing w:beforeLines="50" w:before="156" w:line="460" w:lineRule="exact"/>
              <w:ind w:left="0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bookmarkStart w:id="2" w:name="OLE_LINK9"/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在当前功率半导体行业周期下，上游硅片、衬底等原材料采取了哪些库存管控策略？供货稳定性如何？</w:t>
            </w:r>
          </w:p>
          <w:bookmarkEnd w:id="2"/>
          <w:p w14:paraId="00910ABE" w14:textId="77777777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关于库存管控策略，公司依据市场需求淡旺季，产品通用性以及重点产品推广进度进行一定量的库存储备，整体库存周转天数控制在合理范围内。</w:t>
            </w:r>
          </w:p>
          <w:p w14:paraId="4B7AEE5E" w14:textId="77777777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公司与上游硅片、衬底原材料供货商有多年的合作基础，供货稳定，公司通过长期满足主要硅片供货方的产能需求、保持其经营持续运转，双方形成稳定的合作关系，原材料价格目前相对稳定。</w:t>
            </w:r>
          </w:p>
          <w:p w14:paraId="630523AD" w14:textId="77777777" w:rsidR="00494052" w:rsidRDefault="00F62915">
            <w:pPr>
              <w:pStyle w:val="Style6"/>
              <w:numPr>
                <w:ilvl w:val="0"/>
                <w:numId w:val="2"/>
              </w:numPr>
              <w:spacing w:beforeLines="50" w:before="156" w:line="460" w:lineRule="exact"/>
              <w:ind w:left="0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公司下游客户的回款周期是否出现变化？</w:t>
            </w:r>
          </w:p>
          <w:p w14:paraId="49F6213E" w14:textId="77777777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公司供货稳定，质量有保障，在客户中口碑良好，公司合作的下游客户均为优质客户，双方多年来形成深度的战略合作，信誉良好，客户严格按合同约定的回款周期支付货款，不会随意调整款期。</w:t>
            </w:r>
          </w:p>
          <w:p w14:paraId="5A572729" w14:textId="77777777" w:rsidR="00494052" w:rsidRDefault="00F62915">
            <w:pPr>
              <w:pStyle w:val="Style6"/>
              <w:numPr>
                <w:ilvl w:val="0"/>
                <w:numId w:val="2"/>
              </w:numPr>
              <w:spacing w:beforeLines="50" w:before="156" w:line="460" w:lineRule="exact"/>
              <w:ind w:left="0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公司人才招聘需要哪些条件？如何留住人才？</w:t>
            </w:r>
          </w:p>
          <w:p w14:paraId="581CE3FE" w14:textId="38D35978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人才招聘方面，技术人员需具备本科以上学历、专业方向为电子科学技术、机械设备及自动化等专业，有相关行业经验。研发工程师则需具备硕士以上学历，专业方向为电子科学技术等专业，有相关行业经验。</w:t>
            </w:r>
          </w:p>
          <w:p w14:paraId="203FE20C" w14:textId="1B05972E" w:rsidR="00494052" w:rsidRDefault="00F6291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在留住人才方面，公司构建了“职业发展+薪酬激励+人文关怀”三位一体的留人机制，具体包括：提供多序列晋升通道与系统化培训，助力员工成长；不断完善公司薪酬福利政策，制定多样化奖励机制；同时改善工作生活条件、保障职业健康安全，积极组织各类文体活动，为员工营造积极文化氛围。通过上述举措，公司有效稳定核心人才队伍，为公司长期发展提供了人才基础。</w:t>
            </w:r>
          </w:p>
        </w:tc>
      </w:tr>
      <w:tr w:rsidR="00494052" w14:paraId="5BABB98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048" w14:textId="77777777" w:rsidR="00494052" w:rsidRDefault="00F62915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247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494052" w14:paraId="26BB1956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A9D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BC1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494052" w14:paraId="39E42B98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322" w14:textId="77777777" w:rsidR="00494052" w:rsidRDefault="00F62915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6B6" w14:textId="77777777" w:rsidR="00494052" w:rsidRDefault="00F6291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16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 w14:paraId="01693A38" w14:textId="77777777" w:rsidR="00494052" w:rsidRDefault="00494052"/>
    <w:sectPr w:rsidR="0049405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FAA88" w14:textId="77777777" w:rsidR="009D7418" w:rsidRDefault="009D7418">
      <w:r>
        <w:separator/>
      </w:r>
    </w:p>
  </w:endnote>
  <w:endnote w:type="continuationSeparator" w:id="0">
    <w:p w14:paraId="4C386EDD" w14:textId="77777777" w:rsidR="009D7418" w:rsidRDefault="009D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451211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14:paraId="2828BC43" w14:textId="77777777" w:rsidR="00494052" w:rsidRDefault="00F6291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0BFE84" w14:textId="77777777" w:rsidR="00494052" w:rsidRDefault="00494052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7341C" w14:textId="77777777" w:rsidR="009D7418" w:rsidRDefault="009D7418">
      <w:r>
        <w:separator/>
      </w:r>
    </w:p>
  </w:footnote>
  <w:footnote w:type="continuationSeparator" w:id="0">
    <w:p w14:paraId="7EB0CE09" w14:textId="77777777" w:rsidR="009D7418" w:rsidRDefault="009D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26A0" w14:textId="77777777" w:rsidR="00494052" w:rsidRDefault="00494052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F4747"/>
    <w:multiLevelType w:val="multilevel"/>
    <w:tmpl w:val="50DF4747"/>
    <w:lvl w:ilvl="0">
      <w:start w:val="1"/>
      <w:numFmt w:val="decimal"/>
      <w:suff w:val="space"/>
      <w:lvlText w:val="%1."/>
      <w:lvlJc w:val="left"/>
      <w:pPr>
        <w:ind w:left="41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C500AF"/>
    <w:multiLevelType w:val="multilevel"/>
    <w:tmpl w:val="70C500AF"/>
    <w:lvl w:ilvl="0">
      <w:start w:val="1"/>
      <w:numFmt w:val="chineseCountingThousand"/>
      <w:lvlText w:val="%1."/>
      <w:lvlJc w:val="left"/>
      <w:pPr>
        <w:ind w:left="418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38" w:hanging="420"/>
      </w:pPr>
    </w:lvl>
    <w:lvl w:ilvl="2">
      <w:start w:val="1"/>
      <w:numFmt w:val="lowerRoman"/>
      <w:lvlText w:val="%3."/>
      <w:lvlJc w:val="right"/>
      <w:pPr>
        <w:ind w:left="1258" w:hanging="420"/>
      </w:pPr>
    </w:lvl>
    <w:lvl w:ilvl="3">
      <w:start w:val="1"/>
      <w:numFmt w:val="decimal"/>
      <w:lvlText w:val="%4."/>
      <w:lvlJc w:val="left"/>
      <w:pPr>
        <w:ind w:left="1678" w:hanging="420"/>
      </w:pPr>
    </w:lvl>
    <w:lvl w:ilvl="4">
      <w:start w:val="1"/>
      <w:numFmt w:val="lowerLetter"/>
      <w:lvlText w:val="%5)"/>
      <w:lvlJc w:val="left"/>
      <w:pPr>
        <w:ind w:left="2098" w:hanging="420"/>
      </w:pPr>
    </w:lvl>
    <w:lvl w:ilvl="5">
      <w:start w:val="1"/>
      <w:numFmt w:val="lowerRoman"/>
      <w:lvlText w:val="%6."/>
      <w:lvlJc w:val="right"/>
      <w:pPr>
        <w:ind w:left="2518" w:hanging="420"/>
      </w:pPr>
    </w:lvl>
    <w:lvl w:ilvl="6">
      <w:start w:val="1"/>
      <w:numFmt w:val="decimal"/>
      <w:lvlText w:val="%7."/>
      <w:lvlJc w:val="left"/>
      <w:pPr>
        <w:ind w:left="2938" w:hanging="420"/>
      </w:pPr>
    </w:lvl>
    <w:lvl w:ilvl="7">
      <w:start w:val="1"/>
      <w:numFmt w:val="lowerLetter"/>
      <w:lvlText w:val="%8)"/>
      <w:lvlJc w:val="left"/>
      <w:pPr>
        <w:ind w:left="3358" w:hanging="420"/>
      </w:pPr>
    </w:lvl>
    <w:lvl w:ilvl="8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60C0"/>
    <w:rsid w:val="00017B54"/>
    <w:rsid w:val="00025808"/>
    <w:rsid w:val="000268C0"/>
    <w:rsid w:val="000306D2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B0DFE"/>
    <w:rsid w:val="000C26FD"/>
    <w:rsid w:val="000C2D85"/>
    <w:rsid w:val="000C62D7"/>
    <w:rsid w:val="000D18E8"/>
    <w:rsid w:val="000E2B54"/>
    <w:rsid w:val="000E4C94"/>
    <w:rsid w:val="000E5700"/>
    <w:rsid w:val="000F0C4B"/>
    <w:rsid w:val="000F0E22"/>
    <w:rsid w:val="000F3EC8"/>
    <w:rsid w:val="00105A04"/>
    <w:rsid w:val="001169A9"/>
    <w:rsid w:val="00123A14"/>
    <w:rsid w:val="00125EB2"/>
    <w:rsid w:val="00130903"/>
    <w:rsid w:val="00142A4C"/>
    <w:rsid w:val="00144279"/>
    <w:rsid w:val="001452FF"/>
    <w:rsid w:val="0014540D"/>
    <w:rsid w:val="00147B7E"/>
    <w:rsid w:val="00151A83"/>
    <w:rsid w:val="0016617A"/>
    <w:rsid w:val="00167E99"/>
    <w:rsid w:val="00176B72"/>
    <w:rsid w:val="001856CF"/>
    <w:rsid w:val="0019644E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1F6263"/>
    <w:rsid w:val="0022180A"/>
    <w:rsid w:val="00223ABC"/>
    <w:rsid w:val="002241B9"/>
    <w:rsid w:val="00226936"/>
    <w:rsid w:val="002274D9"/>
    <w:rsid w:val="0023455A"/>
    <w:rsid w:val="002354B4"/>
    <w:rsid w:val="00236D80"/>
    <w:rsid w:val="00237994"/>
    <w:rsid w:val="0024775D"/>
    <w:rsid w:val="00247E2A"/>
    <w:rsid w:val="00251D58"/>
    <w:rsid w:val="002528E1"/>
    <w:rsid w:val="002530EE"/>
    <w:rsid w:val="002549E6"/>
    <w:rsid w:val="00256602"/>
    <w:rsid w:val="00271C8D"/>
    <w:rsid w:val="00273B53"/>
    <w:rsid w:val="00277197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2AE4"/>
    <w:rsid w:val="002C6568"/>
    <w:rsid w:val="002C723B"/>
    <w:rsid w:val="002D1686"/>
    <w:rsid w:val="002D39BC"/>
    <w:rsid w:val="002E1B15"/>
    <w:rsid w:val="002E1D3A"/>
    <w:rsid w:val="002E300C"/>
    <w:rsid w:val="002E3EA6"/>
    <w:rsid w:val="002F06A3"/>
    <w:rsid w:val="002F64C8"/>
    <w:rsid w:val="003005F0"/>
    <w:rsid w:val="003015CE"/>
    <w:rsid w:val="003030BF"/>
    <w:rsid w:val="00304F89"/>
    <w:rsid w:val="00306023"/>
    <w:rsid w:val="003075B7"/>
    <w:rsid w:val="00307927"/>
    <w:rsid w:val="003123AC"/>
    <w:rsid w:val="00324442"/>
    <w:rsid w:val="00327147"/>
    <w:rsid w:val="00327D5D"/>
    <w:rsid w:val="00333609"/>
    <w:rsid w:val="00333DB8"/>
    <w:rsid w:val="00344914"/>
    <w:rsid w:val="00346917"/>
    <w:rsid w:val="00354A7B"/>
    <w:rsid w:val="00360FDA"/>
    <w:rsid w:val="00363075"/>
    <w:rsid w:val="00367D18"/>
    <w:rsid w:val="00372047"/>
    <w:rsid w:val="00372A1C"/>
    <w:rsid w:val="0037435A"/>
    <w:rsid w:val="00377D8F"/>
    <w:rsid w:val="00380573"/>
    <w:rsid w:val="00383679"/>
    <w:rsid w:val="003A1E68"/>
    <w:rsid w:val="003A56C9"/>
    <w:rsid w:val="003B0122"/>
    <w:rsid w:val="003B0BE5"/>
    <w:rsid w:val="003C1E47"/>
    <w:rsid w:val="003C5135"/>
    <w:rsid w:val="003D18F1"/>
    <w:rsid w:val="003D4AE8"/>
    <w:rsid w:val="003E001E"/>
    <w:rsid w:val="003F7C4D"/>
    <w:rsid w:val="0040075F"/>
    <w:rsid w:val="00403300"/>
    <w:rsid w:val="004118C0"/>
    <w:rsid w:val="00417A31"/>
    <w:rsid w:val="0042004B"/>
    <w:rsid w:val="00421508"/>
    <w:rsid w:val="0043206C"/>
    <w:rsid w:val="00433384"/>
    <w:rsid w:val="0043777D"/>
    <w:rsid w:val="0044635E"/>
    <w:rsid w:val="0045767F"/>
    <w:rsid w:val="00463E9B"/>
    <w:rsid w:val="004661B1"/>
    <w:rsid w:val="00467414"/>
    <w:rsid w:val="00467AD7"/>
    <w:rsid w:val="00473F30"/>
    <w:rsid w:val="00482AA5"/>
    <w:rsid w:val="0048591A"/>
    <w:rsid w:val="00486D86"/>
    <w:rsid w:val="0048721A"/>
    <w:rsid w:val="00494052"/>
    <w:rsid w:val="00494C08"/>
    <w:rsid w:val="004A030B"/>
    <w:rsid w:val="004A0BD5"/>
    <w:rsid w:val="004A1BBF"/>
    <w:rsid w:val="004A69C8"/>
    <w:rsid w:val="004A73E5"/>
    <w:rsid w:val="004B4444"/>
    <w:rsid w:val="004C19BF"/>
    <w:rsid w:val="004C6849"/>
    <w:rsid w:val="004D60A9"/>
    <w:rsid w:val="004D7640"/>
    <w:rsid w:val="004E1A9B"/>
    <w:rsid w:val="004F5068"/>
    <w:rsid w:val="00500AB6"/>
    <w:rsid w:val="005134A9"/>
    <w:rsid w:val="00513B66"/>
    <w:rsid w:val="005155FB"/>
    <w:rsid w:val="005227CE"/>
    <w:rsid w:val="00523907"/>
    <w:rsid w:val="00537C53"/>
    <w:rsid w:val="0054055C"/>
    <w:rsid w:val="00541B1E"/>
    <w:rsid w:val="005423C5"/>
    <w:rsid w:val="005438F5"/>
    <w:rsid w:val="00544901"/>
    <w:rsid w:val="005474D3"/>
    <w:rsid w:val="00550737"/>
    <w:rsid w:val="00555DD2"/>
    <w:rsid w:val="00556170"/>
    <w:rsid w:val="00565ED9"/>
    <w:rsid w:val="00572040"/>
    <w:rsid w:val="00572465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07B9"/>
    <w:rsid w:val="005C0BCB"/>
    <w:rsid w:val="005C1785"/>
    <w:rsid w:val="005D2457"/>
    <w:rsid w:val="005D2D87"/>
    <w:rsid w:val="005D65F3"/>
    <w:rsid w:val="005D6A09"/>
    <w:rsid w:val="005E2B4B"/>
    <w:rsid w:val="005E5F63"/>
    <w:rsid w:val="005E6BA1"/>
    <w:rsid w:val="0060779A"/>
    <w:rsid w:val="00614450"/>
    <w:rsid w:val="00615BF1"/>
    <w:rsid w:val="006221ED"/>
    <w:rsid w:val="00622F13"/>
    <w:rsid w:val="00625503"/>
    <w:rsid w:val="0062662D"/>
    <w:rsid w:val="00632E78"/>
    <w:rsid w:val="006337BB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126D"/>
    <w:rsid w:val="006861C7"/>
    <w:rsid w:val="00686DDF"/>
    <w:rsid w:val="00697B12"/>
    <w:rsid w:val="006A1543"/>
    <w:rsid w:val="006A55BB"/>
    <w:rsid w:val="006A7613"/>
    <w:rsid w:val="006B4D29"/>
    <w:rsid w:val="006B661A"/>
    <w:rsid w:val="006B7D00"/>
    <w:rsid w:val="006C6BC5"/>
    <w:rsid w:val="006D61A2"/>
    <w:rsid w:val="006E1DB4"/>
    <w:rsid w:val="006E3E36"/>
    <w:rsid w:val="00703867"/>
    <w:rsid w:val="00710D9C"/>
    <w:rsid w:val="007530C7"/>
    <w:rsid w:val="00753DB6"/>
    <w:rsid w:val="00763847"/>
    <w:rsid w:val="00771FE3"/>
    <w:rsid w:val="00776BDE"/>
    <w:rsid w:val="00786870"/>
    <w:rsid w:val="007914FD"/>
    <w:rsid w:val="00792237"/>
    <w:rsid w:val="0079272A"/>
    <w:rsid w:val="007A1DA9"/>
    <w:rsid w:val="007A27C4"/>
    <w:rsid w:val="007A6B6B"/>
    <w:rsid w:val="007B0A35"/>
    <w:rsid w:val="007B2252"/>
    <w:rsid w:val="007B5B93"/>
    <w:rsid w:val="007B6E66"/>
    <w:rsid w:val="007B79D9"/>
    <w:rsid w:val="007C1334"/>
    <w:rsid w:val="007C559E"/>
    <w:rsid w:val="007C67B1"/>
    <w:rsid w:val="007D2F37"/>
    <w:rsid w:val="007D744D"/>
    <w:rsid w:val="007E354A"/>
    <w:rsid w:val="007E69C8"/>
    <w:rsid w:val="007F2F30"/>
    <w:rsid w:val="00801487"/>
    <w:rsid w:val="0080327A"/>
    <w:rsid w:val="0080525B"/>
    <w:rsid w:val="008062C5"/>
    <w:rsid w:val="0080741A"/>
    <w:rsid w:val="008100EB"/>
    <w:rsid w:val="00811147"/>
    <w:rsid w:val="0081374A"/>
    <w:rsid w:val="00814B5B"/>
    <w:rsid w:val="00821C03"/>
    <w:rsid w:val="00824A7D"/>
    <w:rsid w:val="00836F34"/>
    <w:rsid w:val="00843E73"/>
    <w:rsid w:val="00844EBF"/>
    <w:rsid w:val="0085059F"/>
    <w:rsid w:val="008548DA"/>
    <w:rsid w:val="00854F61"/>
    <w:rsid w:val="00864202"/>
    <w:rsid w:val="00873B59"/>
    <w:rsid w:val="0087701F"/>
    <w:rsid w:val="00886EC0"/>
    <w:rsid w:val="0089283D"/>
    <w:rsid w:val="008A0ADC"/>
    <w:rsid w:val="008A1BAB"/>
    <w:rsid w:val="008B38B7"/>
    <w:rsid w:val="008B458E"/>
    <w:rsid w:val="008C4D4A"/>
    <w:rsid w:val="008D123C"/>
    <w:rsid w:val="008D1CFF"/>
    <w:rsid w:val="008E11AE"/>
    <w:rsid w:val="008E1708"/>
    <w:rsid w:val="008E4844"/>
    <w:rsid w:val="00904492"/>
    <w:rsid w:val="00904DFB"/>
    <w:rsid w:val="0091167F"/>
    <w:rsid w:val="0091457B"/>
    <w:rsid w:val="00923763"/>
    <w:rsid w:val="00930ED6"/>
    <w:rsid w:val="0093293F"/>
    <w:rsid w:val="00933105"/>
    <w:rsid w:val="009474EF"/>
    <w:rsid w:val="0096229E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D7418"/>
    <w:rsid w:val="009E5E6A"/>
    <w:rsid w:val="009F090B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1202"/>
    <w:rsid w:val="00A43586"/>
    <w:rsid w:val="00A44863"/>
    <w:rsid w:val="00A461CD"/>
    <w:rsid w:val="00A469C5"/>
    <w:rsid w:val="00A5317D"/>
    <w:rsid w:val="00A61D11"/>
    <w:rsid w:val="00A6284E"/>
    <w:rsid w:val="00A63E81"/>
    <w:rsid w:val="00A82DA6"/>
    <w:rsid w:val="00A83BBA"/>
    <w:rsid w:val="00A8775A"/>
    <w:rsid w:val="00AA2610"/>
    <w:rsid w:val="00AA50CB"/>
    <w:rsid w:val="00AA5998"/>
    <w:rsid w:val="00AB07E7"/>
    <w:rsid w:val="00AB6422"/>
    <w:rsid w:val="00AD1BA8"/>
    <w:rsid w:val="00AD49D2"/>
    <w:rsid w:val="00AE2B66"/>
    <w:rsid w:val="00AF408E"/>
    <w:rsid w:val="00B02A29"/>
    <w:rsid w:val="00B03522"/>
    <w:rsid w:val="00B0454B"/>
    <w:rsid w:val="00B04AD6"/>
    <w:rsid w:val="00B14CAA"/>
    <w:rsid w:val="00B20283"/>
    <w:rsid w:val="00B22469"/>
    <w:rsid w:val="00B257CE"/>
    <w:rsid w:val="00B42489"/>
    <w:rsid w:val="00B43B08"/>
    <w:rsid w:val="00B4746C"/>
    <w:rsid w:val="00B5151D"/>
    <w:rsid w:val="00B52CF4"/>
    <w:rsid w:val="00B60371"/>
    <w:rsid w:val="00B61B6C"/>
    <w:rsid w:val="00B65354"/>
    <w:rsid w:val="00B71A0E"/>
    <w:rsid w:val="00B7636D"/>
    <w:rsid w:val="00B81765"/>
    <w:rsid w:val="00B832F5"/>
    <w:rsid w:val="00B92660"/>
    <w:rsid w:val="00BA2FAB"/>
    <w:rsid w:val="00BA4263"/>
    <w:rsid w:val="00BB10BC"/>
    <w:rsid w:val="00BB5E28"/>
    <w:rsid w:val="00BC4C25"/>
    <w:rsid w:val="00BC773B"/>
    <w:rsid w:val="00BD15F3"/>
    <w:rsid w:val="00BD7986"/>
    <w:rsid w:val="00BD79D3"/>
    <w:rsid w:val="00BE3252"/>
    <w:rsid w:val="00BF328B"/>
    <w:rsid w:val="00C04F82"/>
    <w:rsid w:val="00C06E70"/>
    <w:rsid w:val="00C15AC0"/>
    <w:rsid w:val="00C26030"/>
    <w:rsid w:val="00C41091"/>
    <w:rsid w:val="00C63056"/>
    <w:rsid w:val="00C661D1"/>
    <w:rsid w:val="00C7632C"/>
    <w:rsid w:val="00C775BA"/>
    <w:rsid w:val="00C85331"/>
    <w:rsid w:val="00C85A50"/>
    <w:rsid w:val="00C94D46"/>
    <w:rsid w:val="00C967BC"/>
    <w:rsid w:val="00CA443A"/>
    <w:rsid w:val="00CB18F6"/>
    <w:rsid w:val="00CB2461"/>
    <w:rsid w:val="00CB37FD"/>
    <w:rsid w:val="00CC4D65"/>
    <w:rsid w:val="00CC61E7"/>
    <w:rsid w:val="00CD25AD"/>
    <w:rsid w:val="00CD3FFC"/>
    <w:rsid w:val="00CF565C"/>
    <w:rsid w:val="00D016A3"/>
    <w:rsid w:val="00D171CB"/>
    <w:rsid w:val="00D17793"/>
    <w:rsid w:val="00D33401"/>
    <w:rsid w:val="00D44014"/>
    <w:rsid w:val="00D45ECE"/>
    <w:rsid w:val="00D512E3"/>
    <w:rsid w:val="00D525B0"/>
    <w:rsid w:val="00D54D53"/>
    <w:rsid w:val="00D56E53"/>
    <w:rsid w:val="00D602C9"/>
    <w:rsid w:val="00D65E87"/>
    <w:rsid w:val="00D70E41"/>
    <w:rsid w:val="00D76967"/>
    <w:rsid w:val="00D83876"/>
    <w:rsid w:val="00DA26A9"/>
    <w:rsid w:val="00DB01FF"/>
    <w:rsid w:val="00DB4535"/>
    <w:rsid w:val="00DC5BF2"/>
    <w:rsid w:val="00DC7778"/>
    <w:rsid w:val="00DE7391"/>
    <w:rsid w:val="00DF0DD9"/>
    <w:rsid w:val="00DF2DB5"/>
    <w:rsid w:val="00DF5CD0"/>
    <w:rsid w:val="00DF645E"/>
    <w:rsid w:val="00DF6560"/>
    <w:rsid w:val="00E04CC0"/>
    <w:rsid w:val="00E136FF"/>
    <w:rsid w:val="00E2026A"/>
    <w:rsid w:val="00E2262A"/>
    <w:rsid w:val="00E31FBB"/>
    <w:rsid w:val="00E32528"/>
    <w:rsid w:val="00E35F26"/>
    <w:rsid w:val="00E40D9A"/>
    <w:rsid w:val="00E41B82"/>
    <w:rsid w:val="00E52427"/>
    <w:rsid w:val="00E53165"/>
    <w:rsid w:val="00E54F86"/>
    <w:rsid w:val="00E55952"/>
    <w:rsid w:val="00E61EF7"/>
    <w:rsid w:val="00E663B4"/>
    <w:rsid w:val="00E703E4"/>
    <w:rsid w:val="00E80CEB"/>
    <w:rsid w:val="00E95AEE"/>
    <w:rsid w:val="00EA3980"/>
    <w:rsid w:val="00EA5103"/>
    <w:rsid w:val="00EA6FB9"/>
    <w:rsid w:val="00EB3F1F"/>
    <w:rsid w:val="00EB5E6A"/>
    <w:rsid w:val="00EC2AD7"/>
    <w:rsid w:val="00ED495D"/>
    <w:rsid w:val="00ED7DE0"/>
    <w:rsid w:val="00EE7891"/>
    <w:rsid w:val="00EE7F69"/>
    <w:rsid w:val="00EF49FE"/>
    <w:rsid w:val="00EF5341"/>
    <w:rsid w:val="00F04908"/>
    <w:rsid w:val="00F07C21"/>
    <w:rsid w:val="00F1141D"/>
    <w:rsid w:val="00F12EF6"/>
    <w:rsid w:val="00F21065"/>
    <w:rsid w:val="00F24CB4"/>
    <w:rsid w:val="00F43465"/>
    <w:rsid w:val="00F45475"/>
    <w:rsid w:val="00F62915"/>
    <w:rsid w:val="00F64E72"/>
    <w:rsid w:val="00F65147"/>
    <w:rsid w:val="00F70C7D"/>
    <w:rsid w:val="00F713A8"/>
    <w:rsid w:val="00F7227A"/>
    <w:rsid w:val="00F76657"/>
    <w:rsid w:val="00F82754"/>
    <w:rsid w:val="00F91C69"/>
    <w:rsid w:val="00F9272E"/>
    <w:rsid w:val="00F96899"/>
    <w:rsid w:val="00F97743"/>
    <w:rsid w:val="00FA1F3B"/>
    <w:rsid w:val="00FA6DAF"/>
    <w:rsid w:val="00FB23CA"/>
    <w:rsid w:val="00FB3BAF"/>
    <w:rsid w:val="00FB46DA"/>
    <w:rsid w:val="00FC5C43"/>
    <w:rsid w:val="00FC6884"/>
    <w:rsid w:val="00FE62F3"/>
    <w:rsid w:val="00FF71D2"/>
    <w:rsid w:val="1B2418A5"/>
    <w:rsid w:val="1FBFC074"/>
    <w:rsid w:val="36FB9E1F"/>
    <w:rsid w:val="3B7A6099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89EDB"/>
  <w15:docId w15:val="{9930ACA5-FE82-4C29-9276-050B8820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CA1A1-D75E-42AB-80D4-5776A1F0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254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孙雨晶</cp:lastModifiedBy>
  <cp:revision>437</cp:revision>
  <cp:lastPrinted>2014-02-21T05:34:00Z</cp:lastPrinted>
  <dcterms:created xsi:type="dcterms:W3CDTF">2012-09-09T08:59:00Z</dcterms:created>
  <dcterms:modified xsi:type="dcterms:W3CDTF">2026-06-16T08:16:00Z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FB83D4D55818480798CF12FB0CE58E26_13</vt:lpwstr>
  </property>
  <property fmtid="{D5CDD505-2E9C-101B-9397-08002B2CF9AE}" pid="4" name="KSOTemplateDocerSaveRecord">
    <vt:lpwstr>eyJoZGlkIjoiYzg2MGRmNGE5NGVjZWExN2Y0YmVkNzdjNzkwZjA4ZWMiLCJ1c2VySWQiOiI3MTkzMzM2NTYifQ==</vt:lpwstr>
  </property>
</Properties>
</file>