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F7CA2"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Times New Roman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 w14:paraId="7133661F">
      <w:pPr>
        <w:jc w:val="center"/>
        <w:rPr>
          <w:rFonts w:hint="eastAsia" w:ascii="方正小标宋简体" w:hAnsi="方正小标宋简体" w:eastAsia="方正小标宋简体" w:cs="Times New Roman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 w14:paraId="68D89C00"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 w14:paraId="23242F26">
      <w:pPr>
        <w:suppressAutoHyphens/>
        <w:bidi w:val="0"/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bookmarkStart w:id="0" w:name="WH"/>
      <w:bookmarkEnd w:id="0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79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 w14:paraId="0BAB24F7">
      <w:pPr>
        <w:snapToGrid w:val="0"/>
        <w:jc w:val="center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C+1ktYAAAAIAQAADwAAAAAAAAABACAAAAAiAAAAZHJzL2Rvd25yZXYu&#10;eG1sUEsBAhQAFAAAAAgAh07iQBXy5mP9AQAA9QMAAA4AAAAAAAAAAQAgAAAAJQEAAGRycy9lMm9E&#10;b2MueG1sUEsFBgAAAAAGAAYAWQEAAJQ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08A92BE">
      <w:pPr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</w:p>
    <w:p w14:paraId="10535274">
      <w:pPr>
        <w:widowControl/>
        <w:pBdr>
          <w:bottom w:val="none" w:color="auto" w:sz="0" w:space="0"/>
        </w:pBdr>
        <w:tabs>
          <w:tab w:val="center" w:pos="4153"/>
          <w:tab w:val="right" w:pos="8306"/>
        </w:tabs>
        <w:adjustRightInd w:val="0"/>
        <w:snapToGrid w:val="0"/>
        <w:spacing w:afterLines="0" w:line="240" w:lineRule="auto"/>
        <w:jc w:val="center"/>
        <w:rPr>
          <w:rFonts w:hint="eastAsia" w:ascii="方正小标宋简体" w:hAnsi="方正小标宋简体" w:eastAsia="方正小标宋简体" w:cs="Times New Roman"/>
          <w:b w:val="0"/>
          <w:bCs w:val="0"/>
          <w:kern w:val="0"/>
          <w:sz w:val="44"/>
          <w:szCs w:val="18"/>
          <w:lang w:val="en-US" w:eastAsia="zh-CN" w:bidi="ar-SA"/>
        </w:rPr>
      </w:pPr>
      <w:bookmarkStart w:id="2" w:name="_GoBack"/>
      <w:bookmarkStart w:id="1" w:name="quanwen"/>
      <w:r>
        <w:rPr>
          <w:rFonts w:hint="eastAsia" w:ascii="方正小标宋简体" w:hAnsi="方正小标宋简体" w:eastAsia="方正小标宋简体" w:cs="Times New Roman"/>
          <w:b w:val="0"/>
          <w:bCs w:val="0"/>
          <w:kern w:val="0"/>
          <w:sz w:val="44"/>
          <w:szCs w:val="18"/>
          <w:lang w:val="en-US" w:eastAsia="zh-CN" w:bidi="ar-SA"/>
        </w:rPr>
        <w:t>关于对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36"/>
          <w:highlight w:val="none"/>
          <w:lang w:val="en-US" w:eastAsia="zh-CN" w:bidi="ar-SA"/>
        </w:rPr>
        <w:t>广州市嘉诚国际物流股份有限公司</w:t>
      </w:r>
      <w:r>
        <w:rPr>
          <w:rFonts w:hint="eastAsia" w:ascii="方正小标宋简体" w:hAnsi="方正小标宋简体" w:eastAsia="方正小标宋简体" w:cs="Times New Roman"/>
          <w:b w:val="0"/>
          <w:bCs w:val="0"/>
          <w:kern w:val="0"/>
          <w:sz w:val="44"/>
          <w:szCs w:val="18"/>
          <w:lang w:val="en-US" w:eastAsia="zh-CN" w:bidi="ar-SA"/>
        </w:rPr>
        <w:t>采取</w:t>
      </w:r>
    </w:p>
    <w:p w14:paraId="4DD2802B">
      <w:pPr>
        <w:widowControl/>
        <w:pBdr>
          <w:bottom w:val="none" w:color="auto" w:sz="0" w:space="0"/>
        </w:pBdr>
        <w:tabs>
          <w:tab w:val="center" w:pos="4153"/>
          <w:tab w:val="right" w:pos="8306"/>
        </w:tabs>
        <w:adjustRightInd w:val="0"/>
        <w:snapToGrid w:val="0"/>
        <w:spacing w:afterLines="0" w:line="24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kern w:val="0"/>
          <w:sz w:val="44"/>
          <w:szCs w:val="18"/>
          <w:lang w:val="en-US" w:eastAsia="zh-CN" w:bidi="ar-SA"/>
        </w:rPr>
        <w:t>责令改正措施并对段容文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36"/>
          <w:highlight w:val="none"/>
          <w:lang w:val="en-US" w:eastAsia="zh-CN" w:bidi="ar-SA"/>
        </w:rPr>
        <w:t>、黄艳婷等</w:t>
      </w:r>
    </w:p>
    <w:p w14:paraId="4FC15C7B">
      <w:pPr>
        <w:widowControl/>
        <w:pBdr>
          <w:bottom w:val="none" w:color="auto" w:sz="0" w:space="0"/>
        </w:pBdr>
        <w:tabs>
          <w:tab w:val="center" w:pos="4153"/>
          <w:tab w:val="right" w:pos="8306"/>
        </w:tabs>
        <w:adjustRightInd w:val="0"/>
        <w:snapToGrid w:val="0"/>
        <w:spacing w:afterLines="0" w:line="240" w:lineRule="auto"/>
        <w:jc w:val="center"/>
        <w:rPr>
          <w:rFonts w:hint="default" w:ascii="方正小标宋简体" w:hAnsi="方正小标宋简体" w:eastAsia="方正小标宋简体" w:cs="Times New Roman"/>
          <w:kern w:val="0"/>
          <w:sz w:val="44"/>
          <w:szCs w:val="18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kern w:val="0"/>
          <w:sz w:val="44"/>
          <w:szCs w:val="18"/>
          <w:lang w:val="en-US" w:eastAsia="zh-CN" w:bidi="ar-SA"/>
        </w:rPr>
        <w:t>采取出具警示函措施的决定</w:t>
      </w:r>
    </w:p>
    <w:bookmarkEnd w:id="2"/>
    <w:p w14:paraId="6B6656C0">
      <w:pPr>
        <w:adjustRightInd w:val="0"/>
        <w:snapToGrid w:val="0"/>
        <w:spacing w:afterLines="0" w:line="240" w:lineRule="auto"/>
        <w:rPr>
          <w:rFonts w:hint="eastAsia" w:ascii="方正小标宋简体" w:hAnsi="方正小标宋简体" w:eastAsia="方正小标宋简体" w:cs="方正小标宋简体"/>
          <w:spacing w:val="8"/>
          <w:kern w:val="0"/>
          <w:sz w:val="32"/>
        </w:rPr>
      </w:pPr>
    </w:p>
    <w:p w14:paraId="7A0401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0" w:firstLineChars="0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广州市嘉诚国际物流股份有限公司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段容文、黄艳婷、黄艳芸、杜书升、陈继明：</w:t>
      </w:r>
    </w:p>
    <w:p w14:paraId="49CAEB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经查，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广州市嘉诚国际物流股份有限公司</w:t>
      </w:r>
      <w:r>
        <w:rPr>
          <w:rFonts w:hint="eastAsia" w:ascii="仿宋_GB2312" w:hAnsi="仿宋_GB2312" w:eastAsia="仿宋_GB2312" w:cs="宋体"/>
          <w:snapToGrid w:val="0"/>
          <w:color w:val="auto"/>
          <w:spacing w:val="8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以下简称嘉诚国际</w:t>
      </w:r>
      <w:r>
        <w:rPr>
          <w:rFonts w:hint="eastAsia" w:ascii="仿宋_GB2312" w:hAnsi="Times New Roman" w:eastAsia="仿宋_GB2312" w:cs="黑体"/>
          <w:spacing w:val="-6"/>
          <w:kern w:val="2"/>
          <w:sz w:val="32"/>
          <w:szCs w:val="32"/>
          <w:highlight w:val="none"/>
          <w:lang w:val="en-US" w:eastAsia="zh-CN" w:bidi="ar-SA"/>
        </w:rPr>
        <w:t>或公司</w:t>
      </w:r>
      <w:r>
        <w:rPr>
          <w:rFonts w:hint="eastAsia" w:ascii="仿宋_GB2312" w:hAnsi="仿宋_GB2312" w:eastAsia="仿宋_GB2312" w:cs="宋体"/>
          <w:snapToGrid w:val="0"/>
          <w:color w:val="auto"/>
          <w:spacing w:val="8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存在以下主要问题：</w:t>
      </w:r>
    </w:p>
    <w:p w14:paraId="383957B9"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收入成本核算不规范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Times New Roman"/>
          <w:b w:val="0"/>
          <w:bCs w:val="0"/>
          <w:kern w:val="0"/>
          <w:sz w:val="32"/>
          <w:szCs w:val="32"/>
          <w:lang w:eastAsia="zh-CN"/>
        </w:rPr>
        <w:t>嘉诚国际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  <w:lang w:val="en" w:eastAsia="zh-CN"/>
        </w:rPr>
        <w:t>在未与客户达成一致意见的情况下将仓库设备投入确认为收入，对已退租客户继续确认租赁收入，对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  <w:lang w:eastAsia="zh-CN"/>
        </w:rPr>
        <w:t>不享有商品交易定价权的贸易业务按总额法核算收入、未同步确认相关年度的收入成本、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  <w:lang w:val="en" w:eastAsia="zh-CN"/>
        </w:rPr>
        <w:t>未按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</w:rPr>
        <w:t>履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约进度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eastAsia="zh-CN"/>
        </w:rPr>
        <w:t>确认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空调安装工程业务收入成本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  <w:lang w:eastAsia="zh-CN"/>
        </w:rPr>
        <w:t>未按实际采购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</w:rPr>
        <w:t>入库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  <w:lang w:eastAsia="zh-CN"/>
        </w:rPr>
        <w:t>的商品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</w:rPr>
        <w:t>计提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  <w:lang w:eastAsia="zh-CN"/>
        </w:rPr>
        <w:t>返利金额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不符合《企业会计准则第14号——收入》（财会〔2017〕22号）第四条第一款、第五条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第十二条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《企业会计准则——基本准则》（财政部令第76号）第十二条、第十八条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第十九条的规定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eastAsia="zh-CN"/>
        </w:rPr>
        <w:t>，导致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公司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eastAsia="zh-CN"/>
        </w:rPr>
        <w:t>相关年度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  <w:lang w:eastAsia="zh-CN"/>
        </w:rPr>
        <w:t>收入成本核算披露不准确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2026年4月，公司披露《关于前期会计更正及追溯调整的公告》，对相关年度的财务报告进行了更正。</w:t>
      </w:r>
    </w:p>
    <w:p w14:paraId="2402A2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</w:rPr>
        <w:t>长期资产核算不准确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Times New Roman"/>
          <w:b/>
          <w:bCs/>
          <w:kern w:val="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固定资产核算不准确。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eastAsia="zh-CN"/>
        </w:rPr>
        <w:t>嘉诚国际在存货盘点中错误适用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</w:rPr>
        <w:t>货架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  <w:lang w:eastAsia="zh-CN"/>
        </w:rPr>
        <w:t>规格标准，并将部分已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</w:rPr>
        <w:t>计入固定资产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  <w:lang w:eastAsia="zh-CN"/>
        </w:rPr>
        <w:t>的货架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</w:rPr>
        <w:t>作为抵债货架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  <w:lang w:eastAsia="zh-CN"/>
        </w:rPr>
        <w:t>重复列入评估范围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eastAsia="zh-CN"/>
        </w:rPr>
        <w:t>，导致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2024年年报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eastAsia="zh-CN"/>
        </w:rPr>
        <w:t>多记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固定资产。上述情形不符合《企业会计准则——基本准则》第十二条、第十八条的规定。</w:t>
      </w:r>
      <w:r>
        <w:rPr>
          <w:rFonts w:hint="eastAsia" w:ascii="仿宋_GB2312" w:hAnsi="仿宋_GB2312" w:eastAsia="仿宋_GB2312" w:cs="Times New Roman"/>
          <w:b/>
          <w:bCs/>
          <w:kern w:val="0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使用权资产核算不准确。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  <w:lang w:eastAsia="zh-CN"/>
        </w:rPr>
        <w:t>嘉诚国际在开展物流配送业务时，未考虑公司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</w:rPr>
        <w:t>每月支付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  <w:lang w:eastAsia="zh-CN"/>
        </w:rPr>
        <w:t>固定租金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</w:rPr>
        <w:t>并确认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  <w:lang w:eastAsia="zh-CN"/>
        </w:rPr>
        <w:t>当期费用等长期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</w:rPr>
        <w:t>租赁仓库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</w:rPr>
        <w:t>业务实质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  <w:lang w:eastAsia="zh-CN"/>
        </w:rPr>
        <w:t>，未有效识别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</w:rPr>
        <w:t>确认使用权资产和租赁负债，不符合《企业会计准则第21号——租赁》（财会〔2018〕35号）第四条、第五条的规定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</w:rPr>
        <w:t>导致2024年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  <w:lang w:eastAsia="zh-CN"/>
        </w:rPr>
        <w:t>年报少记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</w:rPr>
        <w:t>使用权资产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</w:rPr>
        <w:t>租赁负债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。</w:t>
      </w:r>
    </w:p>
    <w:p w14:paraId="1BB69B1F">
      <w:pPr>
        <w:widowControl w:val="0"/>
        <w:overflowPunct w:val="0"/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baseline"/>
        <w:rPr>
          <w:rFonts w:hint="eastAsia" w:ascii="宋体" w:hAnsi="Calibri" w:eastAsia="宋体" w:cs="Times New Roman"/>
          <w:kern w:val="0"/>
          <w:sz w:val="21"/>
          <w:szCs w:val="24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上述问题反映嘉诚国际披露的相关财务数据不准确，违反了《上市公司信息披露管理办法（2021年修订）》（证监会令第182号，下同）第三条第一款的规定。段容文作为公司时任董事长，黄艳婷作为公司副董事长，黄艳芸作为公司董事会秘书，杜书升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陈继明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作为公司现任或时任财务总监，未按照《上市公司信息披露管理办法》第四条的规定履行勤勉尽责义务，对公司上述违规行为负有主要责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任。</w:t>
      </w:r>
    </w:p>
    <w:p w14:paraId="67C45A6D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上市公司信息披露管理办法》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五十二条的规定，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我局决定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对嘉诚国际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采取责令改正的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行政监管措施，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对段容文、黄艳婷、黄艳芸、杜书升、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陈继明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采取出具警示函的行政监管措施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。你们应认真吸取教训，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采取有效措施切实整改，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加强对证券法律法规的学习，提升公众公司规范运作和依法合规履职意识，杜绝此类问题再次发生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。同时公司应对相关责任人员进行内部问责，于收到本决定书30日内向我局报送公司整改报告、内部问责情况报告，并抄报上海证券交易所。</w:t>
      </w:r>
    </w:p>
    <w:p w14:paraId="7FA1B7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firstLine="640" w:firstLineChars="200"/>
        <w:jc w:val="both"/>
        <w:textAlignment w:val="auto"/>
        <w:outlineLvl w:val="9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如果对本监督管理措施不服，可以在收到本决定书之日起60日内向中国证券监督管理委员会提出行政复议申请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也可以在收到本决定书之日起6个月内向有管辖权的人民法院提起诉讼。复议与诉讼期间，上述监督管理措施不停止执行。</w:t>
      </w:r>
    </w:p>
    <w:p w14:paraId="3BF375C2">
      <w:pPr>
        <w:widowControl w:val="0"/>
        <w:overflowPunct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223D9D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32"/>
          <w:szCs w:val="32"/>
        </w:rPr>
      </w:pPr>
    </w:p>
    <w:p w14:paraId="42D994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32"/>
          <w:szCs w:val="32"/>
        </w:rPr>
      </w:pPr>
    </w:p>
    <w:p w14:paraId="2F14501E"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4"/>
        </w:rPr>
        <w:t>广东证监局</w:t>
      </w:r>
    </w:p>
    <w:p w14:paraId="4426E65F"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  <w:rPr>
          <w:rFonts w:ascii="Times New Roman" w:hAnsi="Times New Roman" w:eastAsia="宋体" w:cs="Times New Roman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Calibri" w:eastAsia="仿宋_GB2312" w:cs="Times New Roman"/>
          <w:color w:val="000000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Calibri" w:eastAsia="宋体" w:cs="Times New Roman"/>
          <w:color w:val="000000"/>
          <w:spacing w:val="10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 w14:paraId="320E2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57093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39EB9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0CB8B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204BC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5B2DB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6D183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786B9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360A8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429AE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00AEF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2B6B9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65EA6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738AD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309EC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59CFB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26B15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0CDD2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2E709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2BB81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18"/>
          <w:szCs w:val="18"/>
        </w:rPr>
      </w:pPr>
    </w:p>
    <w:p w14:paraId="5019E1FE">
      <w:pPr>
        <w:snapToGrid w:val="0"/>
        <w:spacing w:line="300" w:lineRule="auto"/>
        <w:ind w:right="26"/>
        <w:jc w:val="left"/>
        <w:rPr>
          <w:rFonts w:hint="eastAsia" w:ascii="黑体" w:hAnsi="Calibri" w:eastAsia="黑体" w:cs="Times New Roman"/>
          <w:spacing w:val="8"/>
          <w:sz w:val="18"/>
          <w:szCs w:val="18"/>
        </w:rPr>
      </w:pPr>
    </w:p>
    <w:p w14:paraId="3DE43529"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hint="eastAsia" w:ascii="仿宋_GB2312" w:hAnsi="Calibri" w:eastAsia="仿宋_GB2312" w:cs="Times New Roman"/>
          <w:spacing w:val="8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抄送：证监会上市司、法治司；上海证券交易所；</w:t>
      </w:r>
    </w:p>
    <w:p w14:paraId="0B8ECDD2"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1184" w:firstLineChars="400"/>
        <w:textAlignment w:val="auto"/>
        <w:rPr>
          <w:rFonts w:hint="eastAsia" w:ascii="仿宋_GB2312" w:hAnsi="Calibri" w:eastAsia="仿宋_GB2312" w:cs="Times New Roman"/>
          <w:spacing w:val="8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广州市嘉诚国际物流股份有限公司审计委员会，</w:t>
      </w:r>
    </w:p>
    <w:p w14:paraId="59A2D384"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1184" w:firstLineChars="400"/>
        <w:textAlignment w:val="auto"/>
        <w:rPr>
          <w:rFonts w:ascii="长城仿宋" w:hAnsi="Calibri" w:eastAsia="长城仿宋" w:cs="Times New Roman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广东司农会计师事务所(特殊普通合伙）。</w:t>
      </w:r>
    </w:p>
    <w:p w14:paraId="1D563646">
      <w:pPr>
        <w:keepNext w:val="0"/>
        <w:keepLines w:val="0"/>
        <w:pageBreakBefore w:val="0"/>
        <w:widowControl w:val="0"/>
        <w:pBdr>
          <w:top w:val="single" w:color="auto" w:sz="4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jc w:val="left"/>
        <w:textAlignment w:val="auto"/>
        <w:rPr>
          <w:rFonts w:hint="eastAsia" w:ascii="仿宋_GB2312" w:hAnsi="Calibri" w:eastAsia="仿宋_GB2312" w:cs="Times New Roman"/>
          <w:spacing w:val="8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广东证监局办公室           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 xml:space="preserve">     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" w:eastAsia="zh-CN"/>
        </w:rPr>
        <w:t>202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年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>6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月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>11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日印发</w:t>
      </w:r>
    </w:p>
    <w:bookmarkEnd w:id="1"/>
    <w:p w14:paraId="292CD6BF">
      <w:pPr>
        <w:keepNext w:val="0"/>
        <w:keepLines w:val="0"/>
        <w:pageBreakBefore w:val="0"/>
        <w:widowControl w:val="0"/>
        <w:pBdr>
          <w:top w:val="single" w:color="auto" w:sz="8" w:space="7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firstLine="0"/>
        <w:jc w:val="left"/>
        <w:textAlignment w:val="auto"/>
        <w:rPr>
          <w:rFonts w:hint="eastAsia" w:ascii="仿宋_GB2312" w:hAnsi="Calibri" w:eastAsia="仿宋_GB2312" w:cs="Times New Roman"/>
          <w:spacing w:val="8"/>
          <w:sz w:val="2"/>
          <w:szCs w:val="2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长城仿宋">
    <w:altName w:val="方正仿宋_GBK"/>
    <w:panose1 w:val="02010609000101010101"/>
    <w:charset w:val="00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55040">
    <w:pPr>
      <w:pStyle w:val="2"/>
      <w:spacing w:line="240" w:lineRule="auto"/>
      <w:rPr>
        <w:rFonts w:hint="eastAsia" w:ascii="宋体" w:hAnsi="宋体" w:eastAsia="宋体" w:cs="宋体"/>
        <w:sz w:val="28"/>
        <w:lang w:val="en-US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30F96D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30F96D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7F1785"/>
    <w:rsid w:val="030F053A"/>
    <w:rsid w:val="137F05FD"/>
    <w:rsid w:val="3EDDAF9C"/>
    <w:rsid w:val="3F6F8C61"/>
    <w:rsid w:val="3FAF842E"/>
    <w:rsid w:val="3FFBE7EC"/>
    <w:rsid w:val="4FAFEC34"/>
    <w:rsid w:val="5BF181FE"/>
    <w:rsid w:val="5E7B5056"/>
    <w:rsid w:val="61ED9B8E"/>
    <w:rsid w:val="6B7E1549"/>
    <w:rsid w:val="6DB748D7"/>
    <w:rsid w:val="6E5EBB17"/>
    <w:rsid w:val="767D606F"/>
    <w:rsid w:val="76FF45DF"/>
    <w:rsid w:val="774F7A1D"/>
    <w:rsid w:val="79E662F3"/>
    <w:rsid w:val="7B7F644E"/>
    <w:rsid w:val="7BDE43A8"/>
    <w:rsid w:val="7D7B99C4"/>
    <w:rsid w:val="7DD9D803"/>
    <w:rsid w:val="7EBED6F8"/>
    <w:rsid w:val="7F57DC39"/>
    <w:rsid w:val="7F7FD246"/>
    <w:rsid w:val="7FDBC10A"/>
    <w:rsid w:val="7FF146EC"/>
    <w:rsid w:val="7FF70A64"/>
    <w:rsid w:val="7FFF4887"/>
    <w:rsid w:val="8398B923"/>
    <w:rsid w:val="9EFF7E16"/>
    <w:rsid w:val="A9FE3DC6"/>
    <w:rsid w:val="ADF120D8"/>
    <w:rsid w:val="AEFF5B7A"/>
    <w:rsid w:val="B7BC7297"/>
    <w:rsid w:val="B7FA2A49"/>
    <w:rsid w:val="BB7FB2DF"/>
    <w:rsid w:val="C59F6ED6"/>
    <w:rsid w:val="D76BC763"/>
    <w:rsid w:val="DB7F1785"/>
    <w:rsid w:val="DDAA0B54"/>
    <w:rsid w:val="DEF30BEF"/>
    <w:rsid w:val="DF3B3C87"/>
    <w:rsid w:val="EBF8E6C5"/>
    <w:rsid w:val="EDFF7CBC"/>
    <w:rsid w:val="EFB604B1"/>
    <w:rsid w:val="EFFD9E20"/>
    <w:rsid w:val="EFFE28E7"/>
    <w:rsid w:val="F2FF3BAC"/>
    <w:rsid w:val="F4FFB33E"/>
    <w:rsid w:val="F7EEDD73"/>
    <w:rsid w:val="F9E3B297"/>
    <w:rsid w:val="FA6D1867"/>
    <w:rsid w:val="FA7AEBE1"/>
    <w:rsid w:val="FB5F1EEC"/>
    <w:rsid w:val="FEB4BE2E"/>
    <w:rsid w:val="FF4B0991"/>
    <w:rsid w:val="FFD5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customStyle="1" w:styleId="6">
    <w:name w:val="NormalIndent"/>
    <w:next w:val="1"/>
    <w:qFormat/>
    <w:uiPriority w:val="0"/>
    <w:pPr>
      <w:widowControl w:val="0"/>
      <w:spacing w:line="240" w:lineRule="auto"/>
      <w:ind w:firstLine="420"/>
      <w:jc w:val="both"/>
      <w:textAlignment w:val="baseline"/>
    </w:pPr>
    <w:rPr>
      <w:rFonts w:ascii="宋体" w:hAnsi="Calibri" w:eastAsia="宋体" w:cs="Times New Roman"/>
      <w:kern w:val="0"/>
      <w:sz w:val="21"/>
      <w:szCs w:val="24"/>
      <w:lang w:val="en-US" w:eastAsia="zh-CN" w:bidi="ar-SA"/>
    </w:rPr>
  </w:style>
  <w:style w:type="paragraph" w:customStyle="1" w:styleId="7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2026-04-29T13:51:00Z</dcterms:created>
  <dc:creator>聂富聪</dc:creator>
  <cp:lastModifiedBy>于晓雷</cp:lastModifiedBy>
  <dcterms:modified xsi:type="dcterms:W3CDTF">2026-06-25T17:31:07Z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474851724546527DF2723B6AC121FD94</vt:lpwstr>
  </property>
</Properties>
</file>