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2A5217" w14:paraId="04BB9441" w14:textId="77777777">
        <w:trPr>
          <w:trHeight w:val="132"/>
        </w:trPr>
        <w:tc>
          <w:tcPr>
            <w:tcW w:w="4148" w:type="dxa"/>
          </w:tcPr>
          <w:p w14:paraId="75F58838" w14:textId="77777777" w:rsidR="002A5217" w:rsidRDefault="009C092B">
            <w:r>
              <w:rPr>
                <w:rFonts w:hint="eastAsia"/>
              </w:rPr>
              <w:t>证券代码：</w:t>
            </w:r>
            <w:r>
              <w:t>601607</w:t>
            </w:r>
          </w:p>
          <w:p w14:paraId="6777CCEB" w14:textId="77777777" w:rsidR="002A5217" w:rsidRDefault="002A5217"/>
        </w:tc>
        <w:tc>
          <w:tcPr>
            <w:tcW w:w="4148" w:type="dxa"/>
          </w:tcPr>
          <w:p w14:paraId="79FD47E2" w14:textId="77777777" w:rsidR="002A5217" w:rsidRDefault="009C092B">
            <w:pPr>
              <w:jc w:val="right"/>
            </w:pPr>
            <w:r>
              <w:rPr>
                <w:rFonts w:hint="eastAsia"/>
              </w:rPr>
              <w:t>证券简称：上海医药</w:t>
            </w:r>
          </w:p>
        </w:tc>
      </w:tr>
    </w:tbl>
    <w:p w14:paraId="2B332B80" w14:textId="77777777" w:rsidR="002A5217" w:rsidRDefault="009C092B">
      <w:pPr>
        <w:spacing w:line="440" w:lineRule="exact"/>
        <w:jc w:val="center"/>
        <w:rPr>
          <w:rStyle w:val="NormalCharacter"/>
          <w:rFonts w:ascii="宋体" w:hAnsi="宋体"/>
          <w:b/>
          <w:bCs/>
          <w:iCs/>
          <w:sz w:val="24"/>
        </w:rPr>
      </w:pPr>
      <w:r>
        <w:rPr>
          <w:rStyle w:val="NormalCharacter"/>
          <w:rFonts w:ascii="宋体" w:hAnsi="宋体"/>
          <w:b/>
          <w:bCs/>
          <w:iCs/>
          <w:sz w:val="24"/>
        </w:rPr>
        <w:t>上海医药</w:t>
      </w:r>
      <w:r>
        <w:rPr>
          <w:rStyle w:val="NormalCharacter"/>
          <w:rFonts w:ascii="宋体" w:hAnsi="宋体" w:hint="eastAsia"/>
          <w:b/>
          <w:bCs/>
          <w:iCs/>
          <w:sz w:val="24"/>
        </w:rPr>
        <w:t>集团</w:t>
      </w:r>
      <w:r>
        <w:rPr>
          <w:rStyle w:val="NormalCharacter"/>
          <w:rFonts w:ascii="宋体" w:hAnsi="宋体"/>
          <w:b/>
          <w:bCs/>
          <w:iCs/>
          <w:sz w:val="24"/>
        </w:rPr>
        <w:t>股份有限公司</w:t>
      </w:r>
    </w:p>
    <w:p w14:paraId="65189594" w14:textId="77777777" w:rsidR="002A5217" w:rsidRDefault="009C092B">
      <w:pPr>
        <w:spacing w:line="440" w:lineRule="exact"/>
        <w:jc w:val="center"/>
        <w:rPr>
          <w:rStyle w:val="NormalCharacter"/>
          <w:rFonts w:ascii="宋体" w:hAnsi="宋体"/>
          <w:b/>
          <w:bCs/>
          <w:iCs/>
          <w:sz w:val="24"/>
        </w:rPr>
      </w:pPr>
      <w:r>
        <w:rPr>
          <w:rStyle w:val="NormalCharacter"/>
          <w:rFonts w:ascii="宋体" w:hAnsi="宋体"/>
          <w:b/>
          <w:bCs/>
          <w:iCs/>
          <w:sz w:val="24"/>
        </w:rPr>
        <w:t>投资者关系活动记录表</w:t>
      </w:r>
    </w:p>
    <w:p w14:paraId="7B2F44ED" w14:textId="77777777" w:rsidR="002A5217" w:rsidRDefault="009C092B">
      <w:pPr>
        <w:spacing w:line="440" w:lineRule="exact"/>
        <w:rPr>
          <w:rStyle w:val="NormalCharacter"/>
          <w:rFonts w:ascii="宋体" w:hAnsi="宋体"/>
          <w:bCs/>
          <w:iCs/>
          <w:sz w:val="24"/>
        </w:rPr>
      </w:pPr>
      <w:r>
        <w:rPr>
          <w:rStyle w:val="NormalCharacter"/>
          <w:rFonts w:ascii="宋体" w:hAnsi="宋体"/>
          <w:bCs/>
          <w:iCs/>
          <w:sz w:val="24"/>
        </w:rPr>
        <w:t xml:space="preserve">                                                       编号：2026-006</w:t>
      </w:r>
    </w:p>
    <w:tbl>
      <w:tblPr>
        <w:tblW w:w="85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62"/>
        <w:gridCol w:w="7282"/>
      </w:tblGrid>
      <w:tr w:rsidR="002A5217" w14:paraId="77FBAC0D" w14:textId="77777777">
        <w:trPr>
          <w:trHeight w:val="1881"/>
          <w:jc w:val="center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2318" w14:textId="77777777" w:rsidR="002A5217" w:rsidRDefault="009C092B">
            <w:pPr>
              <w:spacing w:line="440" w:lineRule="exact"/>
              <w:rPr>
                <w:rStyle w:val="NormalCharacter"/>
                <w:rFonts w:ascii="宋体" w:hAnsi="宋体"/>
                <w:bCs/>
                <w:iCs/>
                <w:sz w:val="24"/>
              </w:rPr>
            </w:pPr>
            <w:r>
              <w:rPr>
                <w:rStyle w:val="NormalCharacter"/>
                <w:rFonts w:ascii="宋体" w:hAnsi="宋体"/>
                <w:bCs/>
                <w:iCs/>
                <w:sz w:val="24"/>
              </w:rPr>
              <w:t>投资者关系活动类别</w:t>
            </w:r>
          </w:p>
          <w:p w14:paraId="0573383F" w14:textId="77777777" w:rsidR="002A5217" w:rsidRDefault="002A5217">
            <w:pPr>
              <w:spacing w:line="440" w:lineRule="exact"/>
              <w:rPr>
                <w:rStyle w:val="NormalCharacter"/>
                <w:rFonts w:ascii="宋体" w:hAnsi="宋体"/>
                <w:bCs/>
                <w:iCs/>
                <w:sz w:val="24"/>
              </w:rPr>
            </w:pP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8B46" w14:textId="77777777" w:rsidR="002A5217" w:rsidRDefault="009C092B">
            <w:pPr>
              <w:spacing w:line="440" w:lineRule="exact"/>
              <w:rPr>
                <w:rStyle w:val="NormalCharacter"/>
                <w:rFonts w:ascii="宋体" w:hAnsi="宋体"/>
                <w:bCs/>
                <w:iCs/>
                <w:sz w:val="24"/>
              </w:rPr>
            </w:pPr>
            <w:r>
              <w:rPr>
                <w:rStyle w:val="NormalCharacter"/>
                <w:rFonts w:ascii="宋体" w:hAnsi="宋体" w:hint="eastAsia"/>
                <w:bCs/>
                <w:iCs/>
                <w:sz w:val="24"/>
              </w:rPr>
              <w:t>□</w:t>
            </w:r>
            <w:r>
              <w:rPr>
                <w:rStyle w:val="NormalCharacter"/>
                <w:rFonts w:ascii="宋体" w:hAnsi="宋体"/>
                <w:sz w:val="24"/>
              </w:rPr>
              <w:t xml:space="preserve">特定对象调研        </w:t>
            </w:r>
            <w:r>
              <w:rPr>
                <w:rStyle w:val="NormalCharacter"/>
                <w:rFonts w:ascii="宋体" w:hAnsi="宋体"/>
                <w:bCs/>
                <w:iCs/>
                <w:sz w:val="24"/>
              </w:rPr>
              <w:sym w:font="Wingdings 2" w:char="F052"/>
            </w:r>
            <w:r>
              <w:rPr>
                <w:rStyle w:val="NormalCharacter"/>
                <w:rFonts w:ascii="宋体" w:hAnsi="宋体"/>
                <w:sz w:val="24"/>
              </w:rPr>
              <w:t>分析师会议</w:t>
            </w:r>
          </w:p>
          <w:p w14:paraId="5D88D3B8" w14:textId="77777777" w:rsidR="002A5217" w:rsidRDefault="009C092B">
            <w:pPr>
              <w:spacing w:line="440" w:lineRule="exact"/>
              <w:rPr>
                <w:rStyle w:val="NormalCharacter"/>
                <w:rFonts w:ascii="宋体" w:hAnsi="宋体"/>
                <w:bCs/>
                <w:iCs/>
                <w:sz w:val="24"/>
              </w:rPr>
            </w:pPr>
            <w:bookmarkStart w:id="0" w:name="OLE_LINK1"/>
            <w:r>
              <w:rPr>
                <w:rStyle w:val="NormalCharacter"/>
                <w:rFonts w:ascii="宋体" w:hAnsi="宋体" w:hint="eastAsia"/>
                <w:bCs/>
                <w:iCs/>
                <w:sz w:val="24"/>
              </w:rPr>
              <w:t>□</w:t>
            </w:r>
            <w:bookmarkEnd w:id="0"/>
            <w:r>
              <w:rPr>
                <w:rStyle w:val="NormalCharacter"/>
                <w:rFonts w:ascii="宋体" w:hAnsi="宋体"/>
                <w:sz w:val="24"/>
              </w:rPr>
              <w:t xml:space="preserve">媒体采访            </w:t>
            </w:r>
            <w:r>
              <w:rPr>
                <w:rStyle w:val="NormalCharacter"/>
                <w:rFonts w:ascii="宋体" w:hAnsi="宋体" w:hint="eastAsia"/>
                <w:bCs/>
                <w:iCs/>
                <w:sz w:val="24"/>
              </w:rPr>
              <w:t>□</w:t>
            </w:r>
            <w:r>
              <w:rPr>
                <w:rStyle w:val="NormalCharacter"/>
                <w:rFonts w:ascii="宋体" w:hAnsi="宋体"/>
                <w:sz w:val="24"/>
              </w:rPr>
              <w:t>业绩说明会</w:t>
            </w:r>
          </w:p>
          <w:p w14:paraId="652F2B22" w14:textId="77777777" w:rsidR="002A5217" w:rsidRDefault="009C092B">
            <w:pPr>
              <w:spacing w:line="440" w:lineRule="exact"/>
              <w:rPr>
                <w:rStyle w:val="NormalCharacter"/>
                <w:rFonts w:ascii="宋体" w:hAnsi="宋体"/>
                <w:bCs/>
                <w:iCs/>
                <w:sz w:val="24"/>
              </w:rPr>
            </w:pPr>
            <w:r>
              <w:rPr>
                <w:rStyle w:val="NormalCharacter"/>
                <w:rFonts w:ascii="宋体" w:hAnsi="宋体" w:hint="eastAsia"/>
                <w:bCs/>
                <w:iCs/>
                <w:sz w:val="24"/>
              </w:rPr>
              <w:t>□</w:t>
            </w:r>
            <w:r>
              <w:rPr>
                <w:rStyle w:val="NormalCharacter"/>
                <w:rFonts w:ascii="宋体" w:hAnsi="宋体"/>
                <w:sz w:val="24"/>
              </w:rPr>
              <w:t xml:space="preserve">新闻发布会          </w:t>
            </w:r>
            <w:r>
              <w:rPr>
                <w:rStyle w:val="NormalCharacter"/>
                <w:rFonts w:ascii="宋体" w:hAnsi="宋体"/>
                <w:bCs/>
                <w:iCs/>
                <w:sz w:val="24"/>
              </w:rPr>
              <w:sym w:font="Wingdings 2" w:char="F052"/>
            </w:r>
            <w:r>
              <w:rPr>
                <w:rStyle w:val="NormalCharacter"/>
                <w:rFonts w:ascii="宋体" w:hAnsi="宋体"/>
                <w:sz w:val="24"/>
              </w:rPr>
              <w:t>路演活动</w:t>
            </w:r>
          </w:p>
          <w:p w14:paraId="5D96A9C4" w14:textId="77777777" w:rsidR="002A5217" w:rsidRDefault="009C092B">
            <w:pPr>
              <w:tabs>
                <w:tab w:val="left" w:pos="3045"/>
                <w:tab w:val="center" w:pos="3199"/>
              </w:tabs>
              <w:spacing w:line="440" w:lineRule="exact"/>
              <w:ind w:left="1320" w:hangingChars="550" w:hanging="1320"/>
              <w:rPr>
                <w:rStyle w:val="NormalCharacter"/>
                <w:rFonts w:ascii="宋体" w:hAnsi="宋体"/>
                <w:bCs/>
                <w:iCs/>
                <w:sz w:val="24"/>
              </w:rPr>
            </w:pPr>
            <w:r>
              <w:rPr>
                <w:rStyle w:val="NormalCharacter"/>
                <w:rFonts w:ascii="宋体" w:hAnsi="宋体" w:hint="eastAsia"/>
                <w:bCs/>
                <w:iCs/>
                <w:sz w:val="24"/>
              </w:rPr>
              <w:t>□</w:t>
            </w:r>
            <w:r>
              <w:rPr>
                <w:rStyle w:val="NormalCharacter"/>
                <w:rFonts w:ascii="宋体" w:hAnsi="宋体"/>
                <w:sz w:val="24"/>
              </w:rPr>
              <w:t>现场参观</w:t>
            </w:r>
            <w:r>
              <w:rPr>
                <w:rStyle w:val="NormalCharacter"/>
                <w:rFonts w:ascii="宋体" w:hAnsi="宋体"/>
                <w:bCs/>
                <w:iCs/>
                <w:sz w:val="24"/>
              </w:rPr>
              <w:tab/>
              <w:t xml:space="preserve">           </w:t>
            </w:r>
            <w:bookmarkStart w:id="1" w:name="OLE_LINK2"/>
            <w:r>
              <w:rPr>
                <w:rStyle w:val="NormalCharacter"/>
                <w:rFonts w:ascii="宋体" w:hAnsi="宋体" w:hint="eastAsia"/>
                <w:bCs/>
                <w:iCs/>
                <w:sz w:val="24"/>
              </w:rPr>
              <w:t>□</w:t>
            </w:r>
            <w:bookmarkEnd w:id="1"/>
            <w:r>
              <w:rPr>
                <w:rStyle w:val="NormalCharacter"/>
                <w:rFonts w:ascii="宋体" w:hAnsi="宋体"/>
                <w:sz w:val="24"/>
              </w:rPr>
              <w:t>其他</w:t>
            </w:r>
            <w:r>
              <w:rPr>
                <w:rStyle w:val="NormalCharacter"/>
                <w:rFonts w:ascii="宋体" w:hAnsi="宋体" w:hint="eastAsia"/>
                <w:sz w:val="24"/>
                <w:u w:val="single"/>
              </w:rPr>
              <w:t xml:space="preserve"> </w:t>
            </w:r>
            <w:r>
              <w:rPr>
                <w:rStyle w:val="NormalCharacter"/>
                <w:rFonts w:ascii="宋体" w:hAnsi="宋体"/>
                <w:sz w:val="24"/>
                <w:u w:val="single"/>
              </w:rPr>
              <w:t xml:space="preserve">      </w:t>
            </w:r>
            <w:r>
              <w:rPr>
                <w:rStyle w:val="NormalCharacter"/>
                <w:rFonts w:ascii="宋体" w:hAnsi="宋体" w:hint="eastAsia"/>
                <w:sz w:val="24"/>
                <w:u w:val="single"/>
              </w:rPr>
              <w:t xml:space="preserve"> </w:t>
            </w:r>
            <w:r>
              <w:rPr>
                <w:rStyle w:val="NormalCharacter"/>
                <w:rFonts w:ascii="宋体" w:hAnsi="宋体"/>
                <w:sz w:val="24"/>
                <w:u w:val="single"/>
              </w:rPr>
              <w:t xml:space="preserve">       </w:t>
            </w:r>
            <w:r>
              <w:rPr>
                <w:rStyle w:val="NormalCharacter"/>
                <w:rFonts w:ascii="宋体" w:hAnsi="宋体" w:hint="eastAsia"/>
                <w:sz w:val="24"/>
                <w:u w:val="single"/>
              </w:rPr>
              <w:t xml:space="preserve"> </w:t>
            </w:r>
            <w:r>
              <w:rPr>
                <w:rStyle w:val="NormalCharacter"/>
                <w:rFonts w:ascii="宋体" w:hAnsi="宋体"/>
                <w:sz w:val="24"/>
                <w:u w:val="single"/>
              </w:rPr>
              <w:t xml:space="preserve">   </w:t>
            </w:r>
            <w:r>
              <w:rPr>
                <w:rStyle w:val="NormalCharacter"/>
                <w:rFonts w:ascii="宋体" w:hAnsi="宋体" w:hint="eastAsia"/>
                <w:sz w:val="24"/>
                <w:u w:val="single"/>
              </w:rPr>
              <w:t xml:space="preserve"> </w:t>
            </w:r>
            <w:r>
              <w:rPr>
                <w:rStyle w:val="NormalCharacter"/>
                <w:rFonts w:ascii="宋体" w:hAnsi="宋体"/>
                <w:sz w:val="24"/>
                <w:u w:val="single"/>
              </w:rPr>
              <w:t xml:space="preserve">     </w:t>
            </w:r>
          </w:p>
        </w:tc>
      </w:tr>
      <w:tr w:rsidR="002A5217" w14:paraId="71625F9A" w14:textId="77777777">
        <w:trPr>
          <w:trHeight w:val="1491"/>
          <w:jc w:val="center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657D" w14:textId="77777777" w:rsidR="002A5217" w:rsidRDefault="009C092B">
            <w:pPr>
              <w:spacing w:line="440" w:lineRule="exact"/>
              <w:rPr>
                <w:rStyle w:val="NormalCharacter"/>
                <w:rFonts w:ascii="宋体" w:hAnsi="宋体"/>
                <w:bCs/>
                <w:iCs/>
                <w:sz w:val="24"/>
              </w:rPr>
            </w:pPr>
            <w:r>
              <w:rPr>
                <w:rStyle w:val="NormalCharacter"/>
                <w:rFonts w:ascii="宋体" w:hAnsi="宋体"/>
                <w:bCs/>
                <w:iCs/>
                <w:sz w:val="24"/>
              </w:rPr>
              <w:t>参与单位名称</w:t>
            </w: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1C23" w14:textId="77777777" w:rsidR="002A5217" w:rsidRDefault="009C092B">
            <w:pPr>
              <w:spacing w:line="276" w:lineRule="auto"/>
              <w:jc w:val="left"/>
              <w:rPr>
                <w:rFonts w:ascii="宋体" w:hAnsi="宋体"/>
                <w:bCs/>
                <w:sz w:val="24"/>
                <w:szCs w:val="22"/>
              </w:rPr>
            </w:pPr>
            <w:r>
              <w:rPr>
                <w:rFonts w:ascii="宋体" w:hAnsi="宋体" w:hint="eastAsia"/>
                <w:bCs/>
                <w:sz w:val="24"/>
                <w:szCs w:val="22"/>
              </w:rPr>
              <w:t>参与机构与人数：东吴证券、银河证券、明汯投资、</w:t>
            </w:r>
            <w:r>
              <w:rPr>
                <w:rFonts w:ascii="宋体" w:hAnsi="宋体"/>
                <w:bCs/>
                <w:sz w:val="24"/>
                <w:szCs w:val="22"/>
              </w:rPr>
              <w:t>Ballina Capital</w:t>
            </w:r>
            <w:r>
              <w:rPr>
                <w:rFonts w:ascii="宋体" w:hAnsi="宋体" w:hint="eastAsia"/>
                <w:bCs/>
                <w:sz w:val="24"/>
                <w:szCs w:val="22"/>
              </w:rPr>
              <w:t>、拾贝投资、嘉实基金、中加基金、</w:t>
            </w:r>
            <w:proofErr w:type="gramStart"/>
            <w:r>
              <w:rPr>
                <w:rFonts w:ascii="宋体" w:hAnsi="宋体" w:hint="eastAsia"/>
                <w:bCs/>
                <w:sz w:val="24"/>
                <w:szCs w:val="22"/>
              </w:rPr>
              <w:t>浙商资管</w:t>
            </w:r>
            <w:proofErr w:type="gramEnd"/>
            <w:r>
              <w:rPr>
                <w:rFonts w:ascii="宋体" w:hAnsi="宋体" w:hint="eastAsia"/>
                <w:bCs/>
                <w:sz w:val="24"/>
                <w:szCs w:val="22"/>
              </w:rPr>
              <w:t>等机构的1</w:t>
            </w:r>
            <w:r>
              <w:rPr>
                <w:rFonts w:ascii="宋体" w:hAnsi="宋体"/>
                <w:bCs/>
                <w:sz w:val="24"/>
                <w:szCs w:val="22"/>
              </w:rPr>
              <w:t>3</w:t>
            </w:r>
            <w:r>
              <w:rPr>
                <w:rFonts w:ascii="宋体" w:hAnsi="宋体" w:hint="eastAsia"/>
                <w:bCs/>
                <w:sz w:val="24"/>
                <w:szCs w:val="22"/>
              </w:rPr>
              <w:t>位投资者。</w:t>
            </w:r>
          </w:p>
        </w:tc>
      </w:tr>
      <w:tr w:rsidR="002A5217" w14:paraId="22517B72" w14:textId="77777777">
        <w:trPr>
          <w:trHeight w:val="774"/>
          <w:jc w:val="center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A7E92" w14:textId="77777777" w:rsidR="002A5217" w:rsidRDefault="009C092B">
            <w:pPr>
              <w:spacing w:line="440" w:lineRule="exact"/>
              <w:jc w:val="center"/>
              <w:rPr>
                <w:rStyle w:val="NormalCharacter"/>
                <w:rFonts w:ascii="宋体" w:hAnsi="宋体"/>
                <w:bCs/>
                <w:iCs/>
                <w:sz w:val="24"/>
              </w:rPr>
            </w:pPr>
            <w:r>
              <w:rPr>
                <w:rStyle w:val="NormalCharacter"/>
                <w:rFonts w:ascii="宋体" w:hAnsi="宋体" w:hint="eastAsia"/>
                <w:bCs/>
                <w:iCs/>
                <w:sz w:val="24"/>
              </w:rPr>
              <w:t>时间</w:t>
            </w: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688F8" w14:textId="77777777" w:rsidR="002A5217" w:rsidRDefault="009C092B">
            <w:pPr>
              <w:spacing w:line="276" w:lineRule="auto"/>
              <w:jc w:val="left"/>
              <w:rPr>
                <w:rStyle w:val="NormalCharacter"/>
                <w:rFonts w:ascii="宋体" w:hAnsi="宋体"/>
                <w:bCs/>
                <w:iCs/>
                <w:sz w:val="24"/>
              </w:rPr>
            </w:pPr>
            <w:r>
              <w:rPr>
                <w:rStyle w:val="NormalCharacter"/>
                <w:rFonts w:ascii="宋体" w:hAnsi="宋体" w:hint="eastAsia"/>
                <w:bCs/>
                <w:iCs/>
                <w:sz w:val="24"/>
              </w:rPr>
              <w:t>202</w:t>
            </w:r>
            <w:r>
              <w:rPr>
                <w:rStyle w:val="NormalCharacter"/>
                <w:rFonts w:ascii="宋体" w:hAnsi="宋体"/>
                <w:bCs/>
                <w:iCs/>
                <w:sz w:val="24"/>
              </w:rPr>
              <w:t>6</w:t>
            </w:r>
            <w:r>
              <w:rPr>
                <w:rStyle w:val="NormalCharacter"/>
                <w:rFonts w:ascii="宋体" w:hAnsi="宋体" w:hint="eastAsia"/>
                <w:bCs/>
                <w:iCs/>
                <w:sz w:val="24"/>
              </w:rPr>
              <w:t>年</w:t>
            </w:r>
            <w:r>
              <w:rPr>
                <w:rStyle w:val="NormalCharacter"/>
                <w:rFonts w:ascii="宋体" w:hAnsi="宋体"/>
                <w:bCs/>
                <w:iCs/>
                <w:sz w:val="24"/>
              </w:rPr>
              <w:t>6</w:t>
            </w:r>
            <w:r>
              <w:rPr>
                <w:rStyle w:val="NormalCharacter"/>
                <w:rFonts w:ascii="宋体" w:hAnsi="宋体" w:hint="eastAsia"/>
                <w:bCs/>
                <w:iCs/>
                <w:sz w:val="24"/>
              </w:rPr>
              <w:t>月份</w:t>
            </w:r>
          </w:p>
        </w:tc>
      </w:tr>
      <w:tr w:rsidR="002A5217" w14:paraId="72C8E93D" w14:textId="77777777">
        <w:trPr>
          <w:trHeight w:val="670"/>
          <w:jc w:val="center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986BA" w14:textId="77777777" w:rsidR="002A5217" w:rsidRDefault="009C092B">
            <w:pPr>
              <w:spacing w:line="440" w:lineRule="exact"/>
              <w:jc w:val="center"/>
              <w:rPr>
                <w:rStyle w:val="NormalCharacter"/>
                <w:rFonts w:ascii="宋体" w:hAnsi="宋体"/>
                <w:bCs/>
                <w:iCs/>
                <w:sz w:val="24"/>
              </w:rPr>
            </w:pPr>
            <w:r>
              <w:rPr>
                <w:rStyle w:val="NormalCharacter"/>
                <w:rFonts w:ascii="宋体" w:hAnsi="宋体"/>
                <w:bCs/>
                <w:iCs/>
                <w:sz w:val="24"/>
              </w:rPr>
              <w:t>地点</w:t>
            </w: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25DE5" w14:textId="77777777" w:rsidR="002A5217" w:rsidRDefault="009C092B">
            <w:pPr>
              <w:spacing w:line="276" w:lineRule="auto"/>
              <w:jc w:val="left"/>
              <w:rPr>
                <w:rStyle w:val="NormalCharacter"/>
                <w:rFonts w:ascii="宋体" w:hAnsi="宋体"/>
                <w:bCs/>
                <w:iCs/>
                <w:sz w:val="24"/>
              </w:rPr>
            </w:pPr>
            <w:r>
              <w:rPr>
                <w:rStyle w:val="NormalCharacter"/>
                <w:rFonts w:ascii="宋体" w:hAnsi="宋体" w:hint="eastAsia"/>
                <w:bCs/>
                <w:iCs/>
                <w:sz w:val="24"/>
              </w:rPr>
              <w:t>外部策略会、公司会议室、线上会议等</w:t>
            </w:r>
          </w:p>
        </w:tc>
      </w:tr>
      <w:tr w:rsidR="002A5217" w14:paraId="3D033AE1" w14:textId="77777777">
        <w:trPr>
          <w:trHeight w:val="1019"/>
          <w:jc w:val="center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BB34" w14:textId="77777777" w:rsidR="002A5217" w:rsidRDefault="009C092B">
            <w:pPr>
              <w:spacing w:line="440" w:lineRule="exact"/>
              <w:rPr>
                <w:rStyle w:val="NormalCharacter"/>
                <w:rFonts w:ascii="宋体" w:hAnsi="宋体"/>
                <w:bCs/>
                <w:iCs/>
                <w:sz w:val="24"/>
              </w:rPr>
            </w:pPr>
            <w:r>
              <w:rPr>
                <w:rStyle w:val="NormalCharacter"/>
                <w:rFonts w:ascii="宋体" w:hAnsi="宋体"/>
                <w:bCs/>
                <w:iCs/>
                <w:sz w:val="24"/>
              </w:rPr>
              <w:t>上市公司接待人员</w:t>
            </w: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5EAF2" w14:textId="77777777" w:rsidR="002A5217" w:rsidRDefault="009C092B">
            <w:pPr>
              <w:spacing w:line="276" w:lineRule="auto"/>
              <w:rPr>
                <w:rStyle w:val="NormalCharacter"/>
                <w:rFonts w:ascii="宋体" w:hAnsi="宋体"/>
                <w:bCs/>
                <w:iCs/>
                <w:sz w:val="24"/>
              </w:rPr>
            </w:pPr>
            <w:r>
              <w:rPr>
                <w:rStyle w:val="NormalCharacter"/>
                <w:rFonts w:ascii="宋体" w:hAnsi="宋体" w:hint="eastAsia"/>
                <w:bCs/>
                <w:iCs/>
                <w:sz w:val="24"/>
              </w:rPr>
              <w:t>证券事务代表、I</w:t>
            </w:r>
            <w:r>
              <w:rPr>
                <w:rStyle w:val="NormalCharacter"/>
                <w:rFonts w:ascii="宋体" w:hAnsi="宋体"/>
                <w:bCs/>
                <w:iCs/>
                <w:sz w:val="24"/>
              </w:rPr>
              <w:t>R</w:t>
            </w:r>
            <w:r>
              <w:rPr>
                <w:rStyle w:val="NormalCharacter"/>
                <w:rFonts w:ascii="宋体" w:hAnsi="宋体" w:hint="eastAsia"/>
                <w:bCs/>
                <w:iCs/>
                <w:sz w:val="24"/>
              </w:rPr>
              <w:t>等</w:t>
            </w:r>
          </w:p>
        </w:tc>
      </w:tr>
      <w:tr w:rsidR="002A5217" w14:paraId="3C670D49" w14:textId="77777777">
        <w:trPr>
          <w:jc w:val="center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6920B" w14:textId="77777777" w:rsidR="002A5217" w:rsidRDefault="009C092B">
            <w:pPr>
              <w:spacing w:line="440" w:lineRule="exact"/>
              <w:rPr>
                <w:rStyle w:val="NormalCharacter"/>
                <w:rFonts w:ascii="宋体" w:hAnsi="宋体"/>
                <w:bCs/>
                <w:iCs/>
                <w:sz w:val="24"/>
              </w:rPr>
            </w:pPr>
            <w:r>
              <w:rPr>
                <w:rStyle w:val="NormalCharacter"/>
                <w:rFonts w:ascii="宋体" w:hAnsi="宋体"/>
                <w:bCs/>
                <w:iCs/>
                <w:sz w:val="24"/>
              </w:rPr>
              <w:t>投资者关系活动主要内容介绍</w:t>
            </w: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D94B2" w14:textId="77777777" w:rsidR="002A5217" w:rsidRDefault="009C092B">
            <w:pPr>
              <w:spacing w:line="276" w:lineRule="auto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</w:rPr>
              <w:t>Q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：公司在市值管理方面有什么计划？</w:t>
            </w:r>
          </w:p>
          <w:p w14:paraId="484E75A9" w14:textId="7231E6E9" w:rsidR="002A5217" w:rsidRDefault="009C092B">
            <w:pPr>
              <w:spacing w:line="276" w:lineRule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A：公司始终将市值管理作为长期战略的重要组成部分，多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措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并举加强市场沟通，注重股东回报。一方面，我们将深耕主业发展，以经营业绩的稳健增长来夯实价值根基，提升内在价值，另一方面，我们也积极探索多元化、可适用的市值管理工具，传递信心、共享成果。截至目前，公司控股股东已发布增持计划（请见临时公告2025-083），并于今年5月8日和6月1</w:t>
            </w:r>
            <w:r>
              <w:rPr>
                <w:rFonts w:ascii="宋体" w:hAnsi="宋体" w:cs="宋体"/>
                <w:kern w:val="0"/>
                <w:sz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</w:rPr>
              <w:t>日分别发布了增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持进展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公告（分别见公告临2</w:t>
            </w:r>
            <w:r>
              <w:rPr>
                <w:rFonts w:ascii="宋体" w:hAnsi="宋体" w:cs="宋体"/>
                <w:kern w:val="0"/>
                <w:sz w:val="24"/>
              </w:rPr>
              <w:t>026-036</w:t>
            </w:r>
            <w:r>
              <w:rPr>
                <w:rFonts w:ascii="宋体" w:hAnsi="宋体" w:cs="宋体" w:hint="eastAsia"/>
                <w:kern w:val="0"/>
                <w:sz w:val="24"/>
              </w:rPr>
              <w:t>、临2</w:t>
            </w:r>
            <w:r>
              <w:rPr>
                <w:rFonts w:ascii="宋体" w:hAnsi="宋体" w:cs="宋体"/>
                <w:kern w:val="0"/>
                <w:sz w:val="24"/>
              </w:rPr>
              <w:t>026-043</w:t>
            </w:r>
            <w:r>
              <w:rPr>
                <w:rFonts w:ascii="宋体" w:hAnsi="宋体" w:cs="宋体" w:hint="eastAsia"/>
                <w:kern w:val="0"/>
                <w:sz w:val="24"/>
              </w:rPr>
              <w:t>）。在分红方面，公司在确保三年分红不低于近三年年均可分配利润30%的基础上，于2024年和2025年增加了分红频次。同时，2</w:t>
            </w:r>
            <w:r>
              <w:rPr>
                <w:rFonts w:ascii="宋体" w:hAnsi="宋体" w:cs="宋体"/>
                <w:kern w:val="0"/>
                <w:sz w:val="24"/>
              </w:rPr>
              <w:t>026</w:t>
            </w:r>
            <w:r>
              <w:rPr>
                <w:rFonts w:ascii="宋体" w:hAnsi="宋体" w:cs="宋体" w:hint="eastAsia"/>
                <w:kern w:val="0"/>
                <w:sz w:val="24"/>
              </w:rPr>
              <w:t>年中期分红方案已经6月2</w:t>
            </w:r>
            <w:r>
              <w:rPr>
                <w:rFonts w:ascii="宋体" w:hAnsi="宋体" w:cs="宋体"/>
                <w:kern w:val="0"/>
                <w:sz w:val="24"/>
              </w:rPr>
              <w:t>5</w:t>
            </w:r>
            <w:r>
              <w:rPr>
                <w:rFonts w:ascii="宋体" w:hAnsi="宋体" w:cs="宋体" w:hint="eastAsia"/>
                <w:kern w:val="0"/>
                <w:sz w:val="24"/>
              </w:rPr>
              <w:t>日召开的股东会审议并通过。后续将根据公司实际经营状况以及现金需求来确定未来的分红比例。</w:t>
            </w:r>
          </w:p>
          <w:p w14:paraId="3CC52AAC" w14:textId="77777777" w:rsidR="002A5217" w:rsidRDefault="002A5217">
            <w:pPr>
              <w:spacing w:line="276" w:lineRule="auto"/>
              <w:jc w:val="left"/>
            </w:pPr>
          </w:p>
          <w:p w14:paraId="21FE6A0E" w14:textId="77777777" w:rsidR="002A5217" w:rsidRDefault="009C092B">
            <w:pPr>
              <w:spacing w:line="276" w:lineRule="auto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Q：公司商业板块如何进一步提升盈利能力？</w:t>
            </w:r>
          </w:p>
          <w:p w14:paraId="383756CE" w14:textId="77777777" w:rsidR="002A5217" w:rsidRDefault="009C092B">
            <w:pPr>
              <w:spacing w:line="276" w:lineRule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A：公司商业板块将以“打造世界一流的科技型健康服务企业”为目标，构建国家级现代医药供应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链服务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平台以及一流的健康科技创新平台。公司将继续夯实医药流通业务基本盘，扩大商业网络布局，</w:t>
            </w:r>
            <w:r>
              <w:rPr>
                <w:rFonts w:ascii="宋体" w:hAnsi="宋体" w:cs="宋体" w:hint="eastAsia"/>
                <w:kern w:val="0"/>
                <w:sz w:val="24"/>
              </w:rPr>
              <w:lastRenderedPageBreak/>
              <w:t>推动医院准入，深耕基层市场。同时，公司将进一步深化创新转型，依托现有业务优势，不断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做优做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强公司创新业务板块。此外，公司会以更加稳健的财务政策以及更加灵活的业务策略，不断提升运营与财务质量，实现医药商业板块的提质增效。</w:t>
            </w:r>
          </w:p>
          <w:p w14:paraId="3933ECDA" w14:textId="77777777" w:rsidR="002A5217" w:rsidRDefault="002A5217">
            <w:pPr>
              <w:spacing w:line="276" w:lineRule="auto"/>
              <w:jc w:val="left"/>
            </w:pPr>
          </w:p>
          <w:p w14:paraId="18123007" w14:textId="77777777" w:rsidR="002A5217" w:rsidRDefault="009C092B">
            <w:pPr>
              <w:spacing w:line="276" w:lineRule="auto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Q：公司将如何在行业环境承压的情况下，有序推进“十五五”规划目标？</w:t>
            </w:r>
          </w:p>
          <w:p w14:paraId="751482E5" w14:textId="77777777" w:rsidR="002A5217" w:rsidRDefault="009C092B">
            <w:pPr>
              <w:spacing w:line="276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A：近年来，医药行业处于政策及市场深度调整的大环境，但2026年政府工作报告首次将生物医药产业列为新兴支柱产业，行业战略维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度再次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跃升，为整个医药行业带来利好。上海医药将继续发挥在医药研发、制造和医药商业领域的全产业链优势，牢牢把握这一机遇，坚持稳中求进的工作总基调，持续筑牢产业根基、做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强核心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板块、加速创新转型升级，推动企业实现高质量发展。展望“十五五”，上海医药将不断深化工商协同，充分发挥行业龙头优势，进一步提升工业制造和商业化能力，打通创新研发至终端落地的完整价值链条，以稳健的业绩增长持续回报广大股东。</w:t>
            </w:r>
          </w:p>
          <w:p w14:paraId="3DFF76B8" w14:textId="77777777" w:rsidR="002A5217" w:rsidRDefault="002A5217">
            <w:pPr>
              <w:spacing w:line="276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40CFB14B" w14:textId="77777777" w:rsidR="002A5217" w:rsidRDefault="009C092B">
            <w:pPr>
              <w:spacing w:line="276" w:lineRule="auto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Q：</w:t>
            </w: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信妥安获</w:t>
            </w:r>
            <w:proofErr w:type="gramEnd"/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批后的商业化进展？</w:t>
            </w:r>
          </w:p>
          <w:p w14:paraId="0D83B4C1" w14:textId="77777777" w:rsidR="002A5217" w:rsidRDefault="009C092B">
            <w:pPr>
              <w:spacing w:line="276" w:lineRule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A：公司旗下1类新药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苹果酸司妥吉仑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片（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信妥安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®）已于今年2月1</w:t>
            </w:r>
            <w:r>
              <w:rPr>
                <w:rFonts w:ascii="宋体" w:hAnsi="宋体" w:cs="宋体"/>
                <w:kern w:val="0"/>
                <w:sz w:val="24"/>
              </w:rPr>
              <w:t>0</w:t>
            </w:r>
            <w:r>
              <w:rPr>
                <w:rFonts w:ascii="宋体" w:hAnsi="宋体" w:cs="宋体" w:hint="eastAsia"/>
                <w:kern w:val="0"/>
                <w:sz w:val="24"/>
              </w:rPr>
              <w:t>日开出首张处方，截至第一季度，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信妥安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商业化团队推进全国价格挂网的同时，在多个省份实现落地销售并完成线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上渠道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首发。</w:t>
            </w:r>
          </w:p>
          <w:p w14:paraId="53CFA491" w14:textId="77777777" w:rsidR="002A5217" w:rsidRDefault="002A5217">
            <w:pPr>
              <w:spacing w:line="276" w:lineRule="auto"/>
              <w:jc w:val="left"/>
              <w:rPr>
                <w:rFonts w:ascii="宋体" w:hAnsi="宋体" w:cs="宋体"/>
                <w:kern w:val="0"/>
                <w:sz w:val="24"/>
                <w:highlight w:val="yellow"/>
              </w:rPr>
            </w:pPr>
          </w:p>
          <w:p w14:paraId="0EE0E056" w14:textId="77777777" w:rsidR="002A5217" w:rsidRDefault="009C092B">
            <w:pPr>
              <w:spacing w:line="276" w:lineRule="auto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Q：公司的研发管线进展？</w:t>
            </w:r>
          </w:p>
          <w:p w14:paraId="0152FD59" w14:textId="560C4E1F" w:rsidR="002A5217" w:rsidRDefault="009C092B">
            <w:pPr>
              <w:spacing w:line="276" w:lineRule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A：公司新药研发管线均有序推进中。其中，BCD-085上市申请已经获得受理；B001项目用于治疗视神经脊髓炎（NMOSD）的III期临床试验主研究（RCP）已完成揭盲。研究结果显示，B001较安慰剂可显著降低AQP4-IgG阳性NMOSD的复发风险；并且B001较已获批同类药物具备更好的安全性，输液相关不良反应、感染相关不良反应、免疫球蛋白降低和血液学相关不良反应的发生率均更低。参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芪麝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蓉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丸项目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在III期临床试验全部受试者出组的基础上，已完成数据整理、数据审核和数据锁定。</w:t>
            </w:r>
          </w:p>
          <w:p w14:paraId="64055411" w14:textId="77777777" w:rsidR="002A5217" w:rsidRDefault="002A5217">
            <w:pPr>
              <w:spacing w:line="276" w:lineRule="auto"/>
              <w:jc w:val="left"/>
              <w:rPr>
                <w:rFonts w:ascii="宋体" w:hAnsi="宋体" w:cs="宋体"/>
                <w:kern w:val="0"/>
                <w:sz w:val="24"/>
                <w:highlight w:val="yellow"/>
              </w:rPr>
            </w:pPr>
          </w:p>
          <w:p w14:paraId="452F9167" w14:textId="77777777" w:rsidR="002A5217" w:rsidRDefault="009C092B">
            <w:pPr>
              <w:spacing w:line="276" w:lineRule="auto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Q：中药已占工业板块四成左右的比重，未来如何规划？</w:t>
            </w:r>
          </w:p>
          <w:p w14:paraId="2B176AC0" w14:textId="77777777" w:rsidR="002A5217" w:rsidRDefault="009C092B">
            <w:pPr>
              <w:spacing w:line="276" w:lineRule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A：公司中药业务资源禀赋深厚，加之在去年收购了上海和黄，丰富了中药板块业务布局，有着良好的发展前景。公司将继续推进“大品种、大品牌”战略，打造具有竞争力的中药产品梯队。在大品种培育方面，公司已有年销售额超1</w:t>
            </w:r>
            <w:r>
              <w:rPr>
                <w:rFonts w:ascii="宋体" w:hAnsi="宋体" w:cs="宋体"/>
                <w:kern w:val="0"/>
                <w:sz w:val="24"/>
              </w:rPr>
              <w:t>0</w:t>
            </w:r>
            <w:r>
              <w:rPr>
                <w:rFonts w:ascii="宋体" w:hAnsi="宋体" w:cs="宋体" w:hint="eastAsia"/>
                <w:kern w:val="0"/>
                <w:sz w:val="24"/>
              </w:rPr>
              <w:t>亿的两款中药大品种，同时有多项中药创新药管线处于临床后期阶段。在大品牌培育方面，作为拥</w:t>
            </w:r>
            <w:r>
              <w:rPr>
                <w:rFonts w:ascii="宋体" w:hAnsi="宋体" w:cs="宋体" w:hint="eastAsia"/>
                <w:kern w:val="0"/>
                <w:sz w:val="24"/>
              </w:rPr>
              <w:lastRenderedPageBreak/>
              <w:t>有众多百年老字号品牌的医药产业集团，公司以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主品牌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上海医药为核心，协同旗下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子品牌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形成矩阵效应，不断激活老字号品牌的新活力，扩大品牌的影响力。此外，在推动中药走向世界方面，公司以香港为桥头堡，于2025年内提交5个中药品种的在港注册申请，同时，公司旗下和黄药业的胆宁片与正气片也已成功出口加拿大。</w:t>
            </w:r>
          </w:p>
        </w:tc>
      </w:tr>
      <w:tr w:rsidR="002A5217" w14:paraId="5C1AF499" w14:textId="77777777">
        <w:trPr>
          <w:trHeight w:val="1024"/>
          <w:jc w:val="center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57293" w14:textId="77777777" w:rsidR="002A5217" w:rsidRDefault="009C092B">
            <w:pPr>
              <w:spacing w:line="440" w:lineRule="exact"/>
              <w:ind w:firstLineChars="50" w:firstLine="120"/>
              <w:rPr>
                <w:rStyle w:val="NormalCharacter"/>
                <w:rFonts w:ascii="宋体" w:hAnsi="宋体"/>
                <w:bCs/>
                <w:iCs/>
                <w:sz w:val="24"/>
              </w:rPr>
            </w:pPr>
            <w:r>
              <w:rPr>
                <w:rStyle w:val="NormalCharacter"/>
                <w:rFonts w:ascii="宋体" w:hAnsi="宋体"/>
                <w:bCs/>
                <w:iCs/>
                <w:sz w:val="24"/>
              </w:rPr>
              <w:lastRenderedPageBreak/>
              <w:t>附件清单（如有）</w:t>
            </w: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94F10" w14:textId="77777777" w:rsidR="002A5217" w:rsidRDefault="009C092B">
            <w:pPr>
              <w:spacing w:line="440" w:lineRule="exact"/>
              <w:rPr>
                <w:rStyle w:val="NormalCharacter"/>
                <w:rFonts w:ascii="宋体" w:hAnsi="宋体"/>
                <w:bCs/>
                <w:iCs/>
                <w:sz w:val="24"/>
              </w:rPr>
            </w:pPr>
            <w:r>
              <w:rPr>
                <w:rStyle w:val="NormalCharacter"/>
                <w:rFonts w:ascii="宋体" w:hAnsi="宋体"/>
                <w:bCs/>
                <w:iCs/>
                <w:sz w:val="24"/>
              </w:rPr>
              <w:t>无</w:t>
            </w:r>
          </w:p>
        </w:tc>
      </w:tr>
      <w:tr w:rsidR="002A5217" w14:paraId="59AB9622" w14:textId="77777777">
        <w:trPr>
          <w:jc w:val="center"/>
        </w:trPr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67EFB" w14:textId="77777777" w:rsidR="002A5217" w:rsidRDefault="009C092B">
            <w:pPr>
              <w:spacing w:line="440" w:lineRule="exact"/>
              <w:rPr>
                <w:rStyle w:val="NormalCharacter"/>
                <w:rFonts w:ascii="宋体" w:hAnsi="宋体"/>
                <w:bCs/>
                <w:iCs/>
                <w:sz w:val="24"/>
              </w:rPr>
            </w:pPr>
            <w:r>
              <w:rPr>
                <w:rStyle w:val="NormalCharacter"/>
                <w:rFonts w:ascii="宋体" w:hAnsi="宋体" w:hint="eastAsia"/>
                <w:bCs/>
                <w:iCs/>
                <w:sz w:val="24"/>
              </w:rPr>
              <w:t>注意事项</w:t>
            </w:r>
          </w:p>
        </w:tc>
        <w:tc>
          <w:tcPr>
            <w:tcW w:w="7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1E28" w14:textId="77777777" w:rsidR="002A5217" w:rsidRDefault="009C092B">
            <w:pPr>
              <w:spacing w:line="276" w:lineRule="auto"/>
              <w:rPr>
                <w:rStyle w:val="NormalCharacter"/>
                <w:rFonts w:ascii="宋体" w:hAnsi="宋体"/>
                <w:bCs/>
                <w:iCs/>
                <w:sz w:val="24"/>
              </w:rPr>
            </w:pPr>
            <w:r>
              <w:rPr>
                <w:rFonts w:hint="eastAsia"/>
                <w:sz w:val="24"/>
              </w:rPr>
              <w:t>公司严格</w:t>
            </w:r>
            <w:proofErr w:type="gramStart"/>
            <w:r>
              <w:rPr>
                <w:rFonts w:hint="eastAsia"/>
                <w:sz w:val="24"/>
              </w:rPr>
              <w:t>遵守信披</w:t>
            </w:r>
            <w:proofErr w:type="gramEnd"/>
            <w:r>
              <w:rPr>
                <w:rFonts w:hint="eastAsia"/>
                <w:sz w:val="24"/>
              </w:rPr>
              <w:t>规则进行投资者交流，如涉及公司未来计划、发展战略等前瞻性描述，不构成公司对投资者的实质性承诺。</w:t>
            </w:r>
          </w:p>
        </w:tc>
      </w:tr>
    </w:tbl>
    <w:p w14:paraId="26AB79A2" w14:textId="77777777" w:rsidR="002A5217" w:rsidRDefault="002A5217">
      <w:pPr>
        <w:spacing w:line="440" w:lineRule="exact"/>
        <w:rPr>
          <w:rStyle w:val="NormalCharacter"/>
          <w:rFonts w:ascii="宋体" w:hAnsi="宋体"/>
          <w:sz w:val="24"/>
        </w:rPr>
      </w:pPr>
    </w:p>
    <w:sectPr w:rsidR="002A5217"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A3B74" w14:textId="77777777" w:rsidR="0054105C" w:rsidRDefault="0054105C">
      <w:r>
        <w:separator/>
      </w:r>
    </w:p>
  </w:endnote>
  <w:endnote w:type="continuationSeparator" w:id="0">
    <w:p w14:paraId="42300C88" w14:textId="77777777" w:rsidR="0054105C" w:rsidRDefault="00541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6E390" w14:textId="77777777" w:rsidR="002A5217" w:rsidRDefault="002A5217">
    <w:pPr>
      <w:pStyle w:val="a9"/>
      <w:framePr w:wrap="around" w:hAnchor="text" w:xAlign="center" w:y="1"/>
      <w:rPr>
        <w:rStyle w:val="PageNumber"/>
      </w:rPr>
    </w:pPr>
  </w:p>
  <w:p w14:paraId="7914E9DE" w14:textId="77777777" w:rsidR="002A5217" w:rsidRDefault="002A5217">
    <w:pPr>
      <w:pStyle w:val="a9"/>
      <w:rPr>
        <w:rStyle w:val="NormalCharacte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752AF" w14:textId="77777777" w:rsidR="002A5217" w:rsidRDefault="009C092B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</w:t>
    </w:r>
    <w:r>
      <w:rPr>
        <w:lang w:val="zh-CN"/>
      </w:rPr>
      <w:fldChar w:fldCharType="end"/>
    </w:r>
  </w:p>
  <w:p w14:paraId="098BCA03" w14:textId="77777777" w:rsidR="002A5217" w:rsidRDefault="002A5217">
    <w:pPr>
      <w:pStyle w:val="a9"/>
      <w:rPr>
        <w:rStyle w:val="NormalCharacte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FB1D7" w14:textId="77777777" w:rsidR="0054105C" w:rsidRDefault="0054105C">
      <w:r>
        <w:separator/>
      </w:r>
    </w:p>
  </w:footnote>
  <w:footnote w:type="continuationSeparator" w:id="0">
    <w:p w14:paraId="637659B3" w14:textId="77777777" w:rsidR="0054105C" w:rsidRDefault="00541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BAFDF" w14:textId="77777777" w:rsidR="002A5217" w:rsidRDefault="002A5217">
    <w:pPr>
      <w:pStyle w:val="ab"/>
      <w:pBdr>
        <w:bottom w:val="none" w:sz="0" w:space="0" w:color="auto"/>
      </w:pBdr>
      <w:rPr>
        <w:rStyle w:val="NormalCharacte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trackRevisions/>
  <w:defaultTabStop w:val="420"/>
  <w:doNotUseMarginsForDrawingGridOrigin/>
  <w:drawingGridHorizontalOrigin w:val="1800"/>
  <w:drawingGridVerticalOrigin w:val="144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51D"/>
    <w:rsid w:val="00002C55"/>
    <w:rsid w:val="000106BF"/>
    <w:rsid w:val="00016EAE"/>
    <w:rsid w:val="000176D7"/>
    <w:rsid w:val="00031563"/>
    <w:rsid w:val="00043366"/>
    <w:rsid w:val="00052197"/>
    <w:rsid w:val="000767B8"/>
    <w:rsid w:val="000867C7"/>
    <w:rsid w:val="00095809"/>
    <w:rsid w:val="000A0CB1"/>
    <w:rsid w:val="000C227F"/>
    <w:rsid w:val="000C281C"/>
    <w:rsid w:val="000C74D8"/>
    <w:rsid w:val="000E1D70"/>
    <w:rsid w:val="000E5E07"/>
    <w:rsid w:val="001209B2"/>
    <w:rsid w:val="001221D9"/>
    <w:rsid w:val="001273E4"/>
    <w:rsid w:val="0015162D"/>
    <w:rsid w:val="00162E1B"/>
    <w:rsid w:val="00173E79"/>
    <w:rsid w:val="001801D1"/>
    <w:rsid w:val="00191176"/>
    <w:rsid w:val="001B7189"/>
    <w:rsid w:val="001C5440"/>
    <w:rsid w:val="001F77A7"/>
    <w:rsid w:val="00223D7B"/>
    <w:rsid w:val="00233822"/>
    <w:rsid w:val="002343C0"/>
    <w:rsid w:val="00263447"/>
    <w:rsid w:val="00292E82"/>
    <w:rsid w:val="002A5217"/>
    <w:rsid w:val="002A5E05"/>
    <w:rsid w:val="002B2DFE"/>
    <w:rsid w:val="002B58AA"/>
    <w:rsid w:val="002B65B4"/>
    <w:rsid w:val="002C6B79"/>
    <w:rsid w:val="002F7159"/>
    <w:rsid w:val="00307DBE"/>
    <w:rsid w:val="00321F3A"/>
    <w:rsid w:val="00327A2B"/>
    <w:rsid w:val="003452E5"/>
    <w:rsid w:val="00346511"/>
    <w:rsid w:val="003574FC"/>
    <w:rsid w:val="00371FFD"/>
    <w:rsid w:val="0038018B"/>
    <w:rsid w:val="00380974"/>
    <w:rsid w:val="00390461"/>
    <w:rsid w:val="003A2CB1"/>
    <w:rsid w:val="003C3AAB"/>
    <w:rsid w:val="003C767A"/>
    <w:rsid w:val="003D4770"/>
    <w:rsid w:val="003E6A30"/>
    <w:rsid w:val="003F54AA"/>
    <w:rsid w:val="004117E0"/>
    <w:rsid w:val="0042255F"/>
    <w:rsid w:val="004611B6"/>
    <w:rsid w:val="004642AD"/>
    <w:rsid w:val="0048115A"/>
    <w:rsid w:val="00485133"/>
    <w:rsid w:val="00490438"/>
    <w:rsid w:val="0049785A"/>
    <w:rsid w:val="004B3699"/>
    <w:rsid w:val="004C3851"/>
    <w:rsid w:val="004C7F2D"/>
    <w:rsid w:val="004D1335"/>
    <w:rsid w:val="004E2C16"/>
    <w:rsid w:val="004E500B"/>
    <w:rsid w:val="00506348"/>
    <w:rsid w:val="005064E8"/>
    <w:rsid w:val="0051714D"/>
    <w:rsid w:val="00517951"/>
    <w:rsid w:val="0054105C"/>
    <w:rsid w:val="00541826"/>
    <w:rsid w:val="00545187"/>
    <w:rsid w:val="00547FC7"/>
    <w:rsid w:val="005831D8"/>
    <w:rsid w:val="005B0843"/>
    <w:rsid w:val="005B2473"/>
    <w:rsid w:val="005C51BA"/>
    <w:rsid w:val="005D37C3"/>
    <w:rsid w:val="005E5816"/>
    <w:rsid w:val="005E779E"/>
    <w:rsid w:val="005F66A3"/>
    <w:rsid w:val="0060732D"/>
    <w:rsid w:val="00654E82"/>
    <w:rsid w:val="00667C5C"/>
    <w:rsid w:val="00670FF2"/>
    <w:rsid w:val="0068469E"/>
    <w:rsid w:val="006B0979"/>
    <w:rsid w:val="006C7D17"/>
    <w:rsid w:val="00701239"/>
    <w:rsid w:val="007139E4"/>
    <w:rsid w:val="00720FD7"/>
    <w:rsid w:val="007220FC"/>
    <w:rsid w:val="00722D51"/>
    <w:rsid w:val="0072437E"/>
    <w:rsid w:val="0073265E"/>
    <w:rsid w:val="00733A5A"/>
    <w:rsid w:val="00735B26"/>
    <w:rsid w:val="0074282E"/>
    <w:rsid w:val="00745663"/>
    <w:rsid w:val="007554F2"/>
    <w:rsid w:val="00756FF9"/>
    <w:rsid w:val="00881D7A"/>
    <w:rsid w:val="00885FE2"/>
    <w:rsid w:val="008C0901"/>
    <w:rsid w:val="008C5203"/>
    <w:rsid w:val="00962079"/>
    <w:rsid w:val="009652FF"/>
    <w:rsid w:val="0097541E"/>
    <w:rsid w:val="009762B3"/>
    <w:rsid w:val="009B014C"/>
    <w:rsid w:val="009C092B"/>
    <w:rsid w:val="00A20F79"/>
    <w:rsid w:val="00A2283F"/>
    <w:rsid w:val="00A31E51"/>
    <w:rsid w:val="00A40C32"/>
    <w:rsid w:val="00A53B84"/>
    <w:rsid w:val="00A8351D"/>
    <w:rsid w:val="00A86522"/>
    <w:rsid w:val="00A934AA"/>
    <w:rsid w:val="00AA0D98"/>
    <w:rsid w:val="00AB4FB7"/>
    <w:rsid w:val="00AC2889"/>
    <w:rsid w:val="00AC3736"/>
    <w:rsid w:val="00AD36AC"/>
    <w:rsid w:val="00AF09C3"/>
    <w:rsid w:val="00AF0F25"/>
    <w:rsid w:val="00B03EF8"/>
    <w:rsid w:val="00B13F37"/>
    <w:rsid w:val="00B14369"/>
    <w:rsid w:val="00B3209A"/>
    <w:rsid w:val="00B52F84"/>
    <w:rsid w:val="00B60FF5"/>
    <w:rsid w:val="00B83D45"/>
    <w:rsid w:val="00BA0014"/>
    <w:rsid w:val="00BA1E4C"/>
    <w:rsid w:val="00BA48DD"/>
    <w:rsid w:val="00BB2E68"/>
    <w:rsid w:val="00BD4000"/>
    <w:rsid w:val="00BE31D8"/>
    <w:rsid w:val="00C14789"/>
    <w:rsid w:val="00C242EB"/>
    <w:rsid w:val="00C36353"/>
    <w:rsid w:val="00C4177A"/>
    <w:rsid w:val="00C4569F"/>
    <w:rsid w:val="00C6565B"/>
    <w:rsid w:val="00CA1744"/>
    <w:rsid w:val="00CA3A36"/>
    <w:rsid w:val="00CB5C96"/>
    <w:rsid w:val="00CB7D45"/>
    <w:rsid w:val="00CE08CC"/>
    <w:rsid w:val="00D2297A"/>
    <w:rsid w:val="00D33D69"/>
    <w:rsid w:val="00D61FE4"/>
    <w:rsid w:val="00D642F8"/>
    <w:rsid w:val="00D64C28"/>
    <w:rsid w:val="00D73FC5"/>
    <w:rsid w:val="00D819BC"/>
    <w:rsid w:val="00D868F4"/>
    <w:rsid w:val="00D92A51"/>
    <w:rsid w:val="00DA6E11"/>
    <w:rsid w:val="00DB4A2B"/>
    <w:rsid w:val="00E02835"/>
    <w:rsid w:val="00E1629C"/>
    <w:rsid w:val="00E44277"/>
    <w:rsid w:val="00E47BCF"/>
    <w:rsid w:val="00E62AFA"/>
    <w:rsid w:val="00E81462"/>
    <w:rsid w:val="00E905C1"/>
    <w:rsid w:val="00EC3152"/>
    <w:rsid w:val="00EE63EC"/>
    <w:rsid w:val="00F01F02"/>
    <w:rsid w:val="00F02F49"/>
    <w:rsid w:val="00F04AE7"/>
    <w:rsid w:val="00F12697"/>
    <w:rsid w:val="00F23045"/>
    <w:rsid w:val="00F246BA"/>
    <w:rsid w:val="00F24DF8"/>
    <w:rsid w:val="00F61DCD"/>
    <w:rsid w:val="00F80429"/>
    <w:rsid w:val="00F871BE"/>
    <w:rsid w:val="00F93F41"/>
    <w:rsid w:val="00F97CF0"/>
    <w:rsid w:val="00FB1E69"/>
    <w:rsid w:val="00FC1FA4"/>
    <w:rsid w:val="00FC4A73"/>
    <w:rsid w:val="00FE16D0"/>
    <w:rsid w:val="00FF19BD"/>
    <w:rsid w:val="2B746E5B"/>
    <w:rsid w:val="5D8E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0B7688"/>
  <w15:docId w15:val="{42B799FB-7024-4E36-95FA-FB1C35367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  <w:textAlignment w:val="baseline"/>
    </w:pPr>
    <w:rPr>
      <w:kern w:val="2"/>
      <w:sz w:val="21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spacing w:beforeAutospacing="1" w:afterAutospacing="1"/>
      <w:jc w:val="left"/>
      <w:outlineLvl w:val="3"/>
    </w:pPr>
    <w:rPr>
      <w:rFonts w:ascii="宋体" w:hAnsi="宋体" w:hint="eastAsia"/>
      <w:b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qFormat/>
    <w:pPr>
      <w:jc w:val="left"/>
    </w:pPr>
  </w:style>
  <w:style w:type="paragraph" w:styleId="a5">
    <w:name w:val="Date"/>
    <w:basedOn w:val="a"/>
    <w:next w:val="a"/>
    <w:link w:val="a6"/>
    <w:uiPriority w:val="99"/>
    <w:qFormat/>
    <w:pPr>
      <w:widowControl w:val="0"/>
      <w:ind w:leftChars="2500" w:left="100"/>
      <w:textAlignment w:val="auto"/>
    </w:pPr>
    <w:rPr>
      <w:rFonts w:ascii="等线" w:eastAsia="等线" w:hAnsi="等线" w:cs="宋体"/>
      <w:szCs w:val="22"/>
    </w:rPr>
  </w:style>
  <w:style w:type="paragraph" w:styleId="a7">
    <w:name w:val="Balloon Text"/>
    <w:basedOn w:val="a"/>
    <w:link w:val="a8"/>
    <w:uiPriority w:val="99"/>
    <w:qFormat/>
    <w:pPr>
      <w:widowControl w:val="0"/>
      <w:textAlignment w:val="auto"/>
    </w:pPr>
    <w:rPr>
      <w:rFonts w:ascii="等线" w:eastAsia="等线" w:hAnsi="等线" w:cs="宋体"/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qFormat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qFormat/>
    <w:rPr>
      <w:b/>
      <w:bCs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uiPriority w:val="20"/>
    <w:qFormat/>
    <w:rPr>
      <w:color w:val="CC0000"/>
    </w:rPr>
  </w:style>
  <w:style w:type="character" w:styleId="af1">
    <w:name w:val="Hyperlink"/>
    <w:basedOn w:val="a0"/>
    <w:uiPriority w:val="99"/>
    <w:qFormat/>
    <w:rPr>
      <w:color w:val="0000FF"/>
      <w:u w:val="single"/>
    </w:rPr>
  </w:style>
  <w:style w:type="character" w:styleId="af2">
    <w:name w:val="annotation reference"/>
    <w:basedOn w:val="a0"/>
    <w:uiPriority w:val="99"/>
    <w:qFormat/>
    <w:rPr>
      <w:sz w:val="21"/>
      <w:szCs w:val="21"/>
    </w:rPr>
  </w:style>
  <w:style w:type="character" w:customStyle="1" w:styleId="NormalCharacter">
    <w:name w:val="NormalCharacter"/>
    <w:qFormat/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geNumber">
    <w:name w:val="PageNumber"/>
    <w:basedOn w:val="NormalCharacter"/>
    <w:qFormat/>
  </w:style>
  <w:style w:type="character" w:customStyle="1" w:styleId="UserStyle0">
    <w:name w:val="UserStyle_0"/>
    <w:link w:val="Acetate"/>
    <w:qFormat/>
    <w:rPr>
      <w:kern w:val="2"/>
      <w:sz w:val="18"/>
      <w:szCs w:val="18"/>
    </w:rPr>
  </w:style>
  <w:style w:type="paragraph" w:customStyle="1" w:styleId="Acetate">
    <w:name w:val="Acetate"/>
    <w:basedOn w:val="a"/>
    <w:link w:val="UserStyle0"/>
    <w:qFormat/>
    <w:rPr>
      <w:sz w:val="18"/>
      <w:szCs w:val="18"/>
    </w:rPr>
  </w:style>
  <w:style w:type="character" w:customStyle="1" w:styleId="ac">
    <w:name w:val="页眉 字符"/>
    <w:link w:val="ab"/>
    <w:uiPriority w:val="99"/>
    <w:qFormat/>
    <w:rPr>
      <w:kern w:val="2"/>
      <w:sz w:val="18"/>
      <w:szCs w:val="18"/>
    </w:rPr>
  </w:style>
  <w:style w:type="paragraph" w:customStyle="1" w:styleId="BodyTextIndent">
    <w:name w:val="BodyTextIndent"/>
    <w:basedOn w:val="a"/>
    <w:qFormat/>
    <w:pPr>
      <w:spacing w:after="120"/>
      <w:ind w:leftChars="200" w:left="200"/>
    </w:pPr>
    <w:rPr>
      <w:szCs w:val="20"/>
    </w:rPr>
  </w:style>
  <w:style w:type="paragraph" w:customStyle="1" w:styleId="179">
    <w:name w:val="179"/>
    <w:basedOn w:val="a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UserStyle2">
    <w:name w:val="UserStyle_2"/>
    <w:basedOn w:val="a"/>
    <w:qFormat/>
    <w:pPr>
      <w:tabs>
        <w:tab w:val="left" w:pos="720"/>
      </w:tabs>
      <w:ind w:left="720" w:hanging="720"/>
    </w:pPr>
    <w:rPr>
      <w:sz w:val="18"/>
      <w:szCs w:val="18"/>
    </w:rPr>
  </w:style>
  <w:style w:type="paragraph" w:customStyle="1" w:styleId="UserStyle3">
    <w:name w:val="UserStyle_3"/>
    <w:basedOn w:val="a"/>
    <w:qFormat/>
    <w:rPr>
      <w:rFonts w:ascii="仿宋_GB2312" w:eastAsia="仿宋_GB2312"/>
      <w:sz w:val="32"/>
      <w:szCs w:val="32"/>
    </w:rPr>
  </w:style>
  <w:style w:type="table" w:customStyle="1" w:styleId="TableGrid">
    <w:name w:val="TableGrid"/>
    <w:basedOn w:val="TableNormal"/>
    <w:qFormat/>
    <w:tblPr/>
  </w:style>
  <w:style w:type="character" w:customStyle="1" w:styleId="aa">
    <w:name w:val="页脚 字符"/>
    <w:basedOn w:val="a0"/>
    <w:link w:val="a9"/>
    <w:uiPriority w:val="99"/>
    <w:qFormat/>
    <w:rPr>
      <w:kern w:val="2"/>
      <w:sz w:val="18"/>
      <w:szCs w:val="18"/>
    </w:rPr>
  </w:style>
  <w:style w:type="paragraph" w:customStyle="1" w:styleId="1">
    <w:name w:val="列出段落1"/>
    <w:basedOn w:val="a"/>
    <w:link w:val="Char"/>
    <w:uiPriority w:val="34"/>
    <w:qFormat/>
    <w:pPr>
      <w:widowControl w:val="0"/>
      <w:ind w:firstLineChars="200" w:firstLine="420"/>
      <w:textAlignment w:val="auto"/>
    </w:pPr>
    <w:rPr>
      <w:rFonts w:ascii="等线" w:eastAsia="等线" w:hAnsi="等线" w:cs="宋体"/>
      <w:szCs w:val="22"/>
    </w:rPr>
  </w:style>
  <w:style w:type="character" w:customStyle="1" w:styleId="a6">
    <w:name w:val="日期 字符"/>
    <w:basedOn w:val="a0"/>
    <w:link w:val="a5"/>
    <w:uiPriority w:val="99"/>
    <w:qFormat/>
    <w:rPr>
      <w:rFonts w:ascii="等线" w:eastAsia="等线" w:hAnsi="等线" w:cs="宋体"/>
      <w:kern w:val="2"/>
      <w:sz w:val="21"/>
      <w:szCs w:val="22"/>
    </w:rPr>
  </w:style>
  <w:style w:type="character" w:customStyle="1" w:styleId="a8">
    <w:name w:val="批注框文本 字符"/>
    <w:basedOn w:val="a0"/>
    <w:link w:val="a7"/>
    <w:uiPriority w:val="99"/>
    <w:qFormat/>
    <w:rPr>
      <w:rFonts w:ascii="等线" w:eastAsia="等线" w:hAnsi="等线" w:cs="宋体"/>
      <w:kern w:val="2"/>
      <w:sz w:val="18"/>
      <w:szCs w:val="18"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  <w:style w:type="character" w:customStyle="1" w:styleId="bjh-p">
    <w:name w:val="bjh-p"/>
    <w:basedOn w:val="a0"/>
    <w:qFormat/>
  </w:style>
  <w:style w:type="paragraph" w:customStyle="1" w:styleId="11">
    <w:name w:val="修订1"/>
    <w:uiPriority w:val="99"/>
    <w:qFormat/>
    <w:rPr>
      <w:kern w:val="2"/>
      <w:sz w:val="21"/>
      <w:szCs w:val="24"/>
    </w:rPr>
  </w:style>
  <w:style w:type="character" w:customStyle="1" w:styleId="Char">
    <w:name w:val="列出段落 Char"/>
    <w:link w:val="1"/>
    <w:uiPriority w:val="34"/>
    <w:qFormat/>
    <w:rPr>
      <w:rFonts w:ascii="等线" w:eastAsia="等线" w:hAnsi="等线" w:cs="宋体"/>
      <w:kern w:val="2"/>
      <w:sz w:val="21"/>
      <w:szCs w:val="22"/>
    </w:rPr>
  </w:style>
  <w:style w:type="paragraph" w:customStyle="1" w:styleId="2">
    <w:name w:val="修订2"/>
    <w:uiPriority w:val="99"/>
    <w:qFormat/>
    <w:rPr>
      <w:kern w:val="2"/>
      <w:sz w:val="21"/>
      <w:szCs w:val="24"/>
    </w:rPr>
  </w:style>
  <w:style w:type="character" w:customStyle="1" w:styleId="a4">
    <w:name w:val="批注文字 字符"/>
    <w:basedOn w:val="a0"/>
    <w:link w:val="a3"/>
    <w:uiPriority w:val="99"/>
    <w:qFormat/>
    <w:rPr>
      <w:kern w:val="2"/>
      <w:sz w:val="21"/>
      <w:szCs w:val="24"/>
    </w:rPr>
  </w:style>
  <w:style w:type="character" w:customStyle="1" w:styleId="ae">
    <w:name w:val="批注主题 字符"/>
    <w:basedOn w:val="a4"/>
    <w:link w:val="ad"/>
    <w:uiPriority w:val="99"/>
    <w:qFormat/>
    <w:rPr>
      <w:b/>
      <w:bCs/>
      <w:kern w:val="2"/>
      <w:sz w:val="21"/>
      <w:szCs w:val="24"/>
    </w:rPr>
  </w:style>
  <w:style w:type="paragraph" w:customStyle="1" w:styleId="3">
    <w:name w:val="修订3"/>
    <w:uiPriority w:val="99"/>
    <w:qFormat/>
    <w:rPr>
      <w:kern w:val="2"/>
      <w:sz w:val="21"/>
      <w:szCs w:val="24"/>
    </w:rPr>
  </w:style>
  <w:style w:type="paragraph" w:customStyle="1" w:styleId="40">
    <w:name w:val="修订4"/>
    <w:uiPriority w:val="99"/>
    <w:qFormat/>
    <w:rPr>
      <w:kern w:val="2"/>
      <w:sz w:val="21"/>
      <w:szCs w:val="24"/>
    </w:rPr>
  </w:style>
  <w:style w:type="paragraph" w:customStyle="1" w:styleId="paragraph">
    <w:name w:val="paragraph"/>
    <w:basedOn w:val="a"/>
    <w:pPr>
      <w:spacing w:before="100" w:beforeAutospacing="1" w:after="100" w:afterAutospacing="1"/>
      <w:jc w:val="left"/>
      <w:textAlignment w:val="auto"/>
    </w:pPr>
    <w:rPr>
      <w:rFonts w:ascii="等线" w:eastAsia="等线" w:hAnsi="等线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DC471-B316-432E-AE28-B268D7AC6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3</Pages>
  <Words>298</Words>
  <Characters>1700</Characters>
  <Application>Microsoft Office Word</Application>
  <DocSecurity>0</DocSecurity>
  <Lines>14</Lines>
  <Paragraphs>3</Paragraphs>
  <ScaleCrop>false</ScaleCrop>
  <Company>SPH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王梓安</cp:lastModifiedBy>
  <cp:revision>12</cp:revision>
  <cp:lastPrinted>2026-02-27T02:58:00Z</cp:lastPrinted>
  <dcterms:created xsi:type="dcterms:W3CDTF">2026-06-24T05:25:00Z</dcterms:created>
  <dcterms:modified xsi:type="dcterms:W3CDTF">2026-06-29T06:49:00Z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B4058139E80146D28D3F792A598555CF_13</vt:lpwstr>
  </property>
  <property fmtid="{D5CDD505-2E9C-101B-9397-08002B2CF9AE}" pid="4" name="KSOTemplateDocerSaveRecord">
    <vt:lpwstr>eyJoZGlkIjoiZjkyMTkyOTY2M2JkNTY4ZThkNTA2NmRjZWI3OWUxMzIiLCJ1c2VySWQiOiIxNzMyNzYwMjE0In0=</vt:lpwstr>
  </property>
</Properties>
</file>