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887463" w14:textId="4B034669" w:rsidR="00634EE0" w:rsidRPr="00994BFD" w:rsidRDefault="00000000">
      <w:pPr>
        <w:widowControl/>
        <w:tabs>
          <w:tab w:val="right" w:pos="8360"/>
        </w:tabs>
        <w:spacing w:before="120" w:after="240"/>
        <w:jc w:val="left"/>
        <w:rPr>
          <w:rFonts w:ascii="Times New Roman" w:eastAsia="宋体" w:hAnsi="Times New Roman" w:cs="Times New Roman"/>
          <w:b/>
          <w:bCs/>
          <w:sz w:val="24"/>
          <w:szCs w:val="24"/>
          <w:lang w:val="ru-RU"/>
        </w:rPr>
      </w:pPr>
      <w:r w:rsidRPr="00994BFD">
        <w:rPr>
          <w:rFonts w:ascii="Times New Roman" w:eastAsia="宋体" w:hAnsi="Times New Roman" w:cs="Times New Roman"/>
          <w:b/>
          <w:bCs/>
          <w:sz w:val="24"/>
          <w:szCs w:val="24"/>
          <w:lang w:val="ru-RU"/>
        </w:rPr>
        <w:t>证券代码：</w:t>
      </w:r>
      <w:r w:rsidR="00244E0A" w:rsidRPr="00994BFD">
        <w:rPr>
          <w:rFonts w:ascii="Times New Roman" w:eastAsia="宋体" w:hAnsi="Times New Roman" w:cs="Times New Roman"/>
          <w:b/>
          <w:bCs/>
          <w:sz w:val="24"/>
          <w:szCs w:val="24"/>
          <w:lang w:val="ru-RU"/>
        </w:rPr>
        <w:t>60</w:t>
      </w:r>
      <w:r w:rsidRPr="00994BFD">
        <w:rPr>
          <w:rFonts w:ascii="Times New Roman" w:eastAsia="宋体" w:hAnsi="Times New Roman" w:cs="Times New Roman"/>
          <w:b/>
          <w:bCs/>
          <w:sz w:val="24"/>
          <w:szCs w:val="24"/>
          <w:lang w:val="ru-RU"/>
        </w:rPr>
        <w:t>3</w:t>
      </w:r>
      <w:r w:rsidR="00244E0A" w:rsidRPr="00994BFD">
        <w:rPr>
          <w:rFonts w:ascii="Times New Roman" w:eastAsia="宋体" w:hAnsi="Times New Roman" w:cs="Times New Roman"/>
          <w:b/>
          <w:bCs/>
          <w:sz w:val="24"/>
          <w:szCs w:val="24"/>
          <w:lang w:val="ru-RU"/>
        </w:rPr>
        <w:t>12</w:t>
      </w:r>
      <w:r w:rsidRPr="00994BFD">
        <w:rPr>
          <w:rFonts w:ascii="Times New Roman" w:eastAsia="宋体" w:hAnsi="Times New Roman" w:cs="Times New Roman"/>
          <w:b/>
          <w:bCs/>
          <w:sz w:val="24"/>
          <w:szCs w:val="24"/>
          <w:lang w:val="ru-RU"/>
        </w:rPr>
        <w:t>0</w:t>
      </w:r>
      <w:r w:rsidRPr="00994BFD">
        <w:rPr>
          <w:rFonts w:ascii="Times New Roman" w:eastAsia="宋体" w:hAnsi="Times New Roman" w:cs="Times New Roman"/>
          <w:b/>
          <w:bCs/>
          <w:sz w:val="24"/>
          <w:szCs w:val="24"/>
          <w:lang w:val="ru-RU"/>
        </w:rPr>
        <w:tab/>
      </w:r>
      <w:r w:rsidRPr="00994BFD">
        <w:rPr>
          <w:rFonts w:ascii="Times New Roman" w:eastAsia="宋体" w:hAnsi="Times New Roman" w:cs="Times New Roman"/>
          <w:b/>
          <w:bCs/>
          <w:sz w:val="24"/>
          <w:szCs w:val="24"/>
          <w:lang w:val="ru-RU"/>
        </w:rPr>
        <w:t>证券简称：</w:t>
      </w:r>
      <w:r w:rsidR="00244E0A" w:rsidRPr="00994BFD">
        <w:rPr>
          <w:rFonts w:ascii="Times New Roman" w:eastAsia="宋体" w:hAnsi="Times New Roman" w:cs="Times New Roman"/>
          <w:b/>
          <w:bCs/>
          <w:sz w:val="24"/>
          <w:szCs w:val="24"/>
          <w:lang w:val="ru-RU"/>
        </w:rPr>
        <w:t>肯特催化</w:t>
      </w:r>
    </w:p>
    <w:p w14:paraId="3F8BEDD5" w14:textId="77777777" w:rsidR="00641E8D" w:rsidRDefault="00244E0A" w:rsidP="00641E8D">
      <w:pPr>
        <w:widowControl/>
        <w:adjustRightInd w:val="0"/>
        <w:snapToGrid w:val="0"/>
        <w:spacing w:line="360" w:lineRule="auto"/>
        <w:jc w:val="center"/>
        <w:rPr>
          <w:rFonts w:ascii="宋体" w:eastAsia="宋体" w:hAnsi="宋体" w:cs="RDFSIJ+ºÚÌå" w:hint="eastAsia"/>
          <w:b/>
          <w:bCs/>
          <w:color w:val="000000"/>
          <w:sz w:val="32"/>
          <w:szCs w:val="32"/>
          <w:lang w:val="ru-RU"/>
        </w:rPr>
      </w:pPr>
      <w:r w:rsidRPr="00244E0A">
        <w:rPr>
          <w:rFonts w:ascii="宋体" w:eastAsia="宋体" w:hAnsi="宋体" w:cs="RDFSIJ+ºÚÌå" w:hint="eastAsia"/>
          <w:b/>
          <w:bCs/>
          <w:color w:val="000000"/>
          <w:sz w:val="32"/>
          <w:szCs w:val="32"/>
          <w:lang w:val="ru-RU"/>
        </w:rPr>
        <w:t>肯特催化材料股份有限公司</w:t>
      </w:r>
    </w:p>
    <w:p w14:paraId="19405468" w14:textId="4C219633" w:rsidR="00634EE0" w:rsidRPr="000874DF" w:rsidRDefault="00244E0A" w:rsidP="00641E8D">
      <w:pPr>
        <w:widowControl/>
        <w:adjustRightInd w:val="0"/>
        <w:snapToGrid w:val="0"/>
        <w:spacing w:line="360" w:lineRule="auto"/>
        <w:jc w:val="center"/>
        <w:rPr>
          <w:rFonts w:ascii="宋体" w:eastAsia="宋体" w:hAnsi="宋体" w:cs="RDFSIJ+ºÚÌå" w:hint="eastAsia"/>
          <w:color w:val="000000"/>
          <w:sz w:val="32"/>
          <w:szCs w:val="32"/>
          <w:lang w:val="ru-RU"/>
        </w:rPr>
      </w:pPr>
      <w:r>
        <w:rPr>
          <w:rFonts w:ascii="宋体" w:eastAsia="宋体" w:hAnsi="宋体" w:cs="RDFSIJ+ºÚÌå" w:hint="eastAsia"/>
          <w:b/>
          <w:bCs/>
          <w:color w:val="000000"/>
          <w:sz w:val="32"/>
          <w:szCs w:val="32"/>
          <w:lang w:val="ru-RU"/>
        </w:rPr>
        <w:t>投资者</w:t>
      </w:r>
      <w:r w:rsidR="00F34504">
        <w:rPr>
          <w:rFonts w:ascii="宋体" w:eastAsia="宋体" w:hAnsi="宋体" w:cs="RDFSIJ+ºÚÌå" w:hint="eastAsia"/>
          <w:b/>
          <w:bCs/>
          <w:color w:val="000000"/>
          <w:sz w:val="32"/>
          <w:szCs w:val="32"/>
          <w:lang w:val="ru-RU"/>
        </w:rPr>
        <w:t>关系</w:t>
      </w:r>
      <w:r>
        <w:rPr>
          <w:rFonts w:ascii="宋体" w:eastAsia="宋体" w:hAnsi="宋体" w:cs="RDFSIJ+ºÚÌå" w:hint="eastAsia"/>
          <w:b/>
          <w:bCs/>
          <w:color w:val="000000"/>
          <w:sz w:val="32"/>
          <w:szCs w:val="32"/>
          <w:lang w:val="ru-RU"/>
        </w:rPr>
        <w:t>活动记录表</w:t>
      </w:r>
    </w:p>
    <w:p w14:paraId="2F9B7ED8" w14:textId="69C8F99E" w:rsidR="000874DF" w:rsidRPr="000874DF" w:rsidRDefault="000874DF" w:rsidP="000874DF">
      <w:pPr>
        <w:widowControl/>
        <w:adjustRightInd w:val="0"/>
        <w:snapToGrid w:val="0"/>
        <w:spacing w:line="360" w:lineRule="auto"/>
        <w:jc w:val="right"/>
        <w:rPr>
          <w:rFonts w:ascii="Times New Roman" w:eastAsia="宋体" w:hAnsi="Times New Roman" w:cs="Times New Roman"/>
          <w:color w:val="000000"/>
          <w:sz w:val="24"/>
          <w:szCs w:val="24"/>
          <w:lang w:val="ru-RU"/>
        </w:rPr>
      </w:pPr>
      <w:r w:rsidRPr="000874DF">
        <w:rPr>
          <w:rFonts w:ascii="Times New Roman" w:eastAsia="宋体" w:hAnsi="Times New Roman" w:cs="Times New Roman"/>
          <w:color w:val="000000"/>
          <w:sz w:val="24"/>
          <w:szCs w:val="24"/>
          <w:lang w:val="ru-RU"/>
        </w:rPr>
        <w:t>编号：</w:t>
      </w:r>
      <w:r w:rsidRPr="000874DF">
        <w:rPr>
          <w:rFonts w:ascii="Times New Roman" w:eastAsia="宋体" w:hAnsi="Times New Roman" w:cs="Times New Roman"/>
          <w:color w:val="000000"/>
          <w:sz w:val="24"/>
          <w:szCs w:val="24"/>
          <w:lang w:val="ru-RU"/>
        </w:rPr>
        <w:t>202</w:t>
      </w:r>
      <w:r w:rsidR="00994BFD">
        <w:rPr>
          <w:rFonts w:ascii="Times New Roman" w:eastAsia="宋体" w:hAnsi="Times New Roman" w:cs="Times New Roman" w:hint="eastAsia"/>
          <w:color w:val="000000"/>
          <w:sz w:val="24"/>
          <w:szCs w:val="24"/>
          <w:lang w:val="ru-RU"/>
        </w:rPr>
        <w:t>60</w:t>
      </w:r>
      <w:r w:rsidR="00ED76CF">
        <w:rPr>
          <w:rFonts w:ascii="Times New Roman" w:eastAsia="宋体" w:hAnsi="Times New Roman" w:cs="Times New Roman" w:hint="eastAsia"/>
          <w:color w:val="000000"/>
          <w:sz w:val="24"/>
          <w:szCs w:val="24"/>
          <w:lang w:val="ru-RU"/>
        </w:rPr>
        <w:t>630</w:t>
      </w:r>
    </w:p>
    <w:tbl>
      <w:tblPr>
        <w:tblStyle w:val="1"/>
        <w:tblW w:w="964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985"/>
        <w:gridCol w:w="7655"/>
      </w:tblGrid>
      <w:tr w:rsidR="00634EE0" w14:paraId="4DC7D46F" w14:textId="77777777" w:rsidTr="00244E0A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2DD24" w14:textId="77777777" w:rsidR="00634EE0" w:rsidRDefault="00000000" w:rsidP="00B67029">
            <w:pPr>
              <w:widowControl/>
              <w:wordWrap w:val="0"/>
              <w:adjustRightInd w:val="0"/>
              <w:snapToGrid w:val="0"/>
              <w:spacing w:before="120" w:line="360" w:lineRule="auto"/>
              <w:jc w:val="center"/>
              <w:rPr>
                <w:rFonts w:ascii="宋体" w:eastAsia="宋体" w:hAnsi="宋体" w:cs="Times New Roman" w:hint="eastAsia"/>
                <w:sz w:val="24"/>
                <w:szCs w:val="24"/>
                <w:lang w:val="ru-RU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  <w:lang w:val="ru-RU"/>
              </w:rPr>
              <w:t>投资者关系活动类别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277A2" w14:textId="77777777" w:rsidR="00E2048E" w:rsidRDefault="00E2048E" w:rsidP="00E2048E">
            <w:pPr>
              <w:tabs>
                <w:tab w:val="right" w:pos="8360"/>
              </w:tabs>
              <w:wordWrap w:val="0"/>
              <w:autoSpaceDE w:val="0"/>
              <w:autoSpaceDN w:val="0"/>
              <w:adjustRightInd w:val="0"/>
              <w:snapToGrid w:val="0"/>
              <w:spacing w:beforeLines="50" w:before="156" w:afterLines="50" w:after="156"/>
              <w:jc w:val="left"/>
              <w:rPr>
                <w:rFonts w:ascii="宋体" w:eastAsia="宋体" w:hAnsi="宋体" w:cs="USHEHF+ËÎÌå" w:hint="eastAsia"/>
                <w:color w:val="000000"/>
                <w:sz w:val="24"/>
                <w:lang w:val="ru-RU"/>
              </w:rPr>
            </w:pPr>
            <w:r w:rsidRPr="000874DF">
              <w:rPr>
                <w:rFonts w:ascii="宋体" w:eastAsia="宋体" w:hAnsi="宋体" w:cs="USHEHF+ËÎÌå"/>
                <w:color w:val="000000"/>
                <w:sz w:val="24"/>
              </w:rPr>
              <w:t>√</w:t>
            </w:r>
            <w:r>
              <w:rPr>
                <w:rFonts w:ascii="宋体" w:eastAsia="宋体" w:hAnsi="宋体" w:cs="USHEHF+ËÎÌå" w:hint="eastAsia"/>
                <w:color w:val="000000"/>
                <w:sz w:val="24"/>
                <w:lang w:val="ru-RU"/>
              </w:rPr>
              <w:t xml:space="preserve">特定对象调研                   □分析师会议 </w:t>
            </w:r>
          </w:p>
          <w:p w14:paraId="5E042943" w14:textId="77777777" w:rsidR="00E2048E" w:rsidRDefault="00E2048E" w:rsidP="00E2048E">
            <w:pPr>
              <w:wordWrap w:val="0"/>
              <w:autoSpaceDE w:val="0"/>
              <w:autoSpaceDN w:val="0"/>
              <w:adjustRightInd w:val="0"/>
              <w:snapToGrid w:val="0"/>
              <w:spacing w:beforeLines="50" w:before="156" w:afterLines="50" w:after="156"/>
              <w:jc w:val="left"/>
              <w:rPr>
                <w:rFonts w:ascii="宋体" w:eastAsia="宋体" w:hAnsi="宋体" w:cs="USHEHF+ËÎÌå" w:hint="eastAsia"/>
                <w:color w:val="000000"/>
                <w:sz w:val="24"/>
                <w:lang w:val="ru-RU"/>
              </w:rPr>
            </w:pPr>
            <w:bookmarkStart w:id="0" w:name="OLE_LINK1"/>
            <w:r>
              <w:rPr>
                <w:rFonts w:ascii="宋体" w:eastAsia="宋体" w:hAnsi="宋体" w:cs="USHEHF+ËÎÌå" w:hint="eastAsia"/>
                <w:color w:val="000000"/>
                <w:sz w:val="24"/>
                <w:lang w:val="ru-RU"/>
              </w:rPr>
              <w:t>□</w:t>
            </w:r>
            <w:bookmarkEnd w:id="0"/>
            <w:r>
              <w:rPr>
                <w:rFonts w:ascii="宋体" w:eastAsia="宋体" w:hAnsi="宋体" w:cs="USHEHF+ËÎÌå" w:hint="eastAsia"/>
                <w:color w:val="000000"/>
                <w:sz w:val="24"/>
                <w:lang w:val="ru-RU"/>
              </w:rPr>
              <w:t>媒体采访                       □业绩说明会</w:t>
            </w:r>
          </w:p>
          <w:p w14:paraId="60AFDE02" w14:textId="77777777" w:rsidR="00E2048E" w:rsidRDefault="00E2048E" w:rsidP="00E2048E">
            <w:pPr>
              <w:wordWrap w:val="0"/>
              <w:autoSpaceDE w:val="0"/>
              <w:autoSpaceDN w:val="0"/>
              <w:adjustRightInd w:val="0"/>
              <w:snapToGrid w:val="0"/>
              <w:spacing w:beforeLines="50" w:before="156" w:afterLines="50" w:after="156"/>
              <w:jc w:val="left"/>
              <w:rPr>
                <w:rFonts w:ascii="宋体" w:eastAsia="宋体" w:hAnsi="宋体" w:cs="USHEHF+ËÎÌå" w:hint="eastAsia"/>
                <w:color w:val="000000"/>
                <w:sz w:val="24"/>
                <w:lang w:val="ru-RU"/>
              </w:rPr>
            </w:pPr>
            <w:r>
              <w:rPr>
                <w:rFonts w:ascii="宋体" w:eastAsia="宋体" w:hAnsi="宋体" w:cs="USHEHF+ËÎÌå" w:hint="eastAsia"/>
                <w:color w:val="000000"/>
                <w:sz w:val="24"/>
                <w:lang w:val="ru-RU"/>
              </w:rPr>
              <w:t>□新闻发布会                     □路演活动</w:t>
            </w:r>
          </w:p>
          <w:p w14:paraId="55E4D76E" w14:textId="77777777" w:rsidR="00E2048E" w:rsidRDefault="00E2048E" w:rsidP="00E2048E">
            <w:pPr>
              <w:wordWrap w:val="0"/>
              <w:autoSpaceDE w:val="0"/>
              <w:autoSpaceDN w:val="0"/>
              <w:adjustRightInd w:val="0"/>
              <w:snapToGrid w:val="0"/>
              <w:spacing w:beforeLines="50" w:before="156" w:afterLines="50" w:after="156"/>
              <w:jc w:val="left"/>
              <w:rPr>
                <w:rFonts w:ascii="宋体" w:eastAsia="宋体" w:hAnsi="宋体" w:cs="USHEHF+ËÎÌå" w:hint="eastAsia"/>
                <w:color w:val="000000"/>
                <w:sz w:val="24"/>
                <w:lang w:val="ru-RU"/>
              </w:rPr>
            </w:pPr>
            <w:r>
              <w:rPr>
                <w:rFonts w:ascii="宋体" w:eastAsia="宋体" w:hAnsi="宋体" w:cs="USHEHF+ËÎÌå" w:hint="eastAsia"/>
                <w:color w:val="000000"/>
                <w:sz w:val="24"/>
                <w:lang w:val="ru-RU"/>
              </w:rPr>
              <w:t>□现场参观</w:t>
            </w:r>
          </w:p>
          <w:p w14:paraId="1D6BDB46" w14:textId="47297598" w:rsidR="00634EE0" w:rsidRDefault="00E2048E" w:rsidP="00E2048E">
            <w:pPr>
              <w:wordWrap w:val="0"/>
              <w:autoSpaceDE w:val="0"/>
              <w:autoSpaceDN w:val="0"/>
              <w:adjustRightInd w:val="0"/>
              <w:snapToGrid w:val="0"/>
              <w:spacing w:beforeLines="50" w:before="156" w:afterLines="50" w:after="156"/>
              <w:jc w:val="left"/>
              <w:rPr>
                <w:rFonts w:ascii="宋体" w:eastAsia="宋体" w:hAnsi="宋体" w:cs="USHEHF+ËÎÌå" w:hint="eastAsia"/>
                <w:color w:val="000000"/>
                <w:sz w:val="24"/>
                <w:u w:val="single"/>
              </w:rPr>
            </w:pPr>
            <w:r>
              <w:rPr>
                <w:rFonts w:ascii="Segoe UI Symbol" w:eastAsia="宋体" w:hAnsi="Segoe UI Symbol" w:cs="Segoe UI Symbol" w:hint="eastAsia"/>
                <w:color w:val="000000"/>
                <w:sz w:val="24"/>
                <w:lang w:val="ru-RU"/>
              </w:rPr>
              <w:t>□</w:t>
            </w:r>
            <w:r>
              <w:rPr>
                <w:rFonts w:ascii="宋体" w:eastAsia="宋体" w:hAnsi="宋体" w:cs="宋体" w:hint="eastAsia"/>
                <w:color w:val="000000"/>
                <w:sz w:val="24"/>
                <w:lang w:val="ru-RU"/>
              </w:rPr>
              <w:t>其他：</w:t>
            </w:r>
            <w:r>
              <w:rPr>
                <w:rFonts w:ascii="宋体" w:eastAsia="宋体" w:hAnsi="宋体" w:cs="USHEHF+ËÎÌå" w:hint="eastAsia"/>
                <w:color w:val="000000"/>
                <w:sz w:val="24"/>
                <w:u w:val="single"/>
                <w:lang w:val="ru-RU"/>
              </w:rPr>
              <w:t xml:space="preserve"> </w:t>
            </w:r>
            <w:r>
              <w:rPr>
                <w:rFonts w:ascii="宋体" w:eastAsia="宋体" w:hAnsi="宋体" w:cs="USHEHF+ËÎÌå" w:hint="eastAsia"/>
                <w:color w:val="000000"/>
                <w:sz w:val="24"/>
                <w:u w:val="single"/>
              </w:rPr>
              <w:t xml:space="preserve">     </w:t>
            </w:r>
          </w:p>
        </w:tc>
      </w:tr>
      <w:tr w:rsidR="00634EE0" w14:paraId="7CE712B0" w14:textId="77777777" w:rsidTr="00244E0A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D9586" w14:textId="15CBCA85" w:rsidR="00634EE0" w:rsidRDefault="00000000">
            <w:pPr>
              <w:widowControl/>
              <w:wordWrap w:val="0"/>
              <w:adjustRightInd w:val="0"/>
              <w:snapToGrid w:val="0"/>
              <w:spacing w:before="120" w:line="360" w:lineRule="auto"/>
              <w:jc w:val="center"/>
              <w:rPr>
                <w:rFonts w:ascii="宋体" w:eastAsia="宋体" w:hAnsi="宋体" w:cs="USHEHF+ËÎÌå" w:hint="eastAsia"/>
                <w:color w:val="000000"/>
                <w:sz w:val="24"/>
                <w:lang w:val="ru-RU"/>
              </w:rPr>
            </w:pPr>
            <w:r>
              <w:rPr>
                <w:rFonts w:ascii="宋体" w:eastAsia="宋体" w:hAnsi="宋体" w:cs="USHEHF+ËÎÌå" w:hint="eastAsia"/>
                <w:color w:val="000000"/>
                <w:sz w:val="24"/>
                <w:lang w:val="ru-RU"/>
              </w:rPr>
              <w:t>参与</w:t>
            </w:r>
            <w:r>
              <w:rPr>
                <w:rFonts w:ascii="宋体" w:eastAsia="宋体" w:hAnsi="宋体" w:cs="Times New Roman" w:hint="eastAsia"/>
                <w:sz w:val="24"/>
                <w:szCs w:val="24"/>
                <w:lang w:val="ru-RU"/>
              </w:rPr>
              <w:t>单位</w:t>
            </w:r>
            <w:r>
              <w:rPr>
                <w:rFonts w:ascii="宋体" w:eastAsia="宋体" w:hAnsi="宋体" w:cs="USHEHF+ËÎÌå" w:hint="eastAsia"/>
                <w:color w:val="000000"/>
                <w:sz w:val="24"/>
                <w:lang w:val="ru-RU"/>
              </w:rPr>
              <w:t>名称及人员姓名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8A31C" w14:textId="77777777" w:rsidR="00E2048E" w:rsidRDefault="004055B3" w:rsidP="002F0A0A">
            <w:pPr>
              <w:spacing w:line="360" w:lineRule="auto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国泰安保基金</w:t>
            </w:r>
            <w:r w:rsidRPr="00A32163">
              <w:rPr>
                <w:rFonts w:ascii="宋体" w:eastAsia="宋体" w:hAnsi="宋体"/>
                <w:sz w:val="24"/>
                <w:szCs w:val="24"/>
              </w:rPr>
              <w:t>郭泳驿、宋易璐、张琦、季天华</w:t>
            </w:r>
            <w:r w:rsidR="002F0A0A">
              <w:rPr>
                <w:rFonts w:ascii="宋体" w:eastAsia="宋体" w:hAnsi="宋体" w:hint="eastAsia"/>
                <w:sz w:val="24"/>
                <w:szCs w:val="24"/>
              </w:rPr>
              <w:t>；</w:t>
            </w:r>
          </w:p>
          <w:p w14:paraId="216C3114" w14:textId="2365CE44" w:rsidR="00E2048E" w:rsidRDefault="004055B3" w:rsidP="002F0A0A">
            <w:pPr>
              <w:spacing w:line="360" w:lineRule="auto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中信建投巩万龙</w:t>
            </w:r>
            <w:r w:rsidR="002F0A0A">
              <w:rPr>
                <w:rFonts w:ascii="宋体" w:eastAsia="宋体" w:hAnsi="宋体" w:hint="eastAsia"/>
                <w:sz w:val="24"/>
                <w:szCs w:val="24"/>
              </w:rPr>
              <w:t>；</w:t>
            </w:r>
            <w:r w:rsidR="00E2048E">
              <w:rPr>
                <w:rFonts w:ascii="宋体" w:eastAsia="宋体" w:hAnsi="宋体" w:hint="eastAsia"/>
                <w:sz w:val="24"/>
                <w:szCs w:val="24"/>
              </w:rPr>
              <w:t xml:space="preserve">           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农银汇理</w:t>
            </w:r>
            <w:r w:rsidR="00A32163" w:rsidRPr="00A32163">
              <w:rPr>
                <w:rFonts w:ascii="宋体" w:eastAsia="宋体" w:hAnsi="宋体"/>
                <w:sz w:val="24"/>
                <w:szCs w:val="24"/>
              </w:rPr>
              <w:t>陈宇泽</w:t>
            </w:r>
            <w:r w:rsidR="002F0A0A">
              <w:rPr>
                <w:rFonts w:ascii="宋体" w:eastAsia="宋体" w:hAnsi="宋体" w:hint="eastAsia"/>
                <w:sz w:val="24"/>
                <w:szCs w:val="24"/>
              </w:rPr>
              <w:t>；</w:t>
            </w:r>
          </w:p>
          <w:p w14:paraId="1DCDD813" w14:textId="2874C993" w:rsidR="00FD3B09" w:rsidRPr="004055B3" w:rsidRDefault="004055B3" w:rsidP="00E2048E">
            <w:pPr>
              <w:spacing w:line="360" w:lineRule="auto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华源证券</w:t>
            </w:r>
            <w:r w:rsidR="00A32163" w:rsidRPr="00A32163">
              <w:rPr>
                <w:rFonts w:ascii="宋体" w:eastAsia="宋体" w:hAnsi="宋体"/>
                <w:sz w:val="24"/>
                <w:szCs w:val="24"/>
              </w:rPr>
              <w:t>李佳骏</w:t>
            </w:r>
            <w:r w:rsidR="002F0A0A">
              <w:rPr>
                <w:rFonts w:ascii="宋体" w:eastAsia="宋体" w:hAnsi="宋体" w:hint="eastAsia"/>
                <w:sz w:val="24"/>
                <w:szCs w:val="24"/>
              </w:rPr>
              <w:t>；</w:t>
            </w:r>
            <w:r w:rsidR="00E2048E">
              <w:rPr>
                <w:rFonts w:ascii="宋体" w:eastAsia="宋体" w:hAnsi="宋体" w:hint="eastAsia"/>
                <w:sz w:val="24"/>
                <w:szCs w:val="24"/>
              </w:rPr>
              <w:t xml:space="preserve">           </w:t>
            </w:r>
            <w:r w:rsidR="00FD3B09" w:rsidRPr="00FD3B09">
              <w:rPr>
                <w:rFonts w:ascii="宋体" w:eastAsia="宋体" w:hAnsi="宋体"/>
                <w:sz w:val="24"/>
                <w:szCs w:val="24"/>
              </w:rPr>
              <w:t>前海人寿吴锡雄</w:t>
            </w:r>
          </w:p>
        </w:tc>
      </w:tr>
      <w:tr w:rsidR="00634EE0" w:rsidRPr="00DA0651" w14:paraId="6001D018" w14:textId="77777777" w:rsidTr="00244E0A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4D635" w14:textId="77777777" w:rsidR="00634EE0" w:rsidRDefault="00000000">
            <w:pPr>
              <w:widowControl/>
              <w:wordWrap w:val="0"/>
              <w:adjustRightInd w:val="0"/>
              <w:snapToGrid w:val="0"/>
              <w:spacing w:before="120" w:line="360" w:lineRule="auto"/>
              <w:jc w:val="center"/>
              <w:rPr>
                <w:rFonts w:ascii="宋体" w:eastAsia="宋体" w:hAnsi="宋体" w:cs="Times New Roman" w:hint="eastAsia"/>
                <w:sz w:val="22"/>
                <w:lang w:val="ru-RU"/>
              </w:rPr>
            </w:pPr>
            <w:r>
              <w:rPr>
                <w:rFonts w:ascii="宋体" w:eastAsia="宋体" w:hAnsi="宋体" w:cs="USHEHF+ËÎÌå" w:hint="eastAsia"/>
                <w:color w:val="000000"/>
                <w:sz w:val="24"/>
                <w:lang w:val="ru-RU"/>
              </w:rPr>
              <w:t>时间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A9B39" w14:textId="553BA8CF" w:rsidR="00634EE0" w:rsidRPr="00D35A7E" w:rsidRDefault="00641E8D">
            <w:pPr>
              <w:widowControl/>
              <w:wordWrap w:val="0"/>
              <w:adjustRightInd w:val="0"/>
              <w:spacing w:before="120" w:after="240"/>
              <w:jc w:val="left"/>
              <w:rPr>
                <w:rFonts w:ascii="Times New Roman" w:eastAsia="宋体" w:hAnsi="Times New Roman" w:cs="Times New Roman"/>
                <w:sz w:val="24"/>
                <w:szCs w:val="24"/>
                <w:lang w:val="ru-RU"/>
              </w:rPr>
            </w:pPr>
            <w:r w:rsidRPr="00D35A7E">
              <w:rPr>
                <w:rFonts w:ascii="Times New Roman" w:eastAsia="宋体" w:hAnsi="Times New Roman" w:cs="Times New Roman"/>
                <w:sz w:val="24"/>
                <w:szCs w:val="24"/>
                <w:lang w:val="ru-RU"/>
              </w:rPr>
              <w:t>202</w:t>
            </w:r>
            <w:r w:rsidR="00994BFD">
              <w:rPr>
                <w:rFonts w:ascii="Times New Roman" w:eastAsia="宋体" w:hAnsi="Times New Roman" w:cs="Times New Roman" w:hint="eastAsia"/>
                <w:sz w:val="24"/>
                <w:szCs w:val="24"/>
                <w:lang w:val="ru-RU"/>
              </w:rPr>
              <w:t>6</w:t>
            </w:r>
            <w:r w:rsidRPr="00641E8D">
              <w:rPr>
                <w:rFonts w:ascii="Times New Roman" w:eastAsia="宋体" w:hAnsi="Times New Roman" w:cs="Times New Roman"/>
                <w:sz w:val="24"/>
                <w:szCs w:val="24"/>
              </w:rPr>
              <w:t>年</w:t>
            </w:r>
            <w:r w:rsidR="00994BFD" w:rsidRPr="00994BFD">
              <w:rPr>
                <w:rFonts w:ascii="Times New Roman" w:eastAsia="宋体" w:hAnsi="Times New Roman" w:cs="Times New Roman" w:hint="eastAsia"/>
                <w:sz w:val="24"/>
                <w:szCs w:val="24"/>
                <w:lang w:val="ru-RU"/>
              </w:rPr>
              <w:t>0</w:t>
            </w:r>
            <w:r w:rsidR="00A32163">
              <w:rPr>
                <w:rFonts w:ascii="Times New Roman" w:eastAsia="宋体" w:hAnsi="Times New Roman" w:cs="Times New Roman" w:hint="eastAsia"/>
                <w:sz w:val="24"/>
                <w:szCs w:val="24"/>
                <w:lang w:val="ru-RU"/>
              </w:rPr>
              <w:t>6</w:t>
            </w:r>
            <w:r w:rsidRPr="00641E8D">
              <w:rPr>
                <w:rFonts w:ascii="Times New Roman" w:eastAsia="宋体" w:hAnsi="Times New Roman" w:cs="Times New Roman"/>
                <w:sz w:val="24"/>
                <w:szCs w:val="24"/>
              </w:rPr>
              <w:t>月</w:t>
            </w:r>
            <w:r w:rsidR="00A32163" w:rsidRPr="00FB3D64">
              <w:rPr>
                <w:rFonts w:ascii="Times New Roman" w:eastAsia="宋体" w:hAnsi="Times New Roman" w:cs="Times New Roman" w:hint="eastAsia"/>
                <w:sz w:val="24"/>
                <w:szCs w:val="24"/>
                <w:lang w:val="ru-RU"/>
              </w:rPr>
              <w:t>30</w:t>
            </w:r>
            <w:r w:rsidRPr="00641E8D">
              <w:rPr>
                <w:rFonts w:ascii="Times New Roman" w:eastAsia="宋体" w:hAnsi="Times New Roman" w:cs="Times New Roman"/>
                <w:sz w:val="24"/>
                <w:szCs w:val="24"/>
              </w:rPr>
              <w:t>日</w:t>
            </w:r>
            <w:r w:rsidR="00D35A7E" w:rsidRPr="00D35A7E">
              <w:rPr>
                <w:rFonts w:ascii="Times New Roman" w:eastAsia="宋体" w:hAnsi="Times New Roman" w:cs="Times New Roman" w:hint="eastAsia"/>
                <w:sz w:val="24"/>
                <w:szCs w:val="24"/>
                <w:lang w:val="ru-RU"/>
              </w:rPr>
              <w:t>（</w:t>
            </w:r>
            <w:r w:rsidR="00D35A7E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星期</w:t>
            </w:r>
            <w:r w:rsidR="00A32163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二</w:t>
            </w:r>
            <w:r w:rsidR="00D35A7E" w:rsidRPr="00D35A7E">
              <w:rPr>
                <w:rFonts w:ascii="Times New Roman" w:eastAsia="宋体" w:hAnsi="Times New Roman" w:cs="Times New Roman" w:hint="eastAsia"/>
                <w:sz w:val="24"/>
                <w:szCs w:val="24"/>
                <w:lang w:val="ru-RU"/>
              </w:rPr>
              <w:t>）</w:t>
            </w:r>
            <w:r w:rsidR="00A32163">
              <w:rPr>
                <w:rFonts w:ascii="Times New Roman" w:eastAsia="宋体" w:hAnsi="Times New Roman" w:cs="Times New Roman" w:hint="eastAsia"/>
                <w:sz w:val="24"/>
                <w:szCs w:val="24"/>
                <w:lang w:val="ru-RU"/>
              </w:rPr>
              <w:t>上</w:t>
            </w:r>
            <w:r w:rsidR="00D35A7E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午</w:t>
            </w:r>
            <w:r w:rsidR="00D35A7E" w:rsidRPr="00D35A7E">
              <w:rPr>
                <w:rFonts w:ascii="Times New Roman" w:eastAsia="宋体" w:hAnsi="Times New Roman" w:cs="Times New Roman" w:hint="eastAsia"/>
                <w:sz w:val="24"/>
                <w:szCs w:val="24"/>
                <w:lang w:val="ru-RU"/>
              </w:rPr>
              <w:t>1</w:t>
            </w:r>
            <w:r w:rsidR="00A32163">
              <w:rPr>
                <w:rFonts w:ascii="Times New Roman" w:eastAsia="宋体" w:hAnsi="Times New Roman" w:cs="Times New Roman" w:hint="eastAsia"/>
                <w:sz w:val="24"/>
                <w:szCs w:val="24"/>
                <w:lang w:val="ru-RU"/>
              </w:rPr>
              <w:t>0</w:t>
            </w:r>
            <w:r w:rsidR="00D35A7E">
              <w:rPr>
                <w:rFonts w:ascii="Times New Roman" w:eastAsia="宋体" w:hAnsi="Times New Roman" w:cs="Times New Roman" w:hint="eastAsia"/>
                <w:sz w:val="24"/>
                <w:szCs w:val="24"/>
                <w:lang w:val="ru-RU"/>
              </w:rPr>
              <w:t>:00-1</w:t>
            </w:r>
            <w:r w:rsidR="002F0A0A">
              <w:rPr>
                <w:rFonts w:ascii="Times New Roman" w:eastAsia="宋体" w:hAnsi="Times New Roman" w:cs="Times New Roman" w:hint="eastAsia"/>
                <w:sz w:val="24"/>
                <w:szCs w:val="24"/>
                <w:lang w:val="ru-RU"/>
              </w:rPr>
              <w:t>1</w:t>
            </w:r>
            <w:r w:rsidR="00D35A7E">
              <w:rPr>
                <w:rFonts w:ascii="Times New Roman" w:eastAsia="宋体" w:hAnsi="Times New Roman" w:cs="Times New Roman" w:hint="eastAsia"/>
                <w:sz w:val="24"/>
                <w:szCs w:val="24"/>
                <w:lang w:val="ru-RU"/>
              </w:rPr>
              <w:t>:</w:t>
            </w:r>
            <w:r w:rsidR="002F0A0A">
              <w:rPr>
                <w:rFonts w:ascii="Times New Roman" w:eastAsia="宋体" w:hAnsi="Times New Roman" w:cs="Times New Roman" w:hint="eastAsia"/>
                <w:sz w:val="24"/>
                <w:szCs w:val="24"/>
                <w:lang w:val="ru-RU"/>
              </w:rPr>
              <w:t>3</w:t>
            </w:r>
            <w:r w:rsidR="00D35A7E">
              <w:rPr>
                <w:rFonts w:ascii="Times New Roman" w:eastAsia="宋体" w:hAnsi="Times New Roman" w:cs="Times New Roman" w:hint="eastAsia"/>
                <w:sz w:val="24"/>
                <w:szCs w:val="24"/>
                <w:lang w:val="ru-RU"/>
              </w:rPr>
              <w:t>0</w:t>
            </w:r>
          </w:p>
        </w:tc>
      </w:tr>
      <w:tr w:rsidR="00634EE0" w14:paraId="7F727A96" w14:textId="77777777" w:rsidTr="00244E0A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90242" w14:textId="77777777" w:rsidR="00634EE0" w:rsidRDefault="00000000">
            <w:pPr>
              <w:widowControl/>
              <w:wordWrap w:val="0"/>
              <w:adjustRightInd w:val="0"/>
              <w:snapToGrid w:val="0"/>
              <w:spacing w:before="120" w:line="360" w:lineRule="auto"/>
              <w:jc w:val="center"/>
              <w:rPr>
                <w:rFonts w:ascii="宋体" w:eastAsia="宋体" w:hAnsi="宋体" w:cs="Times New Roman" w:hint="eastAsia"/>
                <w:sz w:val="22"/>
                <w:lang w:val="ru-RU"/>
              </w:rPr>
            </w:pPr>
            <w:r>
              <w:rPr>
                <w:rFonts w:ascii="宋体" w:eastAsia="宋体" w:hAnsi="宋体" w:cs="USHEHF+ËÎÌå" w:hint="eastAsia"/>
                <w:color w:val="000000"/>
                <w:sz w:val="24"/>
                <w:lang w:val="ru-RU"/>
              </w:rPr>
              <w:t>地点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87A23" w14:textId="04A1CDF7" w:rsidR="00634EE0" w:rsidRDefault="005B65EF">
            <w:pPr>
              <w:wordWrap w:val="0"/>
              <w:autoSpaceDE w:val="0"/>
              <w:autoSpaceDN w:val="0"/>
              <w:adjustRightInd w:val="0"/>
              <w:snapToGrid w:val="0"/>
              <w:spacing w:line="276" w:lineRule="auto"/>
              <w:jc w:val="left"/>
              <w:rPr>
                <w:rFonts w:ascii="宋体" w:eastAsia="宋体" w:hAnsi="宋体" w:cstheme="minorEastAsia" w:hint="eastAsia"/>
                <w:sz w:val="24"/>
                <w:szCs w:val="24"/>
              </w:rPr>
            </w:pPr>
            <w:r w:rsidRPr="005B65EF">
              <w:rPr>
                <w:rFonts w:ascii="宋体" w:eastAsia="宋体" w:hAnsi="宋体" w:cstheme="minorEastAsia" w:hint="eastAsia"/>
                <w:sz w:val="24"/>
                <w:szCs w:val="24"/>
              </w:rPr>
              <w:t>肯特科技</w:t>
            </w:r>
            <w:r>
              <w:rPr>
                <w:rFonts w:ascii="宋体" w:eastAsia="宋体" w:hAnsi="宋体" w:cstheme="minorEastAsia" w:hint="eastAsia"/>
                <w:sz w:val="24"/>
                <w:szCs w:val="24"/>
              </w:rPr>
              <w:t>会议室</w:t>
            </w:r>
          </w:p>
        </w:tc>
      </w:tr>
      <w:tr w:rsidR="00634EE0" w14:paraId="7BB45109" w14:textId="77777777" w:rsidTr="00244E0A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390F8" w14:textId="52FAADBB" w:rsidR="00634EE0" w:rsidRDefault="00832C04" w:rsidP="00832C04">
            <w:pPr>
              <w:widowControl/>
              <w:wordWrap w:val="0"/>
              <w:adjustRightInd w:val="0"/>
              <w:snapToGrid w:val="0"/>
              <w:spacing w:line="360" w:lineRule="auto"/>
              <w:jc w:val="center"/>
              <w:rPr>
                <w:rFonts w:ascii="宋体" w:eastAsia="宋体" w:hAnsi="宋体" w:cs="Times New Roman" w:hint="eastAsia"/>
                <w:sz w:val="22"/>
                <w:lang w:val="ru-RU"/>
              </w:rPr>
            </w:pPr>
            <w:r>
              <w:rPr>
                <w:rFonts w:ascii="宋体" w:eastAsia="宋体" w:hAnsi="宋体" w:cs="USHEHF+ËÎÌå" w:hint="eastAsia"/>
                <w:color w:val="000000"/>
                <w:sz w:val="24"/>
                <w:lang w:val="ru-RU"/>
              </w:rPr>
              <w:t>上市公司接待人员姓名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243AC" w14:textId="77777777" w:rsidR="00634EE0" w:rsidRDefault="005B65EF">
            <w:pPr>
              <w:wordWrap w:val="0"/>
              <w:autoSpaceDE w:val="0"/>
              <w:autoSpaceDN w:val="0"/>
              <w:spacing w:line="360" w:lineRule="auto"/>
              <w:jc w:val="left"/>
              <w:rPr>
                <w:rFonts w:ascii="宋体" w:eastAsia="宋体" w:hAnsi="宋体" w:cs="USHEHF+ËÎÌå" w:hint="eastAsia"/>
                <w:color w:val="000000"/>
                <w:sz w:val="24"/>
                <w:szCs w:val="24"/>
                <w:lang w:val="ru-RU"/>
              </w:rPr>
            </w:pPr>
            <w:r>
              <w:rPr>
                <w:rFonts w:ascii="宋体" w:eastAsia="宋体" w:hAnsi="宋体" w:cs="USHEHF+ËÎÌå" w:hint="eastAsia"/>
                <w:color w:val="000000"/>
                <w:sz w:val="24"/>
                <w:szCs w:val="24"/>
                <w:lang w:val="ru-RU"/>
              </w:rPr>
              <w:t>董事会秘书：张志明</w:t>
            </w:r>
          </w:p>
          <w:p w14:paraId="6088D084" w14:textId="6CC7E743" w:rsidR="008D5B0B" w:rsidRDefault="005B65EF">
            <w:pPr>
              <w:wordWrap w:val="0"/>
              <w:autoSpaceDE w:val="0"/>
              <w:autoSpaceDN w:val="0"/>
              <w:spacing w:line="360" w:lineRule="auto"/>
              <w:jc w:val="left"/>
              <w:rPr>
                <w:rFonts w:ascii="宋体" w:eastAsia="宋体" w:hAnsi="宋体" w:cs="USHEHF+ËÎÌå" w:hint="eastAsia"/>
                <w:color w:val="000000"/>
                <w:sz w:val="24"/>
                <w:szCs w:val="24"/>
                <w:lang w:val="ru-RU"/>
              </w:rPr>
            </w:pPr>
            <w:r w:rsidRPr="005B65EF">
              <w:rPr>
                <w:rFonts w:ascii="宋体" w:eastAsia="宋体" w:hAnsi="宋体" w:cs="USHEHF+ËÎÌå" w:hint="eastAsia"/>
                <w:color w:val="000000"/>
                <w:sz w:val="24"/>
                <w:szCs w:val="24"/>
                <w:lang w:val="ru-RU"/>
              </w:rPr>
              <w:t>肯特科技总经理</w:t>
            </w:r>
            <w:r>
              <w:rPr>
                <w:rFonts w:ascii="宋体" w:eastAsia="宋体" w:hAnsi="宋体" w:cs="USHEHF+ËÎÌå" w:hint="eastAsia"/>
                <w:color w:val="000000"/>
                <w:sz w:val="24"/>
                <w:szCs w:val="24"/>
                <w:lang w:val="ru-RU"/>
              </w:rPr>
              <w:t>：杨建锋</w:t>
            </w:r>
          </w:p>
        </w:tc>
      </w:tr>
      <w:tr w:rsidR="00634EE0" w14:paraId="4894BBAD" w14:textId="77777777" w:rsidTr="00244E0A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A00BE" w14:textId="75E7C402" w:rsidR="00634EE0" w:rsidRDefault="00000000" w:rsidP="00832C04">
            <w:pPr>
              <w:widowControl/>
              <w:wordWrap w:val="0"/>
              <w:adjustRightInd w:val="0"/>
              <w:snapToGrid w:val="0"/>
              <w:spacing w:before="120" w:line="360" w:lineRule="auto"/>
              <w:jc w:val="center"/>
              <w:rPr>
                <w:rFonts w:ascii="宋体" w:eastAsia="宋体" w:hAnsi="宋体" w:cs="Times New Roman" w:hint="eastAsia"/>
                <w:color w:val="000000"/>
                <w:sz w:val="24"/>
                <w:lang w:val="ru-RU"/>
              </w:rPr>
            </w:pPr>
            <w:r>
              <w:rPr>
                <w:rFonts w:ascii="宋体" w:eastAsia="宋体" w:hAnsi="宋体" w:cs="等线" w:hint="eastAsia"/>
                <w:color w:val="000000"/>
                <w:sz w:val="24"/>
                <w:lang w:val="ru-RU"/>
              </w:rPr>
              <w:t>投资者关系活动主要内容介绍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D8392" w14:textId="145A00AA" w:rsidR="00F04EE8" w:rsidRPr="007C75FF" w:rsidRDefault="00F04EE8" w:rsidP="00F04EE8">
            <w:pPr>
              <w:widowControl/>
              <w:spacing w:line="360" w:lineRule="auto"/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</w:pPr>
            <w:r w:rsidRPr="007C75FF"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  <w:t>一、基本情况介绍</w:t>
            </w:r>
          </w:p>
          <w:p w14:paraId="1D0E3C22" w14:textId="182A54D2" w:rsidR="00E352E6" w:rsidRPr="007C75FF" w:rsidRDefault="00F8245A" w:rsidP="00C51686">
            <w:pPr>
              <w:widowControl/>
              <w:spacing w:line="360" w:lineRule="auto"/>
              <w:ind w:firstLineChars="200" w:firstLine="48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bookmarkStart w:id="1" w:name="OLE_LINK3"/>
            <w:r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公司</w:t>
            </w:r>
            <w:bookmarkEnd w:id="1"/>
            <w:r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成立于</w:t>
            </w:r>
            <w:r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2009</w:t>
            </w:r>
            <w:r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年，总部</w:t>
            </w:r>
            <w:r w:rsidR="00211364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位于</w:t>
            </w:r>
            <w:r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浙江省</w:t>
            </w:r>
            <w:r w:rsidR="00E352E6"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，</w:t>
            </w:r>
            <w:r w:rsidR="00C51686"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是一家</w:t>
            </w:r>
            <w:r w:rsidR="00E352E6"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专注</w:t>
            </w:r>
            <w:r w:rsidR="00C51686"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季铵（鏻）化合物研发、生产和销售的高新技术企业</w:t>
            </w:r>
            <w:r w:rsidR="00E352E6"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。</w:t>
            </w:r>
          </w:p>
          <w:p w14:paraId="6DFE1339" w14:textId="7F6F1B72" w:rsidR="00CB6A4A" w:rsidRPr="007C75FF" w:rsidRDefault="00CB6A4A" w:rsidP="00CB6A4A">
            <w:pPr>
              <w:widowControl/>
              <w:spacing w:line="360" w:lineRule="auto"/>
              <w:ind w:firstLineChars="200" w:firstLine="48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公司</w:t>
            </w:r>
            <w:r w:rsidR="00211364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核心产品覆盖</w:t>
            </w:r>
            <w:r w:rsidR="00C51686"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季铵盐、季铵碱、季鏻盐、冠醚四大系列</w:t>
            </w:r>
            <w:r w:rsidR="00211364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，</w:t>
            </w:r>
            <w:r w:rsidR="00C51686"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产品</w:t>
            </w:r>
            <w:r w:rsidR="00211364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广泛应用于</w:t>
            </w:r>
            <w:r w:rsidR="00C51686"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精细化工、分子筛、高分子材料、电池电解液、油田化学品</w:t>
            </w:r>
            <w:r w:rsidR="00AA702B"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、电子化学品</w:t>
            </w:r>
            <w:r w:rsidR="00C51686"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等领域</w:t>
            </w:r>
            <w:r w:rsidR="00E352E6"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，为下游</w:t>
            </w:r>
            <w:r w:rsidR="00C51686"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客户提供</w:t>
            </w:r>
            <w:r w:rsidR="00E352E6"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高品质的</w:t>
            </w:r>
            <w:r w:rsidR="00C51686"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产品</w:t>
            </w:r>
            <w:r w:rsidR="00E352E6"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与全方位的</w:t>
            </w:r>
            <w:r w:rsidR="00C51686"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服务。</w:t>
            </w:r>
          </w:p>
          <w:p w14:paraId="11DAAE32" w14:textId="45989032" w:rsidR="006B4E2A" w:rsidRPr="007C75FF" w:rsidRDefault="007C75FF" w:rsidP="006B4E2A">
            <w:pPr>
              <w:widowControl/>
              <w:spacing w:line="360" w:lineRule="auto"/>
              <w:ind w:firstLineChars="200" w:firstLine="48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依托</w:t>
            </w:r>
            <w:r w:rsidR="00211364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长期</w:t>
            </w:r>
            <w:r w:rsidR="006B4E2A"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技术</w:t>
            </w:r>
            <w:r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深耕与</w:t>
            </w:r>
            <w:r w:rsidR="006B4E2A"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产业化</w:t>
            </w:r>
            <w:r w:rsidR="00211364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实践</w:t>
            </w:r>
            <w:r w:rsidR="006B4E2A"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，公司产品应用</w:t>
            </w:r>
            <w:r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场景持续</w:t>
            </w:r>
            <w:r w:rsidR="006B4E2A"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拓</w:t>
            </w:r>
            <w:r w:rsidR="00211364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宽</w:t>
            </w:r>
            <w:r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：</w:t>
            </w:r>
            <w:r w:rsidR="006B4E2A"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从相转移催化剂</w:t>
            </w:r>
            <w:r w:rsidR="00211364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为业务起点</w:t>
            </w:r>
            <w:r w:rsidR="00E352E6"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，</w:t>
            </w:r>
            <w:r w:rsidR="00211364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现已</w:t>
            </w:r>
            <w:r w:rsidR="006B4E2A"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逐步延伸至分子筛模板剂、固化促进剂、电解液添加剂、电子化学品等多</w:t>
            </w:r>
            <w:r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元</w:t>
            </w:r>
            <w:r w:rsidR="00E352E6"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领域</w:t>
            </w:r>
            <w:r w:rsidR="006B4E2A"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，实现产品结构的优化</w:t>
            </w:r>
            <w:r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升级</w:t>
            </w:r>
            <w:r w:rsidR="00211364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、</w:t>
            </w:r>
            <w:r w:rsidR="006B4E2A"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应用</w:t>
            </w:r>
            <w:r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边界</w:t>
            </w:r>
            <w:r w:rsidR="00211364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持续扩张</w:t>
            </w:r>
            <w:r w:rsidR="00E352E6"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，市场</w:t>
            </w:r>
            <w:r w:rsidR="00211364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综合</w:t>
            </w:r>
            <w:r w:rsidR="00E352E6"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竞争力</w:t>
            </w:r>
            <w:r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稳步</w:t>
            </w:r>
            <w:r w:rsidR="00211364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提升</w:t>
            </w:r>
            <w:r w:rsidR="006B4E2A"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。</w:t>
            </w:r>
          </w:p>
          <w:p w14:paraId="2CC269BC" w14:textId="4C709FF2" w:rsidR="00211364" w:rsidRDefault="00211364" w:rsidP="00211364">
            <w:pPr>
              <w:widowControl/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（一）研发创新布局</w:t>
            </w:r>
          </w:p>
          <w:p w14:paraId="5F6686AC" w14:textId="085E8744" w:rsidR="0000779B" w:rsidRDefault="0000779B" w:rsidP="0000779B">
            <w:pPr>
              <w:widowControl/>
              <w:spacing w:line="360" w:lineRule="auto"/>
              <w:ind w:firstLineChars="200" w:firstLine="48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lastRenderedPageBreak/>
              <w:t>技术研发方面，公司</w:t>
            </w:r>
            <w:r w:rsidR="00211364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推行</w:t>
            </w:r>
            <w:r w:rsidR="00E352E6"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与客户并行研发</w:t>
            </w:r>
            <w:r w:rsidR="00211364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的</w:t>
            </w:r>
            <w:r w:rsidR="00E352E6"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策略，</w:t>
            </w:r>
            <w:r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持续加大研发投入，</w:t>
            </w:r>
            <w:r w:rsidR="00211364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搭建</w:t>
            </w:r>
            <w:r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省级高新技术企业研究开发中心</w:t>
            </w:r>
            <w:r w:rsidR="004A7DB1"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等多</w:t>
            </w:r>
            <w:r w:rsidR="00211364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层级</w:t>
            </w:r>
            <w:r w:rsidR="004A7DB1"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创新平台</w:t>
            </w:r>
            <w:r w:rsidR="00211364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；长期</w:t>
            </w:r>
            <w:r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与浙江大学、吉林大学等</w:t>
            </w:r>
            <w:r w:rsidR="00E352E6"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国内知名</w:t>
            </w:r>
            <w:r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高校</w:t>
            </w:r>
            <w:r w:rsidR="00211364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开展深度</w:t>
            </w:r>
            <w:r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产学研合作，</w:t>
            </w:r>
            <w:r w:rsidR="00211364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搭建</w:t>
            </w:r>
            <w:r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完善技术创新体系</w:t>
            </w:r>
            <w:r w:rsidR="00E352E6"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，为</w:t>
            </w:r>
            <w:r w:rsidR="00211364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新</w:t>
            </w:r>
            <w:r w:rsidR="007C75FF"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品</w:t>
            </w:r>
            <w:r w:rsidR="00211364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开发、工艺优化</w:t>
            </w:r>
            <w:r w:rsidR="00E352E6"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提供坚实</w:t>
            </w:r>
            <w:r w:rsidR="00211364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支撑</w:t>
            </w:r>
            <w:r w:rsidR="00E352E6"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。</w:t>
            </w:r>
          </w:p>
          <w:p w14:paraId="6D4D8750" w14:textId="2E5D166A" w:rsidR="00211364" w:rsidRPr="007C75FF" w:rsidRDefault="00211364" w:rsidP="00211364">
            <w:pPr>
              <w:widowControl/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（二）市场客户运营</w:t>
            </w:r>
          </w:p>
          <w:p w14:paraId="7A1EA815" w14:textId="14842193" w:rsidR="00CB6A4A" w:rsidRDefault="0000779B" w:rsidP="0000779B">
            <w:pPr>
              <w:widowControl/>
              <w:spacing w:line="360" w:lineRule="auto"/>
              <w:ind w:firstLineChars="200" w:firstLine="48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市场开拓方面，凭借稳定的产品</w:t>
            </w:r>
            <w:r w:rsidR="001808D8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品质与</w:t>
            </w:r>
            <w:r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良好的行业口碑，</w:t>
            </w:r>
            <w:r w:rsidR="001808D8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公司</w:t>
            </w:r>
            <w:r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与</w:t>
            </w:r>
            <w:r w:rsidR="001808D8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各</w:t>
            </w:r>
            <w:r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下游</w:t>
            </w:r>
            <w:r w:rsidR="007C75FF"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领域</w:t>
            </w:r>
            <w:r w:rsidR="001808D8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头部</w:t>
            </w:r>
            <w:r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企业建立长期</w:t>
            </w:r>
            <w:r w:rsidR="001808D8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深度</w:t>
            </w:r>
            <w:r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合作</w:t>
            </w:r>
            <w:r w:rsidR="00E352E6"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。同时，</w:t>
            </w:r>
            <w:r w:rsidR="007C75FF"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搭</w:t>
            </w:r>
            <w:r w:rsidR="00357A65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建</w:t>
            </w:r>
            <w:r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完善的客户关系管理体系，</w:t>
            </w:r>
            <w:r w:rsidR="001808D8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常态化开展</w:t>
            </w:r>
            <w:r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客户满意度</w:t>
            </w:r>
            <w:r w:rsidR="001808D8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调研</w:t>
            </w:r>
            <w:r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、</w:t>
            </w:r>
            <w:r w:rsidR="00E352E6"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组建</w:t>
            </w:r>
            <w:r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快速响应技术服务团队，</w:t>
            </w:r>
            <w:r w:rsidR="001808D8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持续</w:t>
            </w:r>
            <w:r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深化与核心客户战略合作，形成结构均衡、</w:t>
            </w:r>
            <w:r w:rsidR="001808D8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高</w:t>
            </w:r>
            <w:r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粘性的客户资源网络，</w:t>
            </w:r>
            <w:r w:rsidR="001808D8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行业</w:t>
            </w:r>
            <w:r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影响力</w:t>
            </w:r>
            <w:r w:rsidR="001808D8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持续增强</w:t>
            </w:r>
            <w:r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。</w:t>
            </w:r>
          </w:p>
          <w:p w14:paraId="6694181F" w14:textId="0EAC1BE5" w:rsidR="001808D8" w:rsidRPr="001808D8" w:rsidRDefault="001808D8" w:rsidP="001808D8">
            <w:pPr>
              <w:widowControl/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（三）产能建设规划</w:t>
            </w:r>
          </w:p>
          <w:p w14:paraId="1A3E67B0" w14:textId="25774573" w:rsidR="00E352E6" w:rsidRDefault="001808D8" w:rsidP="00CB6A4A">
            <w:pPr>
              <w:widowControl/>
              <w:spacing w:line="360" w:lineRule="auto"/>
              <w:ind w:firstLineChars="200" w:firstLine="48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bookmarkStart w:id="2" w:name="OLE_LINK2"/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现阶段</w:t>
            </w:r>
            <w:r w:rsidR="00276807"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，公司</w:t>
            </w:r>
            <w:r w:rsidR="007C75FF"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全力</w:t>
            </w:r>
            <w:r w:rsidR="00276807"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推进</w:t>
            </w:r>
            <w:r w:rsidR="00184F74"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“</w:t>
            </w:r>
            <w:r w:rsidR="00184F74"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年产</w:t>
            </w:r>
            <w:r w:rsidR="00184F74"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8</w:t>
            </w:r>
            <w:r w:rsidR="00994BFD"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,</w:t>
            </w:r>
            <w:r w:rsidR="00184F74"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860</w:t>
            </w:r>
            <w:r w:rsidR="00184F74"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吨功能性催化新材料项目</w:t>
            </w:r>
            <w:r w:rsidR="00184F74"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”</w:t>
            </w:r>
            <w:r w:rsidR="00184F74"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的建设，</w:t>
            </w:r>
            <w:r w:rsidR="007C75FF"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匹配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下游</w:t>
            </w:r>
            <w:r w:rsidR="00276807"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不断增长的市场需求</w:t>
            </w:r>
            <w:r w:rsidR="00E352E6"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，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实现</w:t>
            </w:r>
            <w:r w:rsidR="00E352E6"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产能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扩容与</w:t>
            </w:r>
            <w:r w:rsidR="00E352E6"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产品结构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优化同步落地</w:t>
            </w:r>
            <w:r w:rsidR="00276807"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。</w:t>
            </w:r>
          </w:p>
          <w:p w14:paraId="5AB027A7" w14:textId="0268DEF3" w:rsidR="001808D8" w:rsidRPr="007C75FF" w:rsidRDefault="001808D8" w:rsidP="001808D8">
            <w:pPr>
              <w:widowControl/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（四）中长期发展规划</w:t>
            </w:r>
          </w:p>
          <w:p w14:paraId="39101699" w14:textId="46B83FF1" w:rsidR="00276807" w:rsidRPr="007C75FF" w:rsidRDefault="00276807" w:rsidP="00CB6A4A">
            <w:pPr>
              <w:widowControl/>
              <w:spacing w:line="360" w:lineRule="auto"/>
              <w:ind w:firstLineChars="200" w:firstLine="48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未来，公司将</w:t>
            </w:r>
            <w:r w:rsidR="001808D8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坚守</w:t>
            </w:r>
            <w:r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“</w:t>
            </w:r>
            <w:r w:rsidR="00324724"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客户至上，精益求精</w:t>
            </w:r>
            <w:r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”</w:t>
            </w:r>
            <w:r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的</w:t>
            </w:r>
            <w:r w:rsidR="00C97898"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发展</w:t>
            </w:r>
            <w:r w:rsidR="007C75FF"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理念</w:t>
            </w:r>
            <w:r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，</w:t>
            </w:r>
            <w:r w:rsidR="001808D8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稳固</w:t>
            </w:r>
            <w:r w:rsidR="007C75FF"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现有</w:t>
            </w:r>
            <w:r w:rsidR="001808D8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赛道</w:t>
            </w:r>
            <w:r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市场份额，加速</w:t>
            </w:r>
            <w:r w:rsidR="00E352E6"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新兴领域</w:t>
            </w:r>
            <w:r w:rsidR="001808D8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产品</w:t>
            </w:r>
            <w:r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商业化</w:t>
            </w:r>
            <w:r w:rsidR="007C75FF"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落地</w:t>
            </w:r>
            <w:r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，</w:t>
            </w:r>
            <w:r w:rsidR="001808D8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筑牢企业</w:t>
            </w:r>
            <w:r w:rsidR="00C97898"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长期可持续发展根基。</w:t>
            </w:r>
          </w:p>
          <w:bookmarkEnd w:id="2"/>
          <w:p w14:paraId="68A6B607" w14:textId="77777777" w:rsidR="00C51686" w:rsidRPr="007C75FF" w:rsidRDefault="00C51686" w:rsidP="00C51686">
            <w:pPr>
              <w:widowControl/>
              <w:spacing w:line="360" w:lineRule="auto"/>
              <w:ind w:firstLineChars="200" w:firstLine="480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14:paraId="391AE5CC" w14:textId="77777777" w:rsidR="00F04EE8" w:rsidRPr="007C75FF" w:rsidRDefault="00F04EE8" w:rsidP="00F04EE8">
            <w:pPr>
              <w:widowControl/>
              <w:spacing w:line="360" w:lineRule="auto"/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</w:pPr>
            <w:r w:rsidRPr="007C75FF"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  <w:t>二、问答交流环节</w:t>
            </w:r>
          </w:p>
          <w:p w14:paraId="30CB25E5" w14:textId="793F939D" w:rsidR="00C67EB3" w:rsidRPr="007C75FF" w:rsidRDefault="007C75FF" w:rsidP="00F04EE8">
            <w:pPr>
              <w:widowControl/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1</w:t>
            </w:r>
            <w:r w:rsidR="001808D8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提问</w:t>
            </w:r>
            <w:r w:rsidR="00C67EB3"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：公司主营业务</w:t>
            </w:r>
            <w:r w:rsidR="001808D8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包括</w:t>
            </w:r>
            <w:r w:rsidR="00C67EB3"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哪些</w:t>
            </w:r>
            <w:r w:rsidR="001808D8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板块</w:t>
            </w:r>
            <w:r w:rsidR="00C67EB3"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？</w:t>
            </w:r>
          </w:p>
          <w:p w14:paraId="0BB10C17" w14:textId="6C1F7FDD" w:rsidR="00C67EB3" w:rsidRPr="007C75FF" w:rsidRDefault="00C67EB3" w:rsidP="00F04EE8">
            <w:pPr>
              <w:widowControl/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答：</w:t>
            </w:r>
            <w:r w:rsidR="000309F9"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公司</w:t>
            </w:r>
            <w:r w:rsidR="001808D8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主营</w:t>
            </w:r>
            <w:r w:rsidR="000309F9"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季铵</w:t>
            </w:r>
            <w:r w:rsidR="000309F9"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(</w:t>
            </w:r>
            <w:r w:rsidR="001808D8">
              <w:rPr>
                <w:rFonts w:ascii="Times New Roman" w:eastAsia="宋体" w:hAnsi="Times New Roman" w:cs="Times New Roman"/>
                <w:sz w:val="24"/>
                <w:szCs w:val="24"/>
              </w:rPr>
              <w:t>鏻</w:t>
            </w:r>
            <w:r w:rsidR="000309F9"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)</w:t>
            </w:r>
            <w:r w:rsidR="000309F9"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化合物</w:t>
            </w:r>
            <w:r w:rsidR="001808D8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的</w:t>
            </w:r>
            <w:r w:rsidR="000309F9"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研发、生产和销售，</w:t>
            </w:r>
            <w:r w:rsidR="001808D8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核心产品为</w:t>
            </w:r>
            <w:r w:rsidR="000309F9"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季铵</w:t>
            </w:r>
            <w:r w:rsidR="001808D8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盐、</w:t>
            </w:r>
            <w:r w:rsidR="000309F9"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季铵碱、季</w:t>
            </w:r>
            <w:bookmarkStart w:id="3" w:name="OLE_LINK4"/>
            <w:r w:rsidR="001808D8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鏻</w:t>
            </w:r>
            <w:bookmarkEnd w:id="3"/>
            <w:r w:rsidR="000309F9"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盐、冠醚四大系列，</w:t>
            </w:r>
            <w:r w:rsidR="001808D8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面向</w:t>
            </w:r>
            <w:r w:rsidR="000309F9"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精细化工、分子筛、高分子材料、电池电解液、油田化学品</w:t>
            </w:r>
            <w:r w:rsidR="007C75FF"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、电子化学品</w:t>
            </w:r>
            <w:r w:rsidR="000309F9"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等</w:t>
            </w:r>
            <w:r w:rsidR="001808D8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下游行业</w:t>
            </w:r>
            <w:r w:rsidR="000309F9"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提供优质的产品和服务。</w:t>
            </w:r>
          </w:p>
          <w:p w14:paraId="5C72BDF8" w14:textId="77777777" w:rsidR="00C67EB3" w:rsidRPr="001808D8" w:rsidRDefault="00C67EB3" w:rsidP="00F04EE8">
            <w:pPr>
              <w:widowControl/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14:paraId="664713E6" w14:textId="1755A974" w:rsidR="00F04EE8" w:rsidRPr="007C75FF" w:rsidRDefault="007C75FF" w:rsidP="00F04EE8">
            <w:pPr>
              <w:widowControl/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2</w:t>
            </w:r>
            <w:r w:rsidR="00ED76CF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.</w:t>
            </w:r>
            <w:r w:rsidR="001808D8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提</w:t>
            </w:r>
            <w:r w:rsidR="00F04EE8"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问：公司主要产品</w:t>
            </w:r>
            <w:r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当前</w:t>
            </w:r>
            <w:r w:rsidR="00F04EE8"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市场供需情况</w:t>
            </w:r>
            <w:r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如何</w:t>
            </w:r>
            <w:r w:rsidR="00F04EE8"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？</w:t>
            </w:r>
          </w:p>
          <w:p w14:paraId="4FD355C4" w14:textId="3D4951EB" w:rsidR="00F04EE8" w:rsidRPr="007C75FF" w:rsidRDefault="00F04EE8" w:rsidP="00F04EE8">
            <w:pPr>
              <w:widowControl/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答：公司</w:t>
            </w:r>
            <w:r w:rsidR="001808D8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主营产品以各</w:t>
            </w:r>
            <w:r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类相转移催化剂</w:t>
            </w:r>
            <w:r w:rsidR="001808D8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为核心</w:t>
            </w:r>
            <w:r w:rsidR="007C75FF"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，</w:t>
            </w:r>
            <w:r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下游需求</w:t>
            </w:r>
            <w:r w:rsidR="001808D8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整体保持稳健增长。</w:t>
            </w:r>
            <w:r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医药、农药</w:t>
            </w:r>
            <w:r w:rsidR="00E352E6"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、精细化工、分子筛、电子化学品</w:t>
            </w:r>
            <w:r w:rsidR="001808D8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等</w:t>
            </w:r>
            <w:r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领域应用</w:t>
            </w:r>
            <w:r w:rsidR="00E352E6"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场景</w:t>
            </w:r>
            <w:r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持</w:t>
            </w:r>
            <w:r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lastRenderedPageBreak/>
              <w:t>续</w:t>
            </w:r>
            <w:r w:rsidR="001808D8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扩容，拉动需求稳步上行</w:t>
            </w:r>
            <w:r w:rsidR="00E352E6"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；公司</w:t>
            </w:r>
            <w:r w:rsidR="001808D8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当前</w:t>
            </w:r>
            <w:r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产能利用率</w:t>
            </w:r>
            <w:r w:rsidR="001808D8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维持高位</w:t>
            </w:r>
            <w:r w:rsidR="00E352E6"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，</w:t>
            </w:r>
            <w:r w:rsidR="001808D8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可充分</w:t>
            </w:r>
            <w:r w:rsidR="00E352E6"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匹配市场</w:t>
            </w:r>
            <w:r w:rsidR="001808D8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订单</w:t>
            </w:r>
            <w:r w:rsidR="00E352E6"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需求，保障产品稳定</w:t>
            </w:r>
            <w:r w:rsidR="001808D8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、持续供货</w:t>
            </w:r>
            <w:r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。</w:t>
            </w:r>
          </w:p>
          <w:p w14:paraId="798E19AA" w14:textId="77777777" w:rsidR="00F04EE8" w:rsidRPr="007C75FF" w:rsidRDefault="00F04EE8" w:rsidP="00F04EE8">
            <w:pPr>
              <w:widowControl/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14:paraId="5B7B8A50" w14:textId="6F11C23E" w:rsidR="00F04EE8" w:rsidRPr="007C75FF" w:rsidRDefault="007C75FF" w:rsidP="00F04EE8">
            <w:pPr>
              <w:widowControl/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3</w:t>
            </w:r>
            <w:r w:rsidR="00ED76CF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.</w:t>
            </w:r>
            <w:r w:rsidR="001808D8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提</w:t>
            </w:r>
            <w:r w:rsidR="00F04EE8"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问：公司研发方面的投入与</w:t>
            </w:r>
            <w:r w:rsidR="001808D8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中长期技术研发</w:t>
            </w:r>
            <w:r w:rsidR="00F04EE8"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方向</w:t>
            </w:r>
            <w:r w:rsidR="001808D8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是什么</w:t>
            </w:r>
            <w:r w:rsidR="00F04EE8"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？</w:t>
            </w:r>
          </w:p>
          <w:p w14:paraId="2D760D22" w14:textId="53F06889" w:rsidR="00F04EE8" w:rsidRPr="007C75FF" w:rsidRDefault="00F04EE8" w:rsidP="00F04EE8">
            <w:pPr>
              <w:widowControl/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答：</w:t>
            </w:r>
            <w:r w:rsidR="001808D8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后续</w:t>
            </w:r>
            <w:r w:rsidR="00E352E6"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，</w:t>
            </w:r>
            <w:r w:rsidR="00C67EB3"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公司</w:t>
            </w:r>
            <w:r w:rsidR="001808D8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将持续加大</w:t>
            </w:r>
            <w:r w:rsidR="00C67EB3"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科研</w:t>
            </w:r>
            <w:r w:rsidR="001808D8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资金</w:t>
            </w:r>
            <w:r w:rsidR="00C67EB3"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投入</w:t>
            </w:r>
            <w:r w:rsidR="00E352E6"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，</w:t>
            </w:r>
            <w:r w:rsidR="001808D8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完善高端技术</w:t>
            </w:r>
            <w:r w:rsidR="00C67EB3"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人才引进</w:t>
            </w:r>
            <w:r w:rsidR="00E352E6"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与</w:t>
            </w:r>
            <w:r w:rsidR="001808D8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内部</w:t>
            </w:r>
            <w:r w:rsidR="00E352E6"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培养</w:t>
            </w:r>
            <w:r w:rsidR="00246255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体系</w:t>
            </w:r>
            <w:r w:rsidR="00C67EB3"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，</w:t>
            </w:r>
            <w:r w:rsidR="00E352E6"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持续深化</w:t>
            </w:r>
            <w:r w:rsidR="00C67EB3"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与国内</w:t>
            </w:r>
            <w:r w:rsidR="00246255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高校</w:t>
            </w:r>
            <w:r w:rsidR="00E352E6"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的</w:t>
            </w:r>
            <w:r w:rsidR="00C67EB3"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技术研发合作</w:t>
            </w:r>
            <w:r w:rsidR="00E352E6"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。</w:t>
            </w:r>
            <w:r w:rsidR="00246255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研发</w:t>
            </w:r>
            <w:r w:rsidR="00E352E6"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重点围绕</w:t>
            </w:r>
            <w:r w:rsidR="00C67EB3"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现有工艺</w:t>
            </w:r>
            <w:r w:rsidR="00E352E6"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优化</w:t>
            </w:r>
            <w:r w:rsidR="00246255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迭代</w:t>
            </w:r>
            <w:r w:rsidR="00E352E6"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、</w:t>
            </w:r>
            <w:r w:rsidR="00246255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全</w:t>
            </w:r>
            <w:r w:rsidR="00E352E6"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新产品</w:t>
            </w:r>
            <w:r w:rsidR="00246255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开发、前沿技术</w:t>
            </w:r>
            <w:r w:rsidR="00C67EB3"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市场</w:t>
            </w:r>
            <w:r w:rsidR="00E352E6"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转化</w:t>
            </w:r>
            <w:r w:rsidR="00246255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落地</w:t>
            </w:r>
            <w:r w:rsidR="00C67EB3"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。</w:t>
            </w:r>
            <w:r w:rsidR="00246255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依托</w:t>
            </w:r>
            <w:r w:rsidR="00E352E6"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完善</w:t>
            </w:r>
            <w:r w:rsidR="00246255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的</w:t>
            </w:r>
            <w:r w:rsidR="00C67EB3"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产学研合作</w:t>
            </w:r>
            <w:r w:rsidR="00E352E6"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协同研发体系</w:t>
            </w:r>
            <w:r w:rsidR="00C67EB3"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，</w:t>
            </w:r>
            <w:r w:rsidR="00246255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搭建</w:t>
            </w:r>
            <w:r w:rsidR="00E352E6"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高效</w:t>
            </w:r>
            <w:r w:rsidR="00C67EB3"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研发</w:t>
            </w:r>
            <w:r w:rsidR="00246255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响应</w:t>
            </w:r>
            <w:r w:rsidR="00C67EB3"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机制，</w:t>
            </w:r>
            <w:r w:rsidR="00246255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以技术创新渠道企业高质量</w:t>
            </w:r>
            <w:r w:rsidR="00C67EB3"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快速发展。</w:t>
            </w:r>
          </w:p>
          <w:p w14:paraId="24E2A4AC" w14:textId="77777777" w:rsidR="00F04EE8" w:rsidRPr="00246255" w:rsidRDefault="00F04EE8" w:rsidP="00F04EE8">
            <w:pPr>
              <w:widowControl/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14:paraId="25D433BA" w14:textId="76CB448D" w:rsidR="00F04EE8" w:rsidRPr="007C75FF" w:rsidRDefault="007C75FF" w:rsidP="00F04EE8">
            <w:pPr>
              <w:widowControl/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4</w:t>
            </w:r>
            <w:r w:rsidR="00ED76CF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.</w:t>
            </w:r>
            <w:r w:rsidR="00246255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提</w:t>
            </w:r>
            <w:r w:rsidR="00F04EE8"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问：未来公司在产能扩张方面有</w:t>
            </w:r>
            <w:r w:rsidR="00246255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哪些落地</w:t>
            </w:r>
            <w:r w:rsidR="00F04EE8"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划？</w:t>
            </w:r>
          </w:p>
          <w:p w14:paraId="58D126DC" w14:textId="764471AF" w:rsidR="00F04EE8" w:rsidRPr="007C75FF" w:rsidRDefault="00F04EE8" w:rsidP="00F04EE8">
            <w:pPr>
              <w:widowControl/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答：公司将</w:t>
            </w:r>
            <w:r w:rsidR="00E352E6"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结合</w:t>
            </w:r>
            <w:r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市场需求</w:t>
            </w:r>
            <w:r w:rsidR="00E352E6"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变化与整体</w:t>
            </w:r>
            <w:r w:rsidR="00246255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发展</w:t>
            </w:r>
            <w:r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战略，</w:t>
            </w:r>
            <w:r w:rsidR="00246255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一是对</w:t>
            </w:r>
            <w:r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现有</w:t>
            </w:r>
            <w:r w:rsidR="00E352E6"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生</w:t>
            </w:r>
            <w:r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产线</w:t>
            </w:r>
            <w:r w:rsidR="00246255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开展</w:t>
            </w:r>
            <w:r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技术改造</w:t>
            </w:r>
            <w:r w:rsidR="00246255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、提质增效；二是</w:t>
            </w:r>
            <w:r w:rsidR="00E352E6"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加快</w:t>
            </w:r>
            <w:r w:rsidR="00994BFD"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募投</w:t>
            </w:r>
            <w:r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项目</w:t>
            </w:r>
            <w:r w:rsidR="00246255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建设</w:t>
            </w:r>
            <w:r w:rsidR="00994BFD"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投产</w:t>
            </w:r>
            <w:r w:rsidR="00E352E6"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进度</w:t>
            </w:r>
            <w:r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，</w:t>
            </w:r>
            <w:r w:rsidR="00E352E6"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持续提升产能规模</w:t>
            </w:r>
            <w:r w:rsidR="00246255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、提升整体</w:t>
            </w:r>
            <w:r w:rsidR="00E352E6"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生产效率，充分满足下游客户</w:t>
            </w:r>
            <w:r w:rsidR="007C75FF"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多元化、定制化</w:t>
            </w:r>
            <w:r w:rsidR="00E352E6"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的产品</w:t>
            </w:r>
            <w:r w:rsidR="00246255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采购</w:t>
            </w:r>
            <w:r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需求。</w:t>
            </w:r>
          </w:p>
          <w:p w14:paraId="6ACC99EA" w14:textId="77777777" w:rsidR="00F04EE8" w:rsidRPr="007C75FF" w:rsidRDefault="00F04EE8" w:rsidP="00F04EE8">
            <w:pPr>
              <w:widowControl/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14:paraId="46399799" w14:textId="7AF3D1F9" w:rsidR="00F04EE8" w:rsidRPr="007C75FF" w:rsidRDefault="007C75FF" w:rsidP="00F04EE8">
            <w:pPr>
              <w:widowControl/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5</w:t>
            </w:r>
            <w:r w:rsidR="00ED76CF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.</w:t>
            </w:r>
            <w:r w:rsidR="00246255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提</w:t>
            </w:r>
            <w:r w:rsidR="00F04EE8"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问：公司</w:t>
            </w:r>
            <w:r w:rsidR="00246255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核心</w:t>
            </w:r>
            <w:r w:rsidR="00F04EE8"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竞争优势</w:t>
            </w:r>
            <w:r w:rsidR="00246255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体现在哪些方面</w:t>
            </w:r>
            <w:r w:rsidR="00F04EE8"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？</w:t>
            </w:r>
          </w:p>
          <w:p w14:paraId="731EF3BC" w14:textId="633048AC" w:rsidR="00767156" w:rsidRPr="007C75FF" w:rsidRDefault="00F04EE8" w:rsidP="00C67EB3">
            <w:pPr>
              <w:widowControl/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答：</w:t>
            </w:r>
            <w:r w:rsidR="00246255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公司</w:t>
            </w:r>
            <w:r w:rsidR="00C67EB3"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自设立以来，</w:t>
            </w:r>
            <w:r w:rsidR="007C75FF"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始终</w:t>
            </w:r>
            <w:r w:rsidR="00C67EB3"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专注于从事季铵（鏻）化合物等产品研发、生产和销售，坚持加强自身研发队伍建设，通过</w:t>
            </w:r>
            <w:r w:rsidR="00767156"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持续的</w:t>
            </w:r>
            <w:r w:rsidR="00C67EB3"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技术创新，</w:t>
            </w:r>
            <w:r w:rsidR="00767156"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不断优化生产</w:t>
            </w:r>
            <w:r w:rsidR="00C67EB3"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工艺</w:t>
            </w:r>
            <w:r w:rsidR="00767156"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、提升</w:t>
            </w:r>
            <w:r w:rsidR="00C67EB3"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产品质量</w:t>
            </w:r>
            <w:r w:rsidR="00767156"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、丰富</w:t>
            </w:r>
            <w:r w:rsidR="00C67EB3"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产品结构。目前，公司</w:t>
            </w:r>
            <w:r w:rsidR="00767156"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已形成</w:t>
            </w:r>
            <w:r w:rsidR="00C67EB3"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季铵盐、季铵碱、季鏻盐、冠醚四大系列产品，</w:t>
            </w:r>
            <w:r w:rsidR="00767156"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产品</w:t>
            </w:r>
            <w:r w:rsidR="00C67EB3"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质量稳定，下游应用领域广泛。</w:t>
            </w:r>
          </w:p>
          <w:p w14:paraId="6779C67C" w14:textId="5EFC4289" w:rsidR="00C67EB3" w:rsidRPr="007C75FF" w:rsidRDefault="00767156" w:rsidP="00767156">
            <w:pPr>
              <w:widowControl/>
              <w:spacing w:line="360" w:lineRule="auto"/>
              <w:ind w:firstLineChars="200" w:firstLine="48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资质荣誉方面，</w:t>
            </w:r>
            <w:r w:rsidR="00246255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公司及子公司</w:t>
            </w:r>
            <w:r w:rsidR="00C67EB3"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分别</w:t>
            </w:r>
            <w:r w:rsidR="00246255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获评</w:t>
            </w:r>
            <w:r w:rsidR="00C67EB3"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2021</w:t>
            </w:r>
            <w:r w:rsidR="00C67EB3"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年度浙江省专精特新中小企业和</w:t>
            </w:r>
            <w:r w:rsidR="00C67EB3"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2019</w:t>
            </w:r>
            <w:r w:rsidR="00C67EB3"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年江西省专精特新中小企业</w:t>
            </w:r>
            <w:r w:rsidR="00246255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；</w:t>
            </w:r>
            <w:r w:rsidR="00C67EB3"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2022</w:t>
            </w:r>
            <w:r w:rsidR="00C67EB3"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年</w:t>
            </w:r>
            <w:r w:rsidR="00246255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公司入选</w:t>
            </w:r>
            <w:r w:rsidR="00C67EB3"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工业和信息化部第四批国家级专精特新</w:t>
            </w:r>
            <w:r w:rsidR="00C67EB3"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“</w:t>
            </w:r>
            <w:r w:rsidR="00C67EB3"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小巨人</w:t>
            </w:r>
            <w:r w:rsidR="00C67EB3"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”</w:t>
            </w:r>
            <w:r w:rsidR="00C67EB3"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企业</w:t>
            </w:r>
            <w:r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，</w:t>
            </w:r>
            <w:r w:rsidR="00246255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充分印证</w:t>
            </w:r>
            <w:r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在细分领域</w:t>
            </w:r>
            <w:r w:rsidR="00246255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龙头地位和</w:t>
            </w:r>
            <w:r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核心竞争力。</w:t>
            </w:r>
          </w:p>
          <w:p w14:paraId="021CE9AA" w14:textId="08F2E305" w:rsidR="00C67EB3" w:rsidRPr="007C75FF" w:rsidRDefault="00767156" w:rsidP="00C67EB3">
            <w:pPr>
              <w:widowControl/>
              <w:spacing w:line="360" w:lineRule="auto"/>
              <w:ind w:firstLineChars="200" w:firstLine="48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技术与人才储备方面，</w:t>
            </w:r>
            <w:r w:rsidR="0000779B"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截至</w:t>
            </w:r>
            <w:r w:rsidR="0000779B"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2025</w:t>
            </w:r>
            <w:r w:rsidR="0000779B"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年</w:t>
            </w:r>
            <w:r w:rsidR="0000779B"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12</w:t>
            </w:r>
            <w:r w:rsidR="0000779B"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月</w:t>
            </w:r>
            <w:r w:rsidR="0000779B"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31</w:t>
            </w:r>
            <w:r w:rsidR="0000779B"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日，公司拥有研发人员</w:t>
            </w:r>
            <w:r w:rsidR="0000779B"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68</w:t>
            </w:r>
            <w:r w:rsidR="0000779B"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人</w:t>
            </w:r>
            <w:r w:rsidR="00246255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；</w:t>
            </w:r>
            <w:r w:rsidR="0000779B"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拥有有效国内发明专利</w:t>
            </w:r>
            <w:r w:rsidR="0000779B"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55</w:t>
            </w:r>
            <w:r w:rsidR="0000779B"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件、实用新型专利</w:t>
            </w:r>
            <w:r w:rsidR="0000779B"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158</w:t>
            </w:r>
            <w:r w:rsidR="0000779B"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件、国际发明专利</w:t>
            </w:r>
            <w:r w:rsidR="0000779B"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3</w:t>
            </w:r>
            <w:r w:rsidR="0000779B"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件，</w:t>
            </w:r>
            <w:r w:rsidR="00246255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全面</w:t>
            </w:r>
            <w:r w:rsidR="0000779B"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掌握季铵盐合成、季鏻盐合成、冠醚合成及离子膜有</w:t>
            </w:r>
            <w:r w:rsidR="0000779B"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lastRenderedPageBreak/>
              <w:t>机电解等核心生产技术</w:t>
            </w:r>
            <w:r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，</w:t>
            </w:r>
            <w:r w:rsidR="00246255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构筑深厚</w:t>
            </w:r>
            <w:r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技术壁垒</w:t>
            </w:r>
            <w:r w:rsidR="0000779B"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。</w:t>
            </w:r>
          </w:p>
          <w:p w14:paraId="0697B0FB" w14:textId="5BB73A9A" w:rsidR="0000779B" w:rsidRPr="007C75FF" w:rsidRDefault="00767156" w:rsidP="00C67EB3">
            <w:pPr>
              <w:widowControl/>
              <w:spacing w:line="360" w:lineRule="auto"/>
              <w:ind w:firstLineChars="200" w:firstLine="48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市场口碑方面，</w:t>
            </w:r>
            <w:r w:rsidR="00246255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依托稳定的产品性能与优良</w:t>
            </w:r>
            <w:r w:rsidR="00C67EB3"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的市场信誉，产品</w:t>
            </w:r>
            <w:r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获得</w:t>
            </w:r>
            <w:r w:rsidR="00246255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下游</w:t>
            </w:r>
            <w:r w:rsidR="00C67EB3"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市场广泛认可，与</w:t>
            </w:r>
            <w:r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众多</w:t>
            </w:r>
            <w:r w:rsidR="0000779B"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下游</w:t>
            </w:r>
            <w:r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应用</w:t>
            </w:r>
            <w:r w:rsidR="00C67EB3"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领域</w:t>
            </w:r>
            <w:r w:rsidR="0000779B"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里</w:t>
            </w:r>
            <w:r w:rsidR="00C67EB3"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的知名企业建立</w:t>
            </w:r>
            <w:r w:rsidR="00246255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长期</w:t>
            </w:r>
            <w:r w:rsidR="00C67EB3"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合作关系</w:t>
            </w:r>
            <w:r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，客户</w:t>
            </w:r>
            <w:r w:rsidR="00246255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合作</w:t>
            </w:r>
            <w:r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粘性较强</w:t>
            </w:r>
            <w:r w:rsidR="00C67EB3"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。</w:t>
            </w:r>
          </w:p>
          <w:p w14:paraId="2C9D6064" w14:textId="6564A785" w:rsidR="00224325" w:rsidRPr="007C75FF" w:rsidRDefault="00246255" w:rsidP="00367582">
            <w:pPr>
              <w:widowControl/>
              <w:spacing w:line="360" w:lineRule="auto"/>
              <w:ind w:firstLineChars="200" w:firstLine="48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综合来看</w:t>
            </w:r>
            <w:r w:rsidR="00C67EB3"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，公司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多重竞争优势叠加，行业领先地位稳固</w:t>
            </w:r>
            <w:r w:rsidR="00767156"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，核心竞争力持续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强化</w:t>
            </w:r>
            <w:r w:rsidR="00C67EB3"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。</w:t>
            </w:r>
          </w:p>
          <w:p w14:paraId="51672F86" w14:textId="77777777" w:rsidR="002136EE" w:rsidRPr="00246255" w:rsidRDefault="002136EE" w:rsidP="00141B08">
            <w:pPr>
              <w:widowControl/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14:paraId="025549AB" w14:textId="37F2DC22" w:rsidR="00141B08" w:rsidRPr="007C75FF" w:rsidRDefault="007C75FF" w:rsidP="00141B08">
            <w:pPr>
              <w:widowControl/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6</w:t>
            </w:r>
            <w:r w:rsidR="00ED76CF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.</w:t>
            </w:r>
            <w:r w:rsidR="00246255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提</w:t>
            </w:r>
            <w:r w:rsidR="00141B08"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问：公司</w:t>
            </w:r>
            <w:r w:rsidR="00246255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中长期整体</w:t>
            </w:r>
            <w:r w:rsidR="00141B08"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发展战略</w:t>
            </w:r>
            <w:r w:rsidR="00246255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如何规划</w:t>
            </w:r>
            <w:r w:rsidR="00141B08"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？</w:t>
            </w:r>
          </w:p>
          <w:p w14:paraId="7CA7B341" w14:textId="63F36538" w:rsidR="00141B08" w:rsidRPr="007C75FF" w:rsidRDefault="00141B08" w:rsidP="00141B08">
            <w:pPr>
              <w:widowControl/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答：</w:t>
            </w:r>
            <w:r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2026</w:t>
            </w:r>
            <w:r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年</w:t>
            </w:r>
            <w:r w:rsidR="00DA0651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，</w:t>
            </w:r>
            <w:r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化工行业将在多重</w:t>
            </w:r>
            <w:r w:rsidR="00ED76CF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利好因素</w:t>
            </w:r>
            <w:r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驱动下保持温和增长态势，公司将</w:t>
            </w:r>
            <w:r w:rsidR="00ED76CF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立足相</w:t>
            </w:r>
            <w:r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转移催化剂</w:t>
            </w:r>
            <w:r w:rsidR="00ED76CF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、</w:t>
            </w:r>
            <w:r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分子筛模板剂、电解液添加剂、电子化学品、油田化学品等</w:t>
            </w:r>
            <w:r w:rsidR="007C75FF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主要</w:t>
            </w:r>
            <w:r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领域</w:t>
            </w:r>
            <w:r w:rsidR="007C75FF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，深耕主业、拓展新兴市场，</w:t>
            </w:r>
            <w:r w:rsidR="00ED76CF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稳步实现</w:t>
            </w:r>
            <w:r w:rsidR="007C75FF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业务规模与盈利能力</w:t>
            </w:r>
            <w:r w:rsidR="00ED76CF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同步提升</w:t>
            </w:r>
            <w:r w:rsidRPr="007C75FF">
              <w:rPr>
                <w:rFonts w:ascii="Times New Roman" w:eastAsia="宋体" w:hAnsi="Times New Roman" w:cs="Times New Roman"/>
                <w:sz w:val="24"/>
                <w:szCs w:val="24"/>
              </w:rPr>
              <w:t>。</w:t>
            </w:r>
          </w:p>
        </w:tc>
      </w:tr>
      <w:tr w:rsidR="00244E0A" w14:paraId="1044C189" w14:textId="77777777" w:rsidTr="00244E0A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C3425" w14:textId="427352BB" w:rsidR="00244E0A" w:rsidRDefault="00244E0A" w:rsidP="00244E0A">
            <w:pPr>
              <w:widowControl/>
              <w:wordWrap w:val="0"/>
              <w:adjustRightInd w:val="0"/>
              <w:snapToGrid w:val="0"/>
              <w:spacing w:before="120" w:line="360" w:lineRule="auto"/>
              <w:jc w:val="center"/>
              <w:rPr>
                <w:rFonts w:ascii="宋体" w:eastAsia="宋体" w:hAnsi="宋体" w:cs="USHEHF+ËÎÌå" w:hint="eastAsia"/>
                <w:color w:val="000000"/>
                <w:sz w:val="24"/>
                <w:lang w:val="ru-RU"/>
              </w:rPr>
            </w:pPr>
            <w:r>
              <w:rPr>
                <w:rFonts w:ascii="Times New Roman" w:eastAsia="宋体" w:hAnsi="Times New Roman" w:cs="Times New Roman"/>
                <w:bCs/>
                <w:iCs/>
                <w:color w:val="000000"/>
                <w:sz w:val="24"/>
                <w:szCs w:val="24"/>
              </w:rPr>
              <w:lastRenderedPageBreak/>
              <w:t>关于本次活动是否涉及应当披露重大信息的说明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95B69" w14:textId="0AA84EF8" w:rsidR="00244E0A" w:rsidRDefault="00ED76CF" w:rsidP="0000779B">
            <w:pPr>
              <w:widowControl/>
              <w:wordWrap w:val="0"/>
              <w:adjustRightInd w:val="0"/>
              <w:snapToGrid w:val="0"/>
              <w:spacing w:before="120" w:after="240" w:line="360" w:lineRule="auto"/>
              <w:jc w:val="left"/>
              <w:rPr>
                <w:rFonts w:ascii="宋体" w:eastAsia="宋体" w:hAnsi="宋体" w:cs="Times New Roman" w:hint="eastAsia"/>
                <w:sz w:val="22"/>
                <w:lang w:val="ru-RU"/>
              </w:rPr>
            </w:pPr>
            <w:r w:rsidRPr="00ED76CF">
              <w:rPr>
                <w:rFonts w:ascii="Times New Roman" w:eastAsia="宋体" w:hAnsi="Times New Roman" w:cs="Times New Roman"/>
                <w:bCs/>
                <w:iCs/>
                <w:color w:val="000000"/>
                <w:sz w:val="24"/>
                <w:szCs w:val="24"/>
              </w:rPr>
              <w:t>本次投资者调研活动全程严格遵守信息披露相关法律法规，不存在未披露重大内幕信息泄露</w:t>
            </w:r>
            <w:r>
              <w:rPr>
                <w:rFonts w:ascii="Times New Roman" w:eastAsia="宋体" w:hAnsi="Times New Roman" w:cs="Times New Roman" w:hint="eastAsia"/>
                <w:bCs/>
                <w:iCs/>
                <w:color w:val="000000"/>
                <w:sz w:val="24"/>
                <w:szCs w:val="24"/>
              </w:rPr>
              <w:t>等</w:t>
            </w:r>
            <w:r w:rsidRPr="00ED76CF">
              <w:rPr>
                <w:rFonts w:ascii="Times New Roman" w:eastAsia="宋体" w:hAnsi="Times New Roman" w:cs="Times New Roman"/>
                <w:bCs/>
                <w:iCs/>
                <w:color w:val="000000"/>
                <w:sz w:val="24"/>
                <w:szCs w:val="24"/>
              </w:rPr>
              <w:t>情形。</w:t>
            </w:r>
          </w:p>
        </w:tc>
      </w:tr>
      <w:tr w:rsidR="00634EE0" w14:paraId="5B038CD6" w14:textId="77777777" w:rsidTr="00244E0A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0A774" w14:textId="7703BEA7" w:rsidR="00634EE0" w:rsidRDefault="00000000">
            <w:pPr>
              <w:widowControl/>
              <w:wordWrap w:val="0"/>
              <w:adjustRightInd w:val="0"/>
              <w:snapToGrid w:val="0"/>
              <w:spacing w:before="120" w:line="360" w:lineRule="auto"/>
              <w:jc w:val="center"/>
              <w:rPr>
                <w:rFonts w:ascii="宋体" w:eastAsia="宋体" w:hAnsi="宋体" w:cs="Times New Roman" w:hint="eastAsia"/>
                <w:sz w:val="22"/>
                <w:lang w:val="ru-RU"/>
              </w:rPr>
            </w:pPr>
            <w:r>
              <w:rPr>
                <w:rFonts w:ascii="宋体" w:eastAsia="宋体" w:hAnsi="宋体" w:cs="USHEHF+ËÎÌå" w:hint="eastAsia"/>
                <w:color w:val="000000"/>
                <w:sz w:val="24"/>
                <w:lang w:val="ru-RU"/>
              </w:rPr>
              <w:t>附件清单</w:t>
            </w:r>
            <w:r w:rsidR="00244E0A" w:rsidRPr="00244E0A">
              <w:rPr>
                <w:rFonts w:ascii="宋体" w:eastAsia="宋体" w:hAnsi="宋体" w:cs="USHEHF+ËÎÌå" w:hint="eastAsia"/>
                <w:color w:val="000000"/>
                <w:sz w:val="24"/>
                <w:lang w:val="ru-RU"/>
              </w:rPr>
              <w:t>（如有）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4CB2F" w14:textId="57578234" w:rsidR="00634EE0" w:rsidRDefault="00832C04">
            <w:pPr>
              <w:widowControl/>
              <w:wordWrap w:val="0"/>
              <w:adjustRightInd w:val="0"/>
              <w:snapToGrid w:val="0"/>
              <w:spacing w:before="120" w:after="240"/>
              <w:jc w:val="left"/>
              <w:rPr>
                <w:rFonts w:ascii="宋体" w:eastAsia="宋体" w:hAnsi="宋体" w:cs="Times New Roman" w:hint="eastAsia"/>
                <w:sz w:val="22"/>
                <w:lang w:val="ru-RU"/>
              </w:rPr>
            </w:pPr>
            <w:r>
              <w:rPr>
                <w:rFonts w:ascii="宋体" w:eastAsia="宋体" w:hAnsi="宋体" w:cs="Times New Roman" w:hint="eastAsia"/>
                <w:sz w:val="22"/>
                <w:lang w:val="ru-RU"/>
              </w:rPr>
              <w:t>无</w:t>
            </w:r>
          </w:p>
        </w:tc>
      </w:tr>
      <w:tr w:rsidR="00634EE0" w14:paraId="0F5BC0B9" w14:textId="77777777" w:rsidTr="00244E0A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EC183" w14:textId="0BD803B3" w:rsidR="00634EE0" w:rsidRDefault="00000000">
            <w:pPr>
              <w:widowControl/>
              <w:wordWrap w:val="0"/>
              <w:adjustRightInd w:val="0"/>
              <w:snapToGrid w:val="0"/>
              <w:spacing w:before="120" w:line="360" w:lineRule="auto"/>
              <w:jc w:val="center"/>
              <w:rPr>
                <w:rFonts w:ascii="宋体" w:eastAsia="宋体" w:hAnsi="宋体" w:cs="Times New Roman" w:hint="eastAsia"/>
                <w:sz w:val="22"/>
                <w:lang w:val="ru-RU"/>
              </w:rPr>
            </w:pPr>
            <w:r>
              <w:rPr>
                <w:rFonts w:ascii="宋体" w:eastAsia="宋体" w:hAnsi="宋体" w:cs="USHEHF+ËÎÌå" w:hint="eastAsia"/>
                <w:color w:val="000000"/>
                <w:sz w:val="24"/>
                <w:lang w:val="ru-RU"/>
              </w:rPr>
              <w:t>日期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29B47" w14:textId="37AEE13A" w:rsidR="00634EE0" w:rsidRPr="00ED76CF" w:rsidRDefault="00ED76CF">
            <w:pPr>
              <w:widowControl/>
              <w:wordWrap w:val="0"/>
              <w:adjustRightInd w:val="0"/>
              <w:snapToGrid w:val="0"/>
              <w:spacing w:before="120" w:after="240"/>
              <w:jc w:val="left"/>
              <w:rPr>
                <w:rFonts w:ascii="Times New Roman" w:eastAsia="宋体" w:hAnsi="Times New Roman" w:cs="Times New Roman"/>
                <w:sz w:val="24"/>
                <w:szCs w:val="24"/>
                <w:lang w:val="ru-RU"/>
              </w:rPr>
            </w:pPr>
            <w:r w:rsidRPr="00ED76CF">
              <w:rPr>
                <w:rFonts w:ascii="Times New Roman" w:eastAsia="宋体" w:hAnsi="Times New Roman" w:cs="Times New Roman"/>
                <w:sz w:val="24"/>
                <w:szCs w:val="24"/>
                <w:lang w:val="ru-RU"/>
              </w:rPr>
              <w:t>2026</w:t>
            </w:r>
            <w:r w:rsidRPr="00ED76CF">
              <w:rPr>
                <w:rFonts w:ascii="Times New Roman" w:eastAsia="宋体" w:hAnsi="Times New Roman" w:cs="Times New Roman"/>
                <w:sz w:val="24"/>
                <w:szCs w:val="24"/>
                <w:lang w:val="ru-RU"/>
              </w:rPr>
              <w:t>年</w:t>
            </w:r>
            <w:r w:rsidRPr="00ED76CF">
              <w:rPr>
                <w:rFonts w:ascii="Times New Roman" w:eastAsia="宋体" w:hAnsi="Times New Roman" w:cs="Times New Roman"/>
                <w:sz w:val="24"/>
                <w:szCs w:val="24"/>
                <w:lang w:val="ru-RU"/>
              </w:rPr>
              <w:t>06</w:t>
            </w:r>
            <w:r w:rsidRPr="00ED76CF">
              <w:rPr>
                <w:rFonts w:ascii="Times New Roman" w:eastAsia="宋体" w:hAnsi="Times New Roman" w:cs="Times New Roman"/>
                <w:sz w:val="24"/>
                <w:szCs w:val="24"/>
                <w:lang w:val="ru-RU"/>
              </w:rPr>
              <w:t>月</w:t>
            </w:r>
            <w:r w:rsidRPr="00ED76CF">
              <w:rPr>
                <w:rFonts w:ascii="Times New Roman" w:eastAsia="宋体" w:hAnsi="Times New Roman" w:cs="Times New Roman"/>
                <w:sz w:val="24"/>
                <w:szCs w:val="24"/>
                <w:lang w:val="ru-RU"/>
              </w:rPr>
              <w:t>30</w:t>
            </w:r>
            <w:r w:rsidRPr="00ED76CF">
              <w:rPr>
                <w:rFonts w:ascii="Times New Roman" w:eastAsia="宋体" w:hAnsi="Times New Roman" w:cs="Times New Roman"/>
                <w:sz w:val="24"/>
                <w:szCs w:val="24"/>
                <w:lang w:val="ru-RU"/>
              </w:rPr>
              <w:t>日</w:t>
            </w:r>
          </w:p>
        </w:tc>
      </w:tr>
    </w:tbl>
    <w:p w14:paraId="4DFD2916" w14:textId="77777777" w:rsidR="00634EE0" w:rsidRDefault="00634EE0">
      <w:pPr>
        <w:rPr>
          <w:rFonts w:ascii="宋体" w:eastAsia="宋体" w:hAnsi="宋体" w:hint="eastAsia"/>
        </w:rPr>
      </w:pPr>
    </w:p>
    <w:sectPr w:rsidR="00634EE0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05F269" w14:textId="77777777" w:rsidR="00F53957" w:rsidRDefault="00F53957" w:rsidP="00244E0A">
      <w:r>
        <w:separator/>
      </w:r>
    </w:p>
  </w:endnote>
  <w:endnote w:type="continuationSeparator" w:id="0">
    <w:p w14:paraId="0DCAACE6" w14:textId="77777777" w:rsidR="00F53957" w:rsidRDefault="00F53957" w:rsidP="00244E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RDFSIJ+ºÚÌå">
    <w:altName w:val="Microsoft Sans Serif"/>
    <w:charset w:val="00"/>
    <w:family w:val="auto"/>
    <w:pitch w:val="default"/>
    <w:sig w:usb0="00000000" w:usb1="00000000" w:usb2="01010101" w:usb3="01010101" w:csb0="01010101" w:csb1="01010101"/>
  </w:font>
  <w:font w:name="USHEHF+ËÎÌå">
    <w:altName w:val="Microsoft Sans Serif"/>
    <w:charset w:val="00"/>
    <w:family w:val="auto"/>
    <w:pitch w:val="default"/>
    <w:sig w:usb0="00000000" w:usb1="00000000" w:usb2="01010101" w:usb3="01010101" w:csb0="01010101" w:csb1="01010101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1565129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7E7AC8E9" w14:textId="41B1BFEA" w:rsidR="00324724" w:rsidRPr="00324724" w:rsidRDefault="00324724" w:rsidP="00324724">
        <w:pPr>
          <w:pStyle w:val="a7"/>
          <w:jc w:val="center"/>
          <w:rPr>
            <w:rFonts w:ascii="Times New Roman" w:hAnsi="Times New Roman" w:cs="Times New Roman"/>
          </w:rPr>
        </w:pPr>
        <w:r w:rsidRPr="00324724">
          <w:rPr>
            <w:rFonts w:ascii="Times New Roman" w:hAnsi="Times New Roman" w:cs="Times New Roman"/>
          </w:rPr>
          <w:fldChar w:fldCharType="begin"/>
        </w:r>
        <w:r w:rsidRPr="00324724">
          <w:rPr>
            <w:rFonts w:ascii="Times New Roman" w:hAnsi="Times New Roman" w:cs="Times New Roman"/>
          </w:rPr>
          <w:instrText>PAGE   \* MERGEFORMAT</w:instrText>
        </w:r>
        <w:r w:rsidRPr="00324724">
          <w:rPr>
            <w:rFonts w:ascii="Times New Roman" w:hAnsi="Times New Roman" w:cs="Times New Roman"/>
          </w:rPr>
          <w:fldChar w:fldCharType="separate"/>
        </w:r>
        <w:r w:rsidRPr="00324724">
          <w:rPr>
            <w:rFonts w:ascii="Times New Roman" w:hAnsi="Times New Roman" w:cs="Times New Roman"/>
            <w:lang w:val="zh-CN"/>
          </w:rPr>
          <w:t>2</w:t>
        </w:r>
        <w:r w:rsidRPr="00324724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76BEA2" w14:textId="77777777" w:rsidR="00F53957" w:rsidRDefault="00F53957" w:rsidP="00244E0A">
      <w:r>
        <w:separator/>
      </w:r>
    </w:p>
  </w:footnote>
  <w:footnote w:type="continuationSeparator" w:id="0">
    <w:p w14:paraId="096A0E12" w14:textId="77777777" w:rsidR="00F53957" w:rsidRDefault="00F53957" w:rsidP="00244E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49E00A0"/>
    <w:multiLevelType w:val="singleLevel"/>
    <w:tmpl w:val="949E00A0"/>
    <w:lvl w:ilvl="0">
      <w:start w:val="1"/>
      <w:numFmt w:val="decimal"/>
      <w:suff w:val="nothing"/>
      <w:lvlText w:val="%1、"/>
      <w:lvlJc w:val="left"/>
      <w:rPr>
        <w:rFonts w:hint="default"/>
        <w:b/>
        <w:bCs/>
      </w:rPr>
    </w:lvl>
  </w:abstractNum>
  <w:abstractNum w:abstractNumId="1" w15:restartNumberingAfterBreak="0">
    <w:nsid w:val="6CD60E7D"/>
    <w:multiLevelType w:val="multilevel"/>
    <w:tmpl w:val="EF38CD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35561921">
    <w:abstractNumId w:val="0"/>
  </w:num>
  <w:num w:numId="2" w16cid:durableId="13710328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TA0MTdjODcwZGU1NzQyYzNhNDhiNzk0NWIyMjQ4MDQifQ=="/>
  </w:docVars>
  <w:rsids>
    <w:rsidRoot w:val="008D4693"/>
    <w:rsid w:val="00004123"/>
    <w:rsid w:val="0000779B"/>
    <w:rsid w:val="00030341"/>
    <w:rsid w:val="000309F9"/>
    <w:rsid w:val="00037129"/>
    <w:rsid w:val="00041B5C"/>
    <w:rsid w:val="000618A5"/>
    <w:rsid w:val="00072B02"/>
    <w:rsid w:val="0007641A"/>
    <w:rsid w:val="000874DF"/>
    <w:rsid w:val="000E099B"/>
    <w:rsid w:val="000F2A6D"/>
    <w:rsid w:val="00100534"/>
    <w:rsid w:val="00102411"/>
    <w:rsid w:val="001077EE"/>
    <w:rsid w:val="00114CA3"/>
    <w:rsid w:val="00141B08"/>
    <w:rsid w:val="00174A48"/>
    <w:rsid w:val="001808D8"/>
    <w:rsid w:val="001811BB"/>
    <w:rsid w:val="00184F74"/>
    <w:rsid w:val="00186632"/>
    <w:rsid w:val="001B1D83"/>
    <w:rsid w:val="001B3B04"/>
    <w:rsid w:val="001C019D"/>
    <w:rsid w:val="001D456E"/>
    <w:rsid w:val="00207057"/>
    <w:rsid w:val="00207F98"/>
    <w:rsid w:val="00211364"/>
    <w:rsid w:val="002136EE"/>
    <w:rsid w:val="002171E1"/>
    <w:rsid w:val="00224325"/>
    <w:rsid w:val="002247F1"/>
    <w:rsid w:val="00244E0A"/>
    <w:rsid w:val="00246255"/>
    <w:rsid w:val="00257164"/>
    <w:rsid w:val="00275B52"/>
    <w:rsid w:val="00276807"/>
    <w:rsid w:val="002963B7"/>
    <w:rsid w:val="002D7C7D"/>
    <w:rsid w:val="002F0A0A"/>
    <w:rsid w:val="002F1F4F"/>
    <w:rsid w:val="00304635"/>
    <w:rsid w:val="003048CA"/>
    <w:rsid w:val="0031393E"/>
    <w:rsid w:val="00316044"/>
    <w:rsid w:val="0032062B"/>
    <w:rsid w:val="00324724"/>
    <w:rsid w:val="003376EA"/>
    <w:rsid w:val="003416AE"/>
    <w:rsid w:val="00347BDA"/>
    <w:rsid w:val="00357A65"/>
    <w:rsid w:val="003628AB"/>
    <w:rsid w:val="00364046"/>
    <w:rsid w:val="00367582"/>
    <w:rsid w:val="003802CC"/>
    <w:rsid w:val="003A0860"/>
    <w:rsid w:val="003A5D33"/>
    <w:rsid w:val="003B111C"/>
    <w:rsid w:val="003B26AA"/>
    <w:rsid w:val="003B6F82"/>
    <w:rsid w:val="003E5945"/>
    <w:rsid w:val="003F433C"/>
    <w:rsid w:val="003F5CE7"/>
    <w:rsid w:val="004055B3"/>
    <w:rsid w:val="00410EE2"/>
    <w:rsid w:val="004113A7"/>
    <w:rsid w:val="0041536A"/>
    <w:rsid w:val="00417833"/>
    <w:rsid w:val="00432B2C"/>
    <w:rsid w:val="00450001"/>
    <w:rsid w:val="0046685B"/>
    <w:rsid w:val="004956B7"/>
    <w:rsid w:val="004960F1"/>
    <w:rsid w:val="004A7DB1"/>
    <w:rsid w:val="004B31B5"/>
    <w:rsid w:val="004B6228"/>
    <w:rsid w:val="004C3B14"/>
    <w:rsid w:val="004C772F"/>
    <w:rsid w:val="004C7DC2"/>
    <w:rsid w:val="004F36D5"/>
    <w:rsid w:val="0052744E"/>
    <w:rsid w:val="00537186"/>
    <w:rsid w:val="00562C53"/>
    <w:rsid w:val="005753B1"/>
    <w:rsid w:val="00581694"/>
    <w:rsid w:val="005927F6"/>
    <w:rsid w:val="00593543"/>
    <w:rsid w:val="005964F7"/>
    <w:rsid w:val="005974F6"/>
    <w:rsid w:val="005A5603"/>
    <w:rsid w:val="005A5CE6"/>
    <w:rsid w:val="005B65EF"/>
    <w:rsid w:val="005C7E38"/>
    <w:rsid w:val="005D2CDB"/>
    <w:rsid w:val="00612466"/>
    <w:rsid w:val="00634EE0"/>
    <w:rsid w:val="00641E8D"/>
    <w:rsid w:val="0065522C"/>
    <w:rsid w:val="006646C5"/>
    <w:rsid w:val="00673FAE"/>
    <w:rsid w:val="006A2EBA"/>
    <w:rsid w:val="006B2ADA"/>
    <w:rsid w:val="006B4E2A"/>
    <w:rsid w:val="006B5E13"/>
    <w:rsid w:val="006F24D1"/>
    <w:rsid w:val="00705AE4"/>
    <w:rsid w:val="0073214A"/>
    <w:rsid w:val="0076189F"/>
    <w:rsid w:val="00762524"/>
    <w:rsid w:val="007657E9"/>
    <w:rsid w:val="00767156"/>
    <w:rsid w:val="007772AD"/>
    <w:rsid w:val="007A1F2D"/>
    <w:rsid w:val="007A50D8"/>
    <w:rsid w:val="007C75FF"/>
    <w:rsid w:val="007D7901"/>
    <w:rsid w:val="007F3F25"/>
    <w:rsid w:val="007F63EA"/>
    <w:rsid w:val="0082731E"/>
    <w:rsid w:val="00832C04"/>
    <w:rsid w:val="008332C1"/>
    <w:rsid w:val="00833488"/>
    <w:rsid w:val="00834FC9"/>
    <w:rsid w:val="00854142"/>
    <w:rsid w:val="00873750"/>
    <w:rsid w:val="008A2B69"/>
    <w:rsid w:val="008C63A8"/>
    <w:rsid w:val="008D4693"/>
    <w:rsid w:val="008D5B0B"/>
    <w:rsid w:val="008F7A80"/>
    <w:rsid w:val="009249D5"/>
    <w:rsid w:val="0093169F"/>
    <w:rsid w:val="009333D0"/>
    <w:rsid w:val="009450FD"/>
    <w:rsid w:val="00974494"/>
    <w:rsid w:val="009875C4"/>
    <w:rsid w:val="00994BFD"/>
    <w:rsid w:val="00996355"/>
    <w:rsid w:val="009B0958"/>
    <w:rsid w:val="009E5559"/>
    <w:rsid w:val="009E7CC3"/>
    <w:rsid w:val="00A20D31"/>
    <w:rsid w:val="00A32163"/>
    <w:rsid w:val="00A352F3"/>
    <w:rsid w:val="00A358B1"/>
    <w:rsid w:val="00A83A45"/>
    <w:rsid w:val="00AA702B"/>
    <w:rsid w:val="00AA70BF"/>
    <w:rsid w:val="00AC58BF"/>
    <w:rsid w:val="00AC75BE"/>
    <w:rsid w:val="00B02047"/>
    <w:rsid w:val="00B1719D"/>
    <w:rsid w:val="00B26201"/>
    <w:rsid w:val="00B47502"/>
    <w:rsid w:val="00B6000E"/>
    <w:rsid w:val="00B67029"/>
    <w:rsid w:val="00B760AD"/>
    <w:rsid w:val="00C10A4A"/>
    <w:rsid w:val="00C14A09"/>
    <w:rsid w:val="00C2318A"/>
    <w:rsid w:val="00C3507B"/>
    <w:rsid w:val="00C436F9"/>
    <w:rsid w:val="00C51686"/>
    <w:rsid w:val="00C67EB3"/>
    <w:rsid w:val="00C85B4B"/>
    <w:rsid w:val="00C97898"/>
    <w:rsid w:val="00CA36D3"/>
    <w:rsid w:val="00CA5826"/>
    <w:rsid w:val="00CB6A4A"/>
    <w:rsid w:val="00CC4A87"/>
    <w:rsid w:val="00CF23EA"/>
    <w:rsid w:val="00CF67CF"/>
    <w:rsid w:val="00D00812"/>
    <w:rsid w:val="00D3414F"/>
    <w:rsid w:val="00D35A7E"/>
    <w:rsid w:val="00D42C5C"/>
    <w:rsid w:val="00D71363"/>
    <w:rsid w:val="00DA0651"/>
    <w:rsid w:val="00DB1911"/>
    <w:rsid w:val="00DB299F"/>
    <w:rsid w:val="00DD56DE"/>
    <w:rsid w:val="00DF1A3B"/>
    <w:rsid w:val="00E14C26"/>
    <w:rsid w:val="00E2048E"/>
    <w:rsid w:val="00E352E6"/>
    <w:rsid w:val="00E43AE3"/>
    <w:rsid w:val="00E45FD5"/>
    <w:rsid w:val="00E57D5F"/>
    <w:rsid w:val="00E829C7"/>
    <w:rsid w:val="00E924AF"/>
    <w:rsid w:val="00EA230F"/>
    <w:rsid w:val="00ED1D76"/>
    <w:rsid w:val="00ED76CF"/>
    <w:rsid w:val="00EE3707"/>
    <w:rsid w:val="00F035AF"/>
    <w:rsid w:val="00F04EE8"/>
    <w:rsid w:val="00F11B12"/>
    <w:rsid w:val="00F34504"/>
    <w:rsid w:val="00F53957"/>
    <w:rsid w:val="00F8245A"/>
    <w:rsid w:val="00FA0AF2"/>
    <w:rsid w:val="00FB3D64"/>
    <w:rsid w:val="00FD3B09"/>
    <w:rsid w:val="00FE3514"/>
    <w:rsid w:val="00FE6BE9"/>
    <w:rsid w:val="00FF5571"/>
    <w:rsid w:val="00FF71D8"/>
    <w:rsid w:val="2C7A5105"/>
    <w:rsid w:val="4B6702F3"/>
    <w:rsid w:val="50122996"/>
    <w:rsid w:val="6BC91E1E"/>
    <w:rsid w:val="74835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A57C13E"/>
  <w15:docId w15:val="{E63341F1-60E5-454E-B2B7-703C40D1A8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260" w:after="26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unhideWhenUsed/>
    <w:pPr>
      <w:jc w:val="left"/>
    </w:pPr>
  </w:style>
  <w:style w:type="paragraph" w:styleId="a5">
    <w:name w:val="Balloon Text"/>
    <w:basedOn w:val="a"/>
    <w:link w:val="a6"/>
    <w:uiPriority w:val="99"/>
    <w:semiHidden/>
    <w:unhideWhenUsed/>
    <w:qFormat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annotation subject"/>
    <w:basedOn w:val="a3"/>
    <w:next w:val="a3"/>
    <w:link w:val="ac"/>
    <w:uiPriority w:val="99"/>
    <w:semiHidden/>
    <w:unhideWhenUsed/>
    <w:rPr>
      <w:b/>
      <w:bCs/>
    </w:rPr>
  </w:style>
  <w:style w:type="table" w:styleId="ad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a4">
    <w:name w:val="批注文字 字符"/>
    <w:basedOn w:val="a0"/>
    <w:link w:val="a3"/>
    <w:uiPriority w:val="99"/>
    <w:qFormat/>
  </w:style>
  <w:style w:type="character" w:customStyle="1" w:styleId="a6">
    <w:name w:val="批注框文本 字符"/>
    <w:basedOn w:val="a0"/>
    <w:link w:val="a5"/>
    <w:uiPriority w:val="99"/>
    <w:semiHidden/>
    <w:qFormat/>
    <w:rPr>
      <w:sz w:val="18"/>
      <w:szCs w:val="18"/>
    </w:rPr>
  </w:style>
  <w:style w:type="table" w:customStyle="1" w:styleId="1">
    <w:name w:val="网格型1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c">
    <w:name w:val="批注主题 字符"/>
    <w:basedOn w:val="a4"/>
    <w:link w:val="ab"/>
    <w:uiPriority w:val="99"/>
    <w:semiHidden/>
    <w:qFormat/>
    <w:rPr>
      <w:b/>
      <w:bCs/>
    </w:rPr>
  </w:style>
  <w:style w:type="character" w:customStyle="1" w:styleId="aa">
    <w:name w:val="页眉 字符"/>
    <w:basedOn w:val="a0"/>
    <w:link w:val="a9"/>
    <w:uiPriority w:val="99"/>
    <w:qFormat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sz w:val="18"/>
      <w:szCs w:val="18"/>
    </w:rPr>
  </w:style>
  <w:style w:type="paragraph" w:customStyle="1" w:styleId="10">
    <w:name w:val="修订1"/>
    <w:hidden/>
    <w:uiPriority w:val="99"/>
    <w:unhideWhenUsed/>
    <w:qFormat/>
    <w:rPr>
      <w:rFonts w:asciiTheme="minorHAnsi" w:eastAsiaTheme="minorEastAsia" w:hAnsiTheme="minorHAnsi" w:cstheme="minorBidi"/>
      <w:kern w:val="2"/>
      <w:sz w:val="21"/>
      <w:szCs w:val="22"/>
    </w:rPr>
  </w:style>
  <w:style w:type="paragraph" w:customStyle="1" w:styleId="20">
    <w:name w:val="修订2"/>
    <w:hidden/>
    <w:uiPriority w:val="99"/>
    <w:unhideWhenUsed/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af">
    <w:name w:val="List Paragraph"/>
    <w:basedOn w:val="a"/>
    <w:uiPriority w:val="99"/>
    <w:unhideWhenUsed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A6660A-EF25-4AA7-81F4-369DAF3865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1390</TotalTime>
  <Pages>4</Pages>
  <Words>345</Words>
  <Characters>1970</Characters>
  <Application>Microsoft Office Word</Application>
  <DocSecurity>0</DocSecurity>
  <Lines>16</Lines>
  <Paragraphs>4</Paragraphs>
  <ScaleCrop>false</ScaleCrop>
  <Company/>
  <LinksUpToDate>false</LinksUpToDate>
  <CharactersWithSpaces>2311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23221</dc:creator>
  <cp:lastModifiedBy>陈莎莎</cp:lastModifiedBy>
  <cp:revision>123</cp:revision>
  <dcterms:created xsi:type="dcterms:W3CDTF">2023-12-04T06:19:00Z</dcterms:created>
  <dcterms:modified xsi:type="dcterms:W3CDTF">2026-07-01T09:23:00Z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B2F8F0D9D447468DBFBC4C5C41334AA3_12</vt:lpwstr>
  </property>
</Properties>
</file>