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C12647C">
      <w:pPr>
        <w:pStyle w:val="style1"/>
        <w:spacing w:after="240" w:afterLines="100"/>
        <w:rPr>
          <w:rFonts w:ascii="宋体" w:cs="宋体" w:eastAsia="宋体" w:hAnsi="宋体" w:hint="eastAsia"/>
          <w:sz w:val="20"/>
          <w:szCs w:val="20"/>
          <w:lang w:val="en-US"/>
        </w:rPr>
      </w:pPr>
      <w:r>
        <w:rPr>
          <w:rFonts w:ascii="宋体" w:cs="宋体" w:eastAsia="宋体" w:hAnsi="宋体" w:hint="eastAsia"/>
          <w:sz w:val="20"/>
          <w:szCs w:val="20"/>
          <w:lang w:val="en-US"/>
        </w:rPr>
        <w:t xml:space="preserve">证券代码：603038   </w:t>
      </w:r>
      <w:r>
        <w:rPr>
          <w:rFonts w:ascii="宋体" w:cs="宋体" w:eastAsia="宋体" w:hAnsi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cs="宋体" w:eastAsia="宋体" w:hAnsi="宋体" w:hint="eastAsia"/>
          <w:sz w:val="20"/>
          <w:szCs w:val="20"/>
          <w:lang w:val="en-US"/>
        </w:rPr>
        <w:t>证券简称：华立股份</w:t>
      </w:r>
    </w:p>
    <w:p w14:paraId="07F6AFC7">
      <w:pPr>
        <w:pStyle w:val="style0"/>
        <w:spacing w:lineRule="auto" w:line="360"/>
        <w:jc w:val="center"/>
        <w:rPr>
          <w:rFonts w:ascii="宋体" w:cs="宋体" w:eastAsia="宋体" w:hAnsi="宋体" w:hint="eastAsia"/>
          <w:b/>
          <w:bCs/>
          <w:sz w:val="44"/>
          <w:szCs w:val="44"/>
        </w:rPr>
      </w:pPr>
      <w:r>
        <w:rPr>
          <w:rFonts w:ascii="宋体" w:cs="宋体" w:eastAsia="宋体" w:hAnsi="宋体" w:hint="eastAsia"/>
          <w:b/>
          <w:bCs/>
          <w:sz w:val="44"/>
          <w:szCs w:val="44"/>
        </w:rPr>
        <w:t>东莞市华立实业股份有限公司</w:t>
      </w:r>
    </w:p>
    <w:p w14:paraId="7677E5CD">
      <w:pPr>
        <w:pStyle w:val="style0"/>
        <w:spacing w:lineRule="auto" w:line="360"/>
        <w:jc w:val="center"/>
        <w:rPr>
          <w:rFonts w:ascii="宋体" w:cs="宋体" w:eastAsia="宋体" w:hAnsi="宋体" w:hint="eastAsia"/>
          <w:sz w:val="44"/>
          <w:szCs w:val="44"/>
        </w:rPr>
      </w:pPr>
      <w:r>
        <w:rPr>
          <w:rFonts w:ascii="宋体" w:cs="宋体" w:eastAsia="宋体" w:hAnsi="宋体" w:hint="eastAsia"/>
          <w:b/>
          <w:bCs/>
          <w:sz w:val="44"/>
          <w:szCs w:val="44"/>
        </w:rPr>
        <w:t>投资者关系活动记录表</w:t>
      </w:r>
    </w:p>
    <w:p w14:paraId="4F556D09">
      <w:pPr>
        <w:pStyle w:val="style0"/>
        <w:spacing w:before="51" w:after="32"/>
        <w:ind w:right="619"/>
        <w:jc w:val="right"/>
        <w:rPr>
          <w:rFonts w:ascii="宋体" w:cs="宋体" w:eastAsia="宋体" w:hAnsi="宋体" w:hint="eastAsia"/>
          <w:sz w:val="20"/>
          <w:szCs w:val="20"/>
          <w:lang w:val="en-US"/>
        </w:rPr>
      </w:pPr>
      <w:r>
        <w:rPr>
          <w:rFonts w:ascii="宋体" w:cs="宋体" w:eastAsia="宋体" w:hAnsi="宋体" w:hint="eastAsia"/>
          <w:sz w:val="20"/>
          <w:szCs w:val="20"/>
        </w:rPr>
        <w:t>编号：</w:t>
      </w:r>
      <w:r>
        <w:rPr>
          <w:rFonts w:ascii="宋体" w:cs="宋体" w:eastAsia="宋体" w:hAnsi="宋体" w:hint="eastAsia"/>
          <w:sz w:val="20"/>
          <w:szCs w:val="20"/>
          <w:lang w:val="en-US"/>
        </w:rPr>
        <w:t>2026</w:t>
      </w:r>
      <w:r>
        <w:rPr>
          <w:rFonts w:ascii="宋体" w:cs="宋体" w:eastAsia="宋体" w:hAnsi="宋体" w:hint="eastAsia"/>
          <w:sz w:val="20"/>
          <w:szCs w:val="20"/>
        </w:rPr>
        <w:t>-00</w:t>
      </w:r>
      <w:r>
        <w:rPr>
          <w:rFonts w:ascii="宋体" w:cs="宋体" w:eastAsia="宋体" w:hAnsi="宋体"/>
          <w:sz w:val="20"/>
          <w:szCs w:val="20"/>
          <w:lang w:val="en-US"/>
        </w:rPr>
        <w:t>2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14:paraId="252877D8">
        <w:trPr>
          <w:trHeight w:val="2801" w:hRule="atLeast"/>
          <w:jc w:val="center"/>
        </w:trPr>
        <w:tc>
          <w:tcPr>
            <w:tcW w:w="2580" w:type="dxa"/>
            <w:tcBorders/>
            <w:vAlign w:val="center"/>
          </w:tcPr>
          <w:p w14:paraId="218DEF9C">
            <w:pPr>
              <w:pStyle w:val="style4097"/>
              <w:spacing w:before="1"/>
              <w:ind w:left="107"/>
              <w:jc w:val="both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  <w:tcBorders/>
          </w:tcPr>
          <w:p w14:paraId="6DF50A09">
            <w:pPr>
              <w:pStyle w:val="style4097"/>
              <w:spacing w:before="7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  <w:p w14:paraId="2E47DD61">
            <w:pPr>
              <w:pStyle w:val="style4097"/>
              <w:tabs>
                <w:tab w:val="left" w:leader="none" w:pos="2418"/>
              </w:tabs>
              <w:spacing w:before="1"/>
              <w:ind w:left="107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特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定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对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象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调研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ab/>
            </w: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分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师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会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议</w:t>
            </w:r>
          </w:p>
          <w:p w14:paraId="3051830F">
            <w:pPr>
              <w:pStyle w:val="style4097"/>
              <w:spacing w:before="11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  <w:p w14:paraId="53E30CDE">
            <w:pPr>
              <w:pStyle w:val="style4097"/>
              <w:tabs>
                <w:tab w:val="left" w:leader="none" w:pos="2418"/>
              </w:tabs>
              <w:ind w:left="107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媒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体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采访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ab/>
            </w: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业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绩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说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明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会</w:t>
            </w:r>
          </w:p>
          <w:p w14:paraId="71CE1793">
            <w:pPr>
              <w:pStyle w:val="style4097"/>
              <w:spacing w:before="8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  <w:p w14:paraId="0A2A9BFC">
            <w:pPr>
              <w:pStyle w:val="style4097"/>
              <w:tabs>
                <w:tab w:val="left" w:leader="none" w:pos="2418"/>
              </w:tabs>
              <w:ind w:left="107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新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闻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发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布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会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ab/>
            </w:r>
            <w:r>
              <w:rPr>
                <w:rFonts w:ascii="Wingdings 2" w:cs="宋体" w:eastAsia="MS Gothic" w:hAnsi="Wingdings 2" w:hint="eastAsia"/>
                <w:sz w:val="20"/>
                <w:szCs w:val="20"/>
              </w:rPr>
              <w:t>R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路</w:t>
            </w:r>
            <w:r>
              <w:rPr>
                <w:rFonts w:ascii="宋体" w:cs="宋体" w:eastAsia="宋体" w:hAnsi="宋体" w:hint="eastAsia"/>
                <w:spacing w:val="-3"/>
                <w:sz w:val="20"/>
                <w:szCs w:val="20"/>
              </w:rPr>
              <w:t>演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活动</w:t>
            </w:r>
          </w:p>
          <w:p w14:paraId="1AB4B023">
            <w:pPr>
              <w:pStyle w:val="style4097"/>
              <w:spacing w:before="8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  <w:p w14:paraId="6C942AF8">
            <w:pPr>
              <w:pStyle w:val="style4097"/>
              <w:ind w:left="107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现场参观</w:t>
            </w:r>
          </w:p>
          <w:p w14:paraId="17BEC60C">
            <w:pPr>
              <w:pStyle w:val="style4097"/>
              <w:spacing w:before="11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  <w:p w14:paraId="6439346D">
            <w:pPr>
              <w:pStyle w:val="style4097"/>
              <w:ind w:left="107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MS Gothic" w:cs="宋体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其他（</w:t>
            </w:r>
            <w:r>
              <w:rPr>
                <w:rFonts w:ascii="宋体" w:cs="宋体" w:eastAsia="宋体" w:hAnsi="宋体" w:hint="eastAsia"/>
                <w:sz w:val="20"/>
                <w:szCs w:val="20"/>
                <w:u w:val="single"/>
              </w:rPr>
              <w:t>请文字说明其他活动内容）</w:t>
            </w:r>
          </w:p>
        </w:tc>
      </w:tr>
      <w:tr w14:paraId="2A51F74C">
        <w:tblPrEx/>
        <w:trPr>
          <w:trHeight w:val="671" w:hRule="atLeast"/>
          <w:jc w:val="center"/>
        </w:trPr>
        <w:tc>
          <w:tcPr>
            <w:tcW w:w="2580" w:type="dxa"/>
            <w:tcBorders/>
            <w:vAlign w:val="center"/>
          </w:tcPr>
          <w:p w14:paraId="76701D1D">
            <w:pPr>
              <w:pStyle w:val="style4097"/>
              <w:spacing w:lineRule="exact" w:line="560"/>
              <w:ind w:left="107" w:right="96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tcBorders/>
            <w:vAlign w:val="center"/>
          </w:tcPr>
          <w:p w14:paraId="2E507533">
            <w:pPr>
              <w:pStyle w:val="style4097"/>
              <w:spacing w:before="100" w:beforeAutospacing="true" w:lineRule="auto" w:line="360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</w:rPr>
              <w:t>东北证券、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华泰证券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国金证券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、东亚前海证券、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上海承风私募、上海天倚道资管、渤源资产、上海道合咨询、九方智投、川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商基金、好买基金、势投金融、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臻垚基金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企业观察报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、天琛私募、林孚私募、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上海青拓资管、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宁波彩霞湾投资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、上海沃胜私募、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上海迈朵实业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嘉谌创投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中财招商投资集团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承风金萍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上海爱涨文化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理石投资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（</w:t>
            </w:r>
            <w:r>
              <w:rPr>
                <w:rFonts w:ascii="宋体" w:cs="宋体" w:eastAsia="宋体" w:hAnsi="宋体"/>
                <w:sz w:val="20"/>
                <w:szCs w:val="20"/>
              </w:rPr>
              <w:t>排名不分先后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）</w:t>
            </w:r>
          </w:p>
        </w:tc>
      </w:tr>
      <w:tr w14:paraId="5E0F7504">
        <w:tblPrEx/>
        <w:trPr>
          <w:trHeight w:val="558" w:hRule="atLeast"/>
          <w:jc w:val="center"/>
        </w:trPr>
        <w:tc>
          <w:tcPr>
            <w:tcW w:w="2580" w:type="dxa"/>
            <w:tcBorders/>
            <w:vAlign w:val="center"/>
          </w:tcPr>
          <w:p w14:paraId="1CF4F7C1">
            <w:pPr>
              <w:pStyle w:val="style4097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tcBorders/>
            <w:vAlign w:val="center"/>
          </w:tcPr>
          <w:p w14:paraId="494CA159">
            <w:pPr>
              <w:pStyle w:val="style0"/>
              <w:spacing w:before="100" w:beforeAutospacing="true" w:lineRule="auto" w:line="360"/>
              <w:rPr>
                <w:rFonts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</w:rPr>
              <w:t>2026年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6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月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30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 xml:space="preserve">日 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15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: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3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0-17: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3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0</w:t>
            </w:r>
          </w:p>
        </w:tc>
      </w:tr>
      <w:tr w14:paraId="5C22E297">
        <w:tblPrEx/>
        <w:trPr>
          <w:trHeight w:val="561" w:hRule="atLeast"/>
          <w:jc w:val="center"/>
        </w:trPr>
        <w:tc>
          <w:tcPr>
            <w:tcW w:w="2580" w:type="dxa"/>
            <w:tcBorders/>
            <w:vAlign w:val="center"/>
          </w:tcPr>
          <w:p w14:paraId="44DD0248">
            <w:pPr>
              <w:pStyle w:val="style4097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tcBorders/>
            <w:vAlign w:val="center"/>
          </w:tcPr>
          <w:p w14:paraId="2AF8F589">
            <w:pPr>
              <w:pStyle w:val="style4097"/>
              <w:spacing w:before="100" w:beforeAutospacing="true" w:lineRule="auto" w:line="360"/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上海浦东新区TOP新联T1座3层路演厅</w:t>
            </w:r>
          </w:p>
        </w:tc>
      </w:tr>
      <w:tr w14:paraId="166E9807">
        <w:tblPrEx/>
        <w:trPr>
          <w:trHeight w:val="558" w:hRule="atLeast"/>
          <w:jc w:val="center"/>
        </w:trPr>
        <w:tc>
          <w:tcPr>
            <w:tcW w:w="2580" w:type="dxa"/>
            <w:tcBorders/>
            <w:vAlign w:val="center"/>
          </w:tcPr>
          <w:p w14:paraId="4143FD42">
            <w:pPr>
              <w:pStyle w:val="style4097"/>
              <w:spacing w:before="1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tcBorders/>
            <w:vAlign w:val="center"/>
          </w:tcPr>
          <w:p w14:paraId="1E92723B">
            <w:pPr>
              <w:pStyle w:val="style4097"/>
              <w:widowControl/>
              <w:autoSpaceDE/>
              <w:autoSpaceDN/>
              <w:spacing w:lineRule="auto" w:line="360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/>
                <w:sz w:val="20"/>
                <w:szCs w:val="20"/>
              </w:rPr>
              <w:t>董事长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、总裁： 董建刚</w:t>
            </w:r>
          </w:p>
          <w:p w14:paraId="6DC7FE48">
            <w:pPr>
              <w:pStyle w:val="style4097"/>
              <w:widowControl/>
              <w:autoSpaceDE/>
              <w:autoSpaceDN/>
              <w:spacing w:lineRule="auto" w:line="360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/>
                <w:sz w:val="20"/>
                <w:szCs w:val="20"/>
              </w:rPr>
              <w:t>副总裁、董事会秘书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：</w:t>
            </w:r>
            <w:r>
              <w:rPr>
                <w:rFonts w:ascii="宋体" w:cs="宋体" w:eastAsia="宋体" w:hAnsi="宋体"/>
                <w:sz w:val="20"/>
                <w:szCs w:val="20"/>
              </w:rPr>
              <w:t>孙伟</w:t>
            </w:r>
          </w:p>
        </w:tc>
      </w:tr>
      <w:tr w14:paraId="42E70676">
        <w:tblPrEx/>
        <w:trPr>
          <w:trHeight w:val="983" w:hRule="atLeast"/>
          <w:jc w:val="center"/>
        </w:trPr>
        <w:tc>
          <w:tcPr>
            <w:tcW w:w="2580" w:type="dxa"/>
            <w:tcBorders/>
            <w:vAlign w:val="center"/>
          </w:tcPr>
          <w:p w14:paraId="1AEE2234">
            <w:pPr>
              <w:pStyle w:val="style4097"/>
              <w:spacing w:before="1"/>
              <w:ind w:left="107" w:right="96"/>
              <w:jc w:val="center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投资者关系活动</w:t>
            </w:r>
          </w:p>
          <w:p w14:paraId="7C5DD785">
            <w:pPr>
              <w:pStyle w:val="style4097"/>
              <w:spacing w:before="1"/>
              <w:ind w:left="107" w:right="96"/>
              <w:jc w:val="center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主</w:t>
            </w: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要内容介绍</w:t>
            </w:r>
          </w:p>
        </w:tc>
        <w:tc>
          <w:tcPr>
            <w:tcW w:w="5945" w:type="dxa"/>
            <w:tcBorders/>
            <w:vAlign w:val="center"/>
          </w:tcPr>
          <w:p w14:paraId="640DEB5E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在本次投资者交流会上，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机构提问与交流情况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：</w:t>
            </w:r>
          </w:p>
          <w:p w14:paraId="53A18BEF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问题1：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请问管理层如何看待当前国内水务行业的发展阶段、行业属性，以及过去几年行业在技术、商业模式和市场边界上发生的核心变化？</w:t>
            </w:r>
          </w:p>
          <w:p w14:paraId="77824263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我们认为国内水务行业正处于“估值逻辑重塑”的新发展阶段。行业属性正由传统的公用事业，向“基建+数字科技+民生消费”的复合型产业延伸。</w:t>
            </w:r>
          </w:p>
          <w:p w14:paraId="5B39C5C0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公司的核心逻辑在于把握三大增量市场：</w:t>
            </w:r>
          </w:p>
          <w:p w14:paraId="52644545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一是水厂新建及老旧提标改造；</w:t>
            </w:r>
          </w:p>
          <w:p w14:paraId="6BC23ED5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二是水务数字化与智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eastAsia="zh-CN"/>
              </w:rPr>
              <w:t>能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化升级；</w:t>
            </w:r>
          </w:p>
          <w:p w14:paraId="15F15842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三是高附加值的管道直饮水等细分市场。</w:t>
            </w:r>
          </w:p>
          <w:p w14:paraId="66D39E96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我们的商业模式正从传统的设备销售，升级为“核心膜材料+智能装备+数字化平台长效运营”的体系，这不仅能拓宽市场边界，还能带来更具持续性的运维现金流，打开了传统水务的成长空间。</w:t>
            </w:r>
          </w:p>
          <w:p w14:paraId="5F77CCB0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问题2：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借力国家大力推动的“六张网”基础设施建设政策，公司在水网和地下管网领域有哪些具体的业务布局、技术储备与发展机遇？</w:t>
            </w:r>
          </w:p>
          <w:p w14:paraId="6734F1D3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围绕国家水网及地下管网的更新改造政策，公司主要在水网智能化改造和地下管网监测方向进行了布局。我们依托自产的超滤膜组件和自研的“磐石”智慧水务平台，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能够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提供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智能装备、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管网漏损监测、水质在线感知等一体化交付能力。</w:t>
            </w:r>
          </w:p>
          <w:p w14:paraId="752E08EF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问题3：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在水务行业科技化升级背景下，公司在“智能+水务”垂直领域有哪些技术布局与具体落地应用场景？</w:t>
            </w:r>
          </w:p>
          <w:p w14:paraId="0219BE80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公司深耕水务行业多年，积累了大量的数据和算法，自研的"磐石"智慧水务平台是水务行业的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数字化平台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可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实现24小时水质在线监测、设备运行优化、故障预警及远程无人值守运维。</w:t>
            </w:r>
          </w:p>
          <w:p w14:paraId="30ADE9C6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公司智能+水务覆盖全产业链多元场景：</w:t>
            </w:r>
          </w:p>
          <w:p w14:paraId="1AEE3065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一是水厂智能管控，依托自研磐石数字化平台，搭载智能水质预测、膜污染智能识别算法，打造数字孪生无人水厂，实现产线自动调控、故障提前预警；</w:t>
            </w:r>
          </w:p>
          <w:p w14:paraId="3EC3468B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二是管网智慧运维，算法精准测算管网漏损点位、水力工况，降低管网耗损；</w:t>
            </w:r>
          </w:p>
          <w:p w14:paraId="647610A5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三是全域运营管理，通过智能调度系统统筹城乡供水、污水处理，实现能耗、运维成本大幅优化。</w:t>
            </w:r>
          </w:p>
          <w:p w14:paraId="20697517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此外，公司与相关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行业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企业（如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eastAsia="zh-CN"/>
              </w:rPr>
              <w:t>上海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图灵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eastAsia="zh-CN"/>
              </w:rPr>
              <w:t>公司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eastAsia="zh-CN"/>
              </w:rPr>
              <w:t>开展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战略合作，初步探索前沿技术在水务数据安全中的融合。</w:t>
            </w:r>
          </w:p>
          <w:p w14:paraId="730019A5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宏观政策的落地转化为具体订单尚存不确定性。同时，前沿技术储备短期内尚未且不会为公司带来实质性营收，请投资者理性看待，切勿盲目炒作热点概念。</w:t>
            </w:r>
          </w:p>
          <w:p w14:paraId="65E4CD58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问题4：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结合近期外宾来访，公司整体的海外业务布局思路、重点区域规划以及目前在海外市场取得的实质性进展是怎样的？</w:t>
            </w:r>
          </w:p>
          <w:p w14:paraId="15A6934B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海外业务方面，公司构建了“贸易输出+本地运营”双轮驱动路径，目前重点拓展中亚、东南亚等市场。2025年公司境外营业收入已达到1.06亿元，</w:t>
            </w:r>
          </w:p>
          <w:p w14:paraId="326D746C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近期乌兹别克斯坦代表团的到访，也将进一步助力公司探索超滤水厂、智慧水务装备在当地的落地机会。</w:t>
            </w:r>
          </w:p>
          <w:p w14:paraId="2C181459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问题5：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公司与东莞水务集团签约合作直饮水项目的核心初衷、战略考量、市场判断以及后续的拓展规划是什么？</w:t>
            </w:r>
          </w:p>
          <w:p w14:paraId="32D16E41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直饮水市场中长期成长空间广阔。本次与东莞水务集团合作的核心初衷，是发挥国企区域管网综合运营资源与民企硬核膜技术、数字化平台的双向互补优势。</w:t>
            </w:r>
          </w:p>
          <w:p w14:paraId="277F77E0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本次合作有助于公司依托自身“超滤+纳滤”双膜法净水工艺及数字运营体系，切入城市直饮水赛道。双方致力于以东莞为样板，稳步推进分质供水及直饮水民生工程示范项目，未来视项目落地情况，有望将成熟的建设与运营标准向更多区域辐射。</w:t>
            </w:r>
          </w:p>
          <w:p w14:paraId="6026920F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该合作目前为战略框架，具体项目的落地、投资规模及覆盖节奏仍需视实际实施情况而定，业务扩张存在不确定性。</w:t>
            </w:r>
          </w:p>
          <w:p w14:paraId="42BE2071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问题6：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2025年公司建材板材板块营收实现10%以上逆势增长的核心驱动因素是什么，且该板块未来的增长逻辑是否具备可持续性？</w:t>
            </w:r>
          </w:p>
          <w:p w14:paraId="12EF6479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2025年，在下游市场整体承压的大环境下，公司装饰复合材料业务实现营收9.55亿元，逆势同比增长10.90%，毛利率提升至24.62%。特别是核心产品饰面板收入大幅增长45.88%。</w:t>
            </w:r>
          </w:p>
          <w:p w14:paraId="04EE2C22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这一亮眼表现主要得益于公司“数智融合”战略及精准的渠道定位：</w:t>
            </w:r>
          </w:p>
          <w:p w14:paraId="401FD457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模式创新：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通过自研的虹湾家居平台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及全国仓储网络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，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创新推行“现货库存+单件起定量”的柔性供应链模式，精准切中中小定制家居工厂和家装门店碎片化、急单补单的需求，大幅降低了B端客户采购门槛，深度绑定了下沉市场。</w:t>
            </w:r>
          </w:p>
          <w:p w14:paraId="2021EC18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产品壁垒：公司紧抓整家定制、存量翻新的需求，旗下“华富立”饰面板取得国标环保认证，并依托自有技术实现“原厂板边一体化”配套，成功避开低端价格战，持续斩获了大量增量订单。</w:t>
            </w:r>
          </w:p>
          <w:p w14:paraId="506B0A11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2" w:firstLineChars="200"/>
              <w:jc w:val="both"/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0"/>
                <w:szCs w:val="20"/>
              </w:rPr>
              <w:t>问题7：</w:t>
            </w:r>
            <w:r>
              <w:rPr>
                <w:rFonts w:ascii="宋体" w:eastAsia="宋体" w:hAnsi="宋体"/>
                <w:b/>
                <w:bCs/>
                <w:color w:val="000000"/>
                <w:sz w:val="20"/>
                <w:szCs w:val="20"/>
              </w:rPr>
              <w:t>公司在市值管理、投资者回报以及结合“新质生产力”导向加大业务与研发投入方面，有哪些具体的举措与长期规划？</w:t>
            </w:r>
          </w:p>
          <w:p w14:paraId="356E149B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答：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在市值管理层面，公司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以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双轮驱动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  <w:lang w:val="en-US"/>
              </w:rPr>
              <w:t>为业务战略</w:t>
            </w: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、做实基本面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。</w:t>
            </w:r>
          </w:p>
          <w:p w14:paraId="5B193D66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eastAsia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建材板块充当“现金牛”，持续贡献稳定的利润；智慧水务板块打造强劲的“第二增长曲线”。同时，公司高度重视投资者回报，未来将在保障日常经营的前提下，坚持稳健的现金分红政策，依法合规传递公司价值。</w:t>
            </w:r>
          </w:p>
          <w:p w14:paraId="6CA265A8">
            <w:pPr>
              <w:pStyle w:val="style0"/>
              <w:widowControl/>
              <w:overflowPunct w:val="false"/>
              <w:autoSpaceDE/>
              <w:autoSpaceDN/>
              <w:spacing w:lineRule="auto" w:line="360"/>
              <w:ind w:firstLine="400" w:firstLineChars="200"/>
              <w:jc w:val="both"/>
              <w:rPr>
                <w:rFonts w:ascii="宋体" w:cs="宋体" w:eastAsia="宋体" w:hAnsi="宋体" w:hint="eastAsia"/>
                <w:bCs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/>
                <w:color w:val="000000"/>
                <w:sz w:val="20"/>
                <w:szCs w:val="20"/>
              </w:rPr>
              <w:t>在做强主业的基础上，结合公司在智能制造和水务行业丰富的应用场景和大量的数据，寻找外部合作伙伴，共同推动智能+产业的政策在公司落地，以期实现快速发展。</w:t>
            </w:r>
          </w:p>
        </w:tc>
      </w:tr>
      <w:tr w14:paraId="060A48E9">
        <w:tblPrEx/>
        <w:trPr>
          <w:trHeight w:val="999" w:hRule="atLeast"/>
          <w:jc w:val="center"/>
        </w:trPr>
        <w:tc>
          <w:tcPr>
            <w:tcW w:w="2580" w:type="dxa"/>
            <w:tcBorders/>
            <w:vAlign w:val="center"/>
          </w:tcPr>
          <w:p w14:paraId="4A544600">
            <w:pPr>
              <w:pStyle w:val="style4097"/>
              <w:spacing w:before="1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关于本次活动是否涉及应</w:t>
            </w:r>
          </w:p>
          <w:p w14:paraId="093F772F">
            <w:pPr>
              <w:pStyle w:val="style4097"/>
              <w:spacing w:before="1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tcBorders/>
            <w:vAlign w:val="center"/>
          </w:tcPr>
          <w:p w14:paraId="2C13BB22">
            <w:pPr>
              <w:pStyle w:val="style4097"/>
              <w:spacing w:before="100" w:beforeAutospacing="true" w:lineRule="auto" w:line="360"/>
              <w:rPr>
                <w:rFonts w:ascii="宋体" w:cs="宋体" w:eastAsia="宋体" w:hAnsi="宋体" w:hint="eastAsia"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sz w:val="20"/>
                <w:szCs w:val="20"/>
              </w:rPr>
              <w:t>本次活动不涉及未公开披露的重大信息。</w:t>
            </w:r>
          </w:p>
        </w:tc>
      </w:tr>
      <w:tr w14:paraId="4BCB1926">
        <w:tblPrEx/>
        <w:trPr>
          <w:trHeight w:val="558" w:hRule="atLeast"/>
          <w:jc w:val="center"/>
        </w:trPr>
        <w:tc>
          <w:tcPr>
            <w:tcW w:w="2580" w:type="dxa"/>
            <w:tcBorders/>
            <w:vAlign w:val="center"/>
          </w:tcPr>
          <w:p w14:paraId="3D95389A">
            <w:pPr>
              <w:pStyle w:val="style4097"/>
              <w:spacing w:before="1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tcBorders/>
            <w:vAlign w:val="center"/>
          </w:tcPr>
          <w:p w14:paraId="412F963A">
            <w:pPr>
              <w:pStyle w:val="style4097"/>
              <w:spacing w:before="100" w:beforeAutospacing="true" w:lineRule="auto" w:line="360"/>
              <w:rPr>
                <w:rFonts w:ascii="宋体" w:cs="宋体" w:eastAsia="宋体" w:hAnsi="宋体" w:hint="eastAsia"/>
                <w:sz w:val="20"/>
                <w:szCs w:val="20"/>
              </w:rPr>
            </w:pPr>
          </w:p>
        </w:tc>
      </w:tr>
      <w:tr w14:paraId="46CEF415">
        <w:tblPrEx/>
        <w:trPr>
          <w:trHeight w:val="558" w:hRule="atLeast"/>
          <w:jc w:val="center"/>
        </w:trPr>
        <w:tc>
          <w:tcPr>
            <w:tcW w:w="2580" w:type="dxa"/>
            <w:tcBorders/>
            <w:vAlign w:val="center"/>
          </w:tcPr>
          <w:p w14:paraId="6B11DE49">
            <w:pPr>
              <w:pStyle w:val="style4097"/>
              <w:spacing w:before="1"/>
              <w:ind w:left="107"/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</w:pPr>
            <w:r>
              <w:rPr>
                <w:rFonts w:ascii="宋体" w:cs="宋体" w:eastAsia="宋体" w:hAnsi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tcBorders/>
            <w:vAlign w:val="center"/>
          </w:tcPr>
          <w:p w14:paraId="17B73E68">
            <w:pPr>
              <w:pStyle w:val="style4097"/>
              <w:spacing w:before="100" w:beforeAutospacing="true"/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</w:pPr>
            <w:r>
              <w:rPr>
                <w:rFonts w:ascii="宋体" w:cs="宋体" w:eastAsia="宋体" w:hAnsi="宋体"/>
                <w:sz w:val="20"/>
                <w:szCs w:val="20"/>
              </w:rPr>
              <w:t>202</w:t>
            </w:r>
            <w:r>
              <w:rPr>
                <w:rFonts w:ascii="宋体" w:cs="宋体" w:eastAsia="宋体" w:hAnsi="宋体" w:hint="eastAsia"/>
                <w:sz w:val="20"/>
                <w:szCs w:val="20"/>
              </w:rPr>
              <w:t>6</w:t>
            </w:r>
            <w:r>
              <w:rPr>
                <w:rFonts w:ascii="宋体" w:cs="宋体" w:eastAsia="宋体" w:hAnsi="宋体"/>
                <w:sz w:val="20"/>
                <w:szCs w:val="20"/>
              </w:rPr>
              <w:t>年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6</w:t>
            </w:r>
            <w:r>
              <w:rPr>
                <w:rFonts w:ascii="宋体" w:cs="宋体" w:eastAsia="宋体" w:hAnsi="宋体"/>
                <w:sz w:val="20"/>
                <w:szCs w:val="20"/>
              </w:rPr>
              <w:t>月</w:t>
            </w:r>
            <w:r>
              <w:rPr>
                <w:rFonts w:ascii="宋体" w:cs="宋体" w:eastAsia="宋体" w:hAnsi="宋体" w:hint="eastAsia"/>
                <w:sz w:val="20"/>
                <w:szCs w:val="20"/>
                <w:lang w:val="en-US"/>
              </w:rPr>
              <w:t>30</w:t>
            </w:r>
            <w:r>
              <w:rPr>
                <w:rFonts w:ascii="宋体" w:cs="宋体" w:eastAsia="宋体" w:hAnsi="宋体"/>
                <w:sz w:val="20"/>
                <w:szCs w:val="20"/>
              </w:rPr>
              <w:t>日</w:t>
            </w:r>
          </w:p>
        </w:tc>
      </w:tr>
    </w:tbl>
    <w:p w14:paraId="7986A5E5">
      <w:pPr>
        <w:pStyle w:val="style0"/>
        <w:rPr>
          <w:rFonts w:ascii="宋体" w:cs="宋体" w:eastAsia="宋体" w:hAnsi="宋体" w:hint="eastAsia"/>
          <w:color w:val="0000ff"/>
          <w:sz w:val="28"/>
          <w:szCs w:val="28"/>
        </w:rPr>
      </w:pPr>
    </w:p>
    <w:sectPr>
      <w:type w:val="continuous"/>
      <w:pgSz w:w="11910" w:h="16840" w:orient="portrait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001010101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uiPriority w:val="1"/>
    <w:pPr>
      <w:widowControl w:val="false"/>
      <w:autoSpaceDE w:val="false"/>
      <w:autoSpaceDN w:val="false"/>
    </w:pPr>
    <w:rPr>
      <w:rFonts w:ascii="仿宋" w:cs="仿宋" w:eastAsia="仿宋" w:hAnsi="仿宋"/>
      <w:sz w:val="22"/>
      <w:szCs w:val="22"/>
      <w:lang w:val="zh-CN" w:bidi="zh-CN"/>
    </w:rPr>
  </w:style>
  <w:style w:type="paragraph" w:styleId="style1">
    <w:name w:val="heading 1"/>
    <w:basedOn w:val="style0"/>
    <w:next w:val="style0"/>
    <w:qFormat/>
    <w:uiPriority w:val="1"/>
    <w:pPr>
      <w:outlineLvl w:val="0"/>
    </w:pPr>
    <w:rPr>
      <w:rFonts w:ascii="PMingLiU" w:cs="PMingLiU" w:eastAsia="PMingLiU" w:hAnsi="PMingLiU"/>
      <w:sz w:val="44"/>
      <w:szCs w:val="44"/>
    </w:rPr>
  </w:style>
  <w:style w:type="paragraph" w:styleId="style2">
    <w:name w:val="heading 2"/>
    <w:basedOn w:val="style0"/>
    <w:next w:val="style0"/>
    <w:link w:val="style4103"/>
    <w:qFormat/>
    <w:pPr>
      <w:keepNext/>
      <w:keepLines/>
      <w:spacing w:before="260" w:after="260" w:lineRule="auto" w:line="416"/>
      <w:outlineLvl w:val="1"/>
    </w:pPr>
    <w:rPr>
      <w:rFonts w:ascii="Calibri Light" w:cs="宋体" w:eastAsia="宋体" w:hAnsi="Calibri Light"/>
      <w:b/>
      <w:bCs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39">
    <w:name w:val="annotation reference"/>
    <w:basedOn w:val="style65"/>
    <w:next w:val="style39"/>
    <w:qFormat/>
    <w:rPr>
      <w:sz w:val="21"/>
      <w:szCs w:val="21"/>
    </w:rPr>
  </w:style>
  <w:style w:type="paragraph" w:styleId="style31">
    <w:name w:val="header"/>
    <w:basedOn w:val="style0"/>
    <w:next w:val="style31"/>
    <w:link w:val="style4098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30">
    <w:name w:val="annotation text"/>
    <w:basedOn w:val="style0"/>
    <w:next w:val="style30"/>
    <w:link w:val="style4100"/>
    <w:qFormat/>
    <w:pPr/>
  </w:style>
  <w:style w:type="paragraph" w:styleId="style66">
    <w:name w:val="Body Text"/>
    <w:basedOn w:val="style0"/>
    <w:next w:val="style66"/>
    <w:qFormat/>
    <w:uiPriority w:val="1"/>
    <w:pPr>
      <w:ind w:left="220"/>
    </w:pPr>
    <w:rPr>
      <w:sz w:val="32"/>
      <w:szCs w:val="32"/>
    </w:rPr>
  </w:style>
  <w:style w:type="paragraph" w:styleId="style32">
    <w:name w:val="footer"/>
    <w:basedOn w:val="style0"/>
    <w:next w:val="style32"/>
    <w:link w:val="style4099"/>
    <w:qFormat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106">
    <w:name w:val="annotation subject"/>
    <w:basedOn w:val="style30"/>
    <w:next w:val="style30"/>
    <w:link w:val="style4101"/>
    <w:qFormat/>
    <w:pPr/>
    <w:rPr>
      <w:b/>
      <w:bCs/>
    </w:rPr>
  </w:style>
  <w:style w:type="paragraph" w:styleId="style153">
    <w:name w:val="Balloon Text"/>
    <w:basedOn w:val="style0"/>
    <w:next w:val="style153"/>
    <w:link w:val="style4102"/>
    <w:qFormat/>
    <w:pPr/>
    <w:rPr>
      <w:sz w:val="18"/>
      <w:szCs w:val="18"/>
    </w:rPr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character" w:customStyle="1" w:styleId="style4098">
    <w:name w:val="页眉 字符"/>
    <w:basedOn w:val="style65"/>
    <w:next w:val="style4098"/>
    <w:link w:val="style31"/>
    <w:qFormat/>
    <w:rPr>
      <w:rFonts w:ascii="仿宋" w:cs="仿宋" w:eastAsia="仿宋" w:hAnsi="仿宋"/>
      <w:sz w:val="18"/>
      <w:szCs w:val="18"/>
      <w:lang w:val="zh-CN" w:bidi="zh-CN"/>
    </w:rPr>
  </w:style>
  <w:style w:type="character" w:customStyle="1" w:styleId="style4099">
    <w:name w:val="页脚 字符"/>
    <w:basedOn w:val="style65"/>
    <w:next w:val="style4099"/>
    <w:link w:val="style32"/>
    <w:qFormat/>
    <w:rPr>
      <w:rFonts w:ascii="仿宋" w:cs="仿宋" w:eastAsia="仿宋" w:hAnsi="仿宋"/>
      <w:sz w:val="18"/>
      <w:szCs w:val="18"/>
      <w:lang w:val="zh-CN" w:bidi="zh-CN"/>
    </w:rPr>
  </w:style>
  <w:style w:type="character" w:customStyle="1" w:styleId="style4100">
    <w:name w:val="批注文字 字符"/>
    <w:basedOn w:val="style65"/>
    <w:next w:val="style4100"/>
    <w:link w:val="style30"/>
    <w:qFormat/>
    <w:rPr>
      <w:rFonts w:ascii="仿宋" w:cs="仿宋" w:eastAsia="仿宋" w:hAnsi="仿宋"/>
      <w:sz w:val="22"/>
      <w:szCs w:val="22"/>
      <w:lang w:val="zh-CN" w:bidi="zh-CN"/>
    </w:rPr>
  </w:style>
  <w:style w:type="character" w:customStyle="1" w:styleId="style4101">
    <w:name w:val="批注主题 字符"/>
    <w:basedOn w:val="style4100"/>
    <w:next w:val="style4101"/>
    <w:link w:val="style106"/>
    <w:qFormat/>
    <w:rPr>
      <w:rFonts w:ascii="仿宋" w:cs="仿宋" w:eastAsia="仿宋" w:hAnsi="仿宋"/>
      <w:b/>
      <w:bCs/>
      <w:sz w:val="22"/>
      <w:szCs w:val="22"/>
      <w:lang w:val="zh-CN" w:bidi="zh-CN"/>
    </w:rPr>
  </w:style>
  <w:style w:type="character" w:customStyle="1" w:styleId="style4102">
    <w:name w:val="批注框文本 字符"/>
    <w:basedOn w:val="style65"/>
    <w:next w:val="style4102"/>
    <w:link w:val="style153"/>
    <w:qFormat/>
    <w:rPr>
      <w:rFonts w:ascii="仿宋" w:cs="仿宋" w:eastAsia="仿宋" w:hAnsi="仿宋"/>
      <w:sz w:val="18"/>
      <w:szCs w:val="18"/>
      <w:lang w:val="zh-CN" w:bidi="zh-CN"/>
    </w:rPr>
  </w:style>
  <w:style w:type="character" w:customStyle="1" w:styleId="style4103">
    <w:name w:val="标题 2 字符"/>
    <w:basedOn w:val="style65"/>
    <w:next w:val="style4103"/>
    <w:link w:val="style2"/>
    <w:rPr>
      <w:rFonts w:ascii="Calibri Light" w:cs="宋体" w:eastAsia="宋体" w:hAnsi="Calibri Light"/>
      <w:b/>
      <w:bCs/>
      <w:sz w:val="32"/>
      <w:szCs w:val="32"/>
      <w:lang w:val="zh-CN" w:bidi="zh-CN"/>
    </w:rPr>
  </w:style>
  <w:style w:type="paragraph" w:styleId="style178">
    <w:name w:val="Revision"/>
    <w:next w:val="style178"/>
    <w:uiPriority w:val="99"/>
    <w:pPr/>
    <w:rPr>
      <w:rFonts w:ascii="仿宋" w:cs="仿宋" w:eastAsia="仿宋" w:hAnsi="仿宋"/>
      <w:sz w:val="22"/>
      <w:szCs w:val="22"/>
      <w:lang w:val="zh-CN" w:bidi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2416454-D52C-4974-A468-5D02FFFC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Words>2325</Words>
  <Pages>4</Pages>
  <Characters>2391</Characters>
  <Application>WPS Office</Application>
  <DocSecurity>0</DocSecurity>
  <Paragraphs>77</Paragraphs>
  <ScaleCrop>false</ScaleCrop>
  <LinksUpToDate>false</LinksUpToDate>
  <CharactersWithSpaces>2437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2025-05-16T02:55:00Z</dcterms:created>
  <dc:creator>jie.huang</dc:creator>
  <lastModifiedBy>SM-F9560</lastModifiedBy>
  <dcterms:modified xsi:type="dcterms:W3CDTF">2026-07-02T04:51:29Z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3076-12.1.25205.25205</vt:lpwstr>
  </property>
  <property fmtid="{D5CDD505-2E9C-101B-9397-08002B2CF9AE}" pid="3" name="ICV">
    <vt:lpwstr>6f74bfd2d8154c2eaeb8c20a053fe539_23</vt:lpwstr>
  </property>
  <property fmtid="{D5CDD505-2E9C-101B-9397-08002B2CF9AE}" pid="4" name="KSOTemplateDocerSaveRecord">
    <vt:lpwstr>eyJoZGlkIjoiZmNjMDg1ZWJlMjY2ZmI2OGMxMWI5NDhlY2Y0MWJjZTAiLCJ1c2VySWQiOiIzNTQzNzU4NTIifQ==</vt:lpwstr>
  </property>
</Properties>
</file>