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黑体"/>
          <w:bCs/>
          <w:sz w:val="24"/>
        </w:rPr>
      </w:pPr>
      <w:bookmarkStart w:id="0" w:name="OLE_LINK5"/>
      <w:bookmarkStart w:id="1" w:name="OLE_LINK7"/>
      <w:bookmarkStart w:id="2" w:name="OLE_LINK8"/>
      <w:r>
        <w:rPr>
          <w:rFonts w:hint="eastAsia" w:ascii="Times New Roman" w:hAnsi="Times New Roman" w:eastAsia="黑体"/>
          <w:bCs/>
          <w:sz w:val="24"/>
        </w:rPr>
        <w:t>证券代码：</w:t>
      </w:r>
      <w:r>
        <w:rPr>
          <w:rFonts w:ascii="Times New Roman" w:hAnsi="Times New Roman" w:eastAsia="黑体"/>
          <w:bCs/>
          <w:sz w:val="24"/>
        </w:rPr>
        <w:t xml:space="preserve">601187                                  </w:t>
      </w:r>
      <w:r>
        <w:rPr>
          <w:rFonts w:hint="eastAsia" w:ascii="Times New Roman" w:hAnsi="Times New Roman" w:eastAsia="黑体"/>
          <w:bCs/>
          <w:sz w:val="24"/>
        </w:rPr>
        <w:t>证券简称：厦门银行</w:t>
      </w:r>
    </w:p>
    <w:p>
      <w:pPr>
        <w:spacing w:line="360" w:lineRule="auto"/>
        <w:jc w:val="center"/>
        <w:rPr>
          <w:rFonts w:ascii="Times New Roman" w:hAnsi="Times New Roman" w:eastAsia="黑体"/>
          <w:b/>
          <w:sz w:val="32"/>
          <w:szCs w:val="32"/>
        </w:rPr>
      </w:pPr>
      <w:bookmarkStart w:id="3" w:name="OLE_LINK4"/>
      <w:r>
        <w:rPr>
          <w:rFonts w:hint="eastAsia" w:ascii="Times New Roman" w:hAnsi="Times New Roman" w:eastAsia="黑体"/>
          <w:b/>
          <w:sz w:val="32"/>
          <w:szCs w:val="32"/>
        </w:rPr>
        <w:t>厦门银行股份有限公司</w:t>
      </w:r>
    </w:p>
    <w:p>
      <w:pPr>
        <w:spacing w:line="360" w:lineRule="auto"/>
        <w:jc w:val="center"/>
        <w:rPr>
          <w:rFonts w:ascii="Times New Roman" w:hAnsi="Times New Roman" w:eastAsia="黑体"/>
          <w:b/>
          <w:bCs/>
          <w:iCs/>
          <w:color w:val="000000"/>
          <w:sz w:val="32"/>
          <w:szCs w:val="32"/>
        </w:rPr>
      </w:pPr>
      <w:bookmarkStart w:id="4" w:name="OLE_LINK3"/>
      <w:r>
        <w:rPr>
          <w:rFonts w:hint="eastAsia" w:ascii="Times New Roman" w:hAnsi="Times New Roman" w:eastAsia="黑体"/>
          <w:b/>
          <w:bCs/>
          <w:iCs/>
          <w:color w:val="000000"/>
          <w:sz w:val="32"/>
          <w:szCs w:val="32"/>
        </w:rPr>
        <w:t>投资者关系</w:t>
      </w:r>
      <w:bookmarkStart w:id="5" w:name="OLE_LINK2"/>
      <w:bookmarkStart w:id="6" w:name="OLE_LINK1"/>
      <w:r>
        <w:rPr>
          <w:rFonts w:hint="eastAsia" w:ascii="Times New Roman" w:hAnsi="Times New Roman" w:eastAsia="黑体"/>
          <w:b/>
          <w:bCs/>
          <w:iCs/>
          <w:color w:val="000000"/>
          <w:sz w:val="32"/>
          <w:szCs w:val="32"/>
        </w:rPr>
        <w:t>活动记录表</w:t>
      </w:r>
      <w:bookmarkEnd w:id="4"/>
      <w:bookmarkEnd w:id="5"/>
      <w:bookmarkEnd w:id="6"/>
    </w:p>
    <w:bookmarkEnd w:id="3"/>
    <w:p>
      <w:pPr>
        <w:spacing w:line="400" w:lineRule="exact"/>
        <w:jc w:val="right"/>
        <w:rPr>
          <w:rFonts w:ascii="Times New Roman" w:hAnsi="Times New Roman" w:eastAsia="宋体"/>
          <w:bCs/>
          <w:iCs/>
          <w:color w:val="000000"/>
          <w:sz w:val="24"/>
        </w:rPr>
      </w:pPr>
      <w:r>
        <w:rPr>
          <w:rFonts w:ascii="Times New Roman" w:hAnsi="Times New Roman" w:eastAsia="宋体"/>
          <w:bCs/>
          <w:iCs/>
          <w:color w:val="000000"/>
          <w:sz w:val="24"/>
        </w:rPr>
        <w:t xml:space="preserve">                                               </w:t>
      </w:r>
      <w:r>
        <w:rPr>
          <w:rFonts w:hint="eastAsia" w:ascii="Times New Roman" w:hAnsi="Times New Roman" w:eastAsia="宋体"/>
          <w:bCs/>
          <w:iCs/>
          <w:color w:val="000000"/>
          <w:sz w:val="24"/>
        </w:rPr>
        <w:t>编号：</w:t>
      </w:r>
      <w:r>
        <w:rPr>
          <w:rFonts w:ascii="Times New Roman" w:hAnsi="Times New Roman" w:eastAsia="宋体"/>
          <w:bCs/>
          <w:iCs/>
          <w:color w:val="000000"/>
          <w:sz w:val="24"/>
          <w:highlight w:val="none"/>
        </w:rPr>
        <w:t>2026-</w:t>
      </w:r>
      <w:r>
        <w:rPr>
          <w:rFonts w:hint="eastAsia" w:ascii="Times New Roman" w:hAnsi="Times New Roman" w:eastAsia="宋体"/>
          <w:bCs/>
          <w:iCs/>
          <w:color w:val="000000"/>
          <w:sz w:val="24"/>
          <w:highlight w:val="none"/>
          <w:lang w:val="en-US" w:eastAsia="zh-CN"/>
        </w:rPr>
        <w:t>06</w:t>
      </w:r>
      <w:r>
        <w:rPr>
          <w:rFonts w:ascii="Times New Roman" w:hAnsi="Times New Roman" w:eastAsia="宋体"/>
          <w:bCs/>
          <w:iCs/>
          <w:color w:val="000000"/>
          <w:sz w:val="24"/>
        </w:rPr>
        <w:t xml:space="preserve">                                                     </w:t>
      </w:r>
    </w:p>
    <w:tbl>
      <w:tblPr>
        <w:tblStyle w:val="12"/>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1696"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宋体"/>
                <w:b/>
                <w:bCs/>
                <w:iCs/>
                <w:color w:val="000000"/>
                <w:sz w:val="24"/>
              </w:rPr>
            </w:pPr>
            <w:r>
              <w:rPr>
                <w:rFonts w:hint="eastAsia" w:ascii="Times New Roman" w:hAnsi="Times New Roman" w:eastAsia="宋体"/>
                <w:b/>
                <w:bCs/>
                <w:iCs/>
                <w:color w:val="000000"/>
                <w:sz w:val="24"/>
              </w:rPr>
              <w:t>投资者关系活动类别</w:t>
            </w:r>
          </w:p>
          <w:p>
            <w:pPr>
              <w:spacing w:line="360" w:lineRule="auto"/>
              <w:rPr>
                <w:rFonts w:hint="eastAsia" w:ascii="Times New Roman" w:hAnsi="Times New Roman" w:eastAsia="宋体"/>
                <w:bCs/>
                <w:iCs/>
                <w:color w:val="000000"/>
                <w:sz w:val="24"/>
              </w:rPr>
            </w:pPr>
          </w:p>
        </w:tc>
        <w:tc>
          <w:tcPr>
            <w:tcW w:w="7340"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宋体"/>
                <w:sz w:val="24"/>
              </w:rPr>
            </w:pPr>
            <w:r>
              <w:rPr>
                <w:rFonts w:ascii="Times New Roman" w:hAnsi="Times New Roman" w:eastAsia="宋体"/>
                <w:bCs/>
                <w:iCs/>
                <w:color w:val="000000"/>
                <w:sz w:val="24"/>
              </w:rPr>
              <w:sym w:font="Wingdings 2" w:char="0052"/>
            </w:r>
            <w:r>
              <w:rPr>
                <w:rFonts w:hint="eastAsia" w:ascii="Times New Roman" w:hAnsi="Times New Roman" w:eastAsia="宋体"/>
                <w:sz w:val="24"/>
              </w:rPr>
              <w:t>特定对象调研</w:t>
            </w:r>
            <w:r>
              <w:rPr>
                <w:rFonts w:ascii="Times New Roman" w:hAnsi="Times New Roman" w:eastAsia="宋体"/>
                <w:sz w:val="24"/>
              </w:rPr>
              <w:t xml:space="preserve">      </w:t>
            </w:r>
            <w:r>
              <w:rPr>
                <w:rFonts w:hint="eastAsia" w:ascii="Times New Roman" w:hAnsi="Times New Roman" w:eastAsia="宋体"/>
                <w:bCs/>
                <w:iCs/>
                <w:color w:val="000000"/>
                <w:sz w:val="24"/>
              </w:rPr>
              <w:t>□</w:t>
            </w:r>
            <w:r>
              <w:rPr>
                <w:rFonts w:hint="eastAsia" w:ascii="Times New Roman" w:hAnsi="Times New Roman" w:eastAsia="宋体"/>
                <w:sz w:val="24"/>
              </w:rPr>
              <w:t>分析师会议</w:t>
            </w:r>
            <w:r>
              <w:rPr>
                <w:rFonts w:ascii="Times New Roman" w:hAnsi="Times New Roman" w:eastAsia="宋体"/>
                <w:bCs/>
                <w:iCs/>
                <w:color w:val="000000"/>
                <w:sz w:val="24"/>
              </w:rPr>
              <w:t xml:space="preserve">        </w:t>
            </w:r>
            <w:r>
              <w:rPr>
                <w:rFonts w:hint="eastAsia" w:ascii="Times New Roman" w:hAnsi="Times New Roman" w:eastAsia="宋体"/>
                <w:bCs/>
                <w:iCs/>
                <w:color w:val="000000"/>
                <w:sz w:val="24"/>
              </w:rPr>
              <w:t>□</w:t>
            </w:r>
            <w:r>
              <w:rPr>
                <w:rFonts w:hint="eastAsia" w:ascii="Times New Roman" w:hAnsi="Times New Roman" w:eastAsia="宋体"/>
                <w:sz w:val="24"/>
              </w:rPr>
              <w:t>媒体采访</w:t>
            </w:r>
          </w:p>
          <w:p>
            <w:pPr>
              <w:spacing w:line="360" w:lineRule="auto"/>
              <w:rPr>
                <w:rFonts w:ascii="Times New Roman" w:hAnsi="Times New Roman" w:eastAsia="宋体"/>
                <w:bCs/>
                <w:iCs/>
                <w:color w:val="000000"/>
                <w:sz w:val="24"/>
              </w:rPr>
            </w:pPr>
            <w:r>
              <w:rPr>
                <w:rFonts w:ascii="Times New Roman" w:hAnsi="Times New Roman" w:eastAsia="宋体"/>
                <w:bCs/>
                <w:iCs/>
                <w:color w:val="000000"/>
                <w:sz w:val="24"/>
              </w:rPr>
              <w:sym w:font="Wingdings 2" w:char="00A3"/>
            </w:r>
            <w:r>
              <w:rPr>
                <w:rFonts w:hint="eastAsia" w:ascii="Times New Roman" w:hAnsi="Times New Roman" w:eastAsia="宋体"/>
                <w:sz w:val="24"/>
              </w:rPr>
              <w:t>业绩说明会</w:t>
            </w:r>
            <w:r>
              <w:rPr>
                <w:rFonts w:ascii="Times New Roman" w:hAnsi="Times New Roman" w:eastAsia="宋体"/>
                <w:bCs/>
                <w:iCs/>
                <w:color w:val="000000"/>
                <w:sz w:val="24"/>
              </w:rPr>
              <w:t xml:space="preserve">        </w:t>
            </w:r>
            <w:r>
              <w:rPr>
                <w:rFonts w:hint="eastAsia" w:ascii="Times New Roman" w:hAnsi="Times New Roman" w:eastAsia="宋体"/>
                <w:bCs/>
                <w:iCs/>
                <w:color w:val="000000"/>
                <w:sz w:val="24"/>
              </w:rPr>
              <w:t>□</w:t>
            </w:r>
            <w:r>
              <w:rPr>
                <w:rFonts w:hint="eastAsia" w:ascii="Times New Roman" w:hAnsi="Times New Roman" w:eastAsia="宋体"/>
                <w:sz w:val="24"/>
              </w:rPr>
              <w:t>新闻发布会</w:t>
            </w:r>
            <w:r>
              <w:rPr>
                <w:rFonts w:ascii="Times New Roman" w:hAnsi="Times New Roman" w:eastAsia="宋体"/>
                <w:sz w:val="24"/>
              </w:rPr>
              <w:t xml:space="preserve">        </w:t>
            </w:r>
            <w:r>
              <w:rPr>
                <w:rFonts w:hint="eastAsia" w:ascii="Times New Roman" w:hAnsi="Times New Roman" w:eastAsia="宋体"/>
                <w:bCs/>
                <w:iCs/>
                <w:color w:val="000000"/>
                <w:sz w:val="24"/>
              </w:rPr>
              <w:t>□</w:t>
            </w:r>
            <w:r>
              <w:rPr>
                <w:rFonts w:hint="eastAsia" w:ascii="Times New Roman" w:hAnsi="Times New Roman" w:eastAsia="宋体"/>
                <w:sz w:val="24"/>
              </w:rPr>
              <w:t>路演活动</w:t>
            </w:r>
          </w:p>
          <w:p>
            <w:pPr>
              <w:tabs>
                <w:tab w:val="left" w:pos="3045"/>
                <w:tab w:val="center" w:pos="3199"/>
              </w:tabs>
              <w:spacing w:line="360" w:lineRule="auto"/>
              <w:rPr>
                <w:rFonts w:ascii="Times New Roman" w:hAnsi="Times New Roman" w:eastAsia="宋体"/>
                <w:bCs/>
                <w:iCs/>
                <w:color w:val="000000"/>
                <w:sz w:val="24"/>
              </w:rPr>
            </w:pPr>
            <w:r>
              <w:rPr>
                <w:rFonts w:hint="eastAsia" w:ascii="Times New Roman" w:hAnsi="Times New Roman" w:eastAsia="宋体"/>
                <w:bCs/>
                <w:iCs/>
                <w:color w:val="000000"/>
                <w:sz w:val="24"/>
              </w:rPr>
              <w:t>□</w:t>
            </w:r>
            <w:r>
              <w:rPr>
                <w:rFonts w:hint="eastAsia" w:ascii="Times New Roman" w:hAnsi="Times New Roman" w:eastAsia="宋体"/>
                <w:sz w:val="24"/>
              </w:rPr>
              <w:t>现场参观</w:t>
            </w:r>
            <w:r>
              <w:rPr>
                <w:rFonts w:ascii="Times New Roman" w:hAnsi="Times New Roman" w:eastAsia="宋体"/>
                <w:bCs/>
                <w:iCs/>
                <w:color w:val="000000"/>
                <w:sz w:val="24"/>
              </w:rPr>
              <w:t xml:space="preserve">          </w:t>
            </w:r>
            <w:r>
              <w:rPr>
                <w:rFonts w:hint="eastAsia" w:ascii="Times New Roman" w:hAnsi="Times New Roman" w:eastAsia="宋体"/>
                <w:bCs/>
                <w:iCs/>
                <w:color w:val="000000"/>
                <w:sz w:val="24"/>
              </w:rPr>
              <w:t>□</w:t>
            </w:r>
            <w:r>
              <w:rPr>
                <w:rFonts w:hint="eastAsia" w:ascii="Times New Roman" w:hAnsi="Times New Roman" w:eastAsia="宋体"/>
                <w:sz w:val="24"/>
              </w:rPr>
              <w:t>其他</w:t>
            </w:r>
            <w:r>
              <w:rPr>
                <w:rFonts w:ascii="Times New Roman" w:hAnsi="Times New Roman" w:eastAsia="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96"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宋体"/>
                <w:b/>
                <w:bCs/>
                <w:iCs/>
                <w:color w:val="000000"/>
                <w:sz w:val="24"/>
              </w:rPr>
            </w:pPr>
            <w:r>
              <w:rPr>
                <w:rFonts w:hint="eastAsia" w:ascii="Times New Roman" w:hAnsi="Times New Roman" w:eastAsia="宋体"/>
                <w:b/>
                <w:bCs/>
                <w:iCs/>
                <w:color w:val="000000"/>
                <w:sz w:val="24"/>
              </w:rPr>
              <w:t>时间及参与单位名称</w:t>
            </w:r>
          </w:p>
        </w:tc>
        <w:tc>
          <w:tcPr>
            <w:tcW w:w="7340"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宋体"/>
                <w:bCs/>
                <w:iCs/>
                <w:kern w:val="0"/>
                <w:sz w:val="24"/>
              </w:rPr>
            </w:pPr>
            <w:r>
              <w:rPr>
                <w:rFonts w:ascii="Times New Roman" w:hAnsi="Times New Roman" w:eastAsia="宋体"/>
                <w:b/>
                <w:iCs/>
                <w:kern w:val="0"/>
                <w:sz w:val="24"/>
              </w:rPr>
              <w:t>2026</w:t>
            </w:r>
            <w:r>
              <w:rPr>
                <w:rFonts w:hint="eastAsia" w:ascii="Times New Roman" w:hAnsi="Times New Roman" w:eastAsia="宋体"/>
                <w:b/>
                <w:iCs/>
                <w:kern w:val="0"/>
                <w:sz w:val="24"/>
              </w:rPr>
              <w:t>年6月</w:t>
            </w:r>
            <w:r>
              <w:rPr>
                <w:rFonts w:ascii="Times New Roman" w:hAnsi="Times New Roman" w:eastAsia="宋体"/>
                <w:b/>
                <w:iCs/>
                <w:kern w:val="0"/>
                <w:sz w:val="24"/>
              </w:rPr>
              <w:t>1</w:t>
            </w:r>
            <w:r>
              <w:rPr>
                <w:rFonts w:hint="eastAsia" w:ascii="Times New Roman" w:hAnsi="Times New Roman" w:eastAsia="宋体"/>
                <w:b/>
                <w:iCs/>
                <w:kern w:val="0"/>
                <w:sz w:val="24"/>
              </w:rPr>
              <w:t>0日</w:t>
            </w:r>
            <w:r>
              <w:rPr>
                <w:rFonts w:ascii="Times New Roman" w:hAnsi="Times New Roman" w:eastAsia="宋体"/>
                <w:b/>
                <w:iCs/>
                <w:kern w:val="0"/>
                <w:sz w:val="24"/>
              </w:rPr>
              <w:t xml:space="preserve"> </w:t>
            </w:r>
            <w:r>
              <w:rPr>
                <w:rFonts w:hint="eastAsia" w:ascii="Times New Roman" w:hAnsi="Times New Roman" w:eastAsia="宋体"/>
                <w:b/>
                <w:iCs/>
                <w:kern w:val="0"/>
                <w:sz w:val="24"/>
              </w:rPr>
              <w:t>线上会议</w:t>
            </w:r>
            <w:r>
              <w:rPr>
                <w:rFonts w:ascii="Times New Roman" w:hAnsi="Times New Roman" w:eastAsia="宋体"/>
                <w:b/>
                <w:iCs/>
                <w:kern w:val="0"/>
                <w:sz w:val="24"/>
              </w:rPr>
              <w:t xml:space="preserve"> </w:t>
            </w:r>
            <w:r>
              <w:rPr>
                <w:rFonts w:hint="eastAsia" w:ascii="Times New Roman" w:hAnsi="Times New Roman" w:eastAsia="宋体"/>
                <w:bCs/>
                <w:iCs/>
                <w:kern w:val="0"/>
                <w:sz w:val="24"/>
              </w:rPr>
              <w:t>宏利基金、万家基金、浙商证券、新华资产、华商基金、招商信诺资管、上银基金、银华基金、鹏安基金、东方证券</w:t>
            </w:r>
          </w:p>
          <w:p>
            <w:pPr>
              <w:pStyle w:val="2"/>
              <w:spacing w:line="360" w:lineRule="auto"/>
              <w:ind w:firstLine="0" w:firstLineChars="0"/>
            </w:pPr>
            <w:r>
              <w:rPr>
                <w:rFonts w:ascii="Times New Roman" w:hAnsi="Times New Roman" w:eastAsia="宋体"/>
                <w:b/>
                <w:iCs/>
                <w:sz w:val="24"/>
              </w:rPr>
              <w:t>2026</w:t>
            </w:r>
            <w:r>
              <w:rPr>
                <w:rFonts w:hint="eastAsia" w:ascii="Times New Roman" w:hAnsi="Times New Roman" w:eastAsia="宋体"/>
                <w:b/>
                <w:iCs/>
                <w:sz w:val="24"/>
              </w:rPr>
              <w:t>年</w:t>
            </w:r>
            <w:r>
              <w:rPr>
                <w:rFonts w:hint="eastAsia" w:ascii="Times New Roman" w:hAnsi="Times New Roman" w:eastAsia="宋体"/>
                <w:b/>
                <w:iCs/>
                <w:sz w:val="24"/>
                <w:lang w:val="en-US"/>
              </w:rPr>
              <w:t>6</w:t>
            </w:r>
            <w:r>
              <w:rPr>
                <w:rFonts w:hint="eastAsia" w:ascii="Times New Roman" w:hAnsi="Times New Roman" w:eastAsia="宋体"/>
                <w:b/>
                <w:iCs/>
                <w:sz w:val="24"/>
              </w:rPr>
              <w:t>月</w:t>
            </w:r>
            <w:r>
              <w:rPr>
                <w:rFonts w:ascii="Times New Roman" w:hAnsi="Times New Roman" w:eastAsia="宋体"/>
                <w:b/>
                <w:iCs/>
                <w:sz w:val="24"/>
              </w:rPr>
              <w:t>1</w:t>
            </w:r>
            <w:r>
              <w:rPr>
                <w:rFonts w:hint="eastAsia" w:ascii="Times New Roman" w:hAnsi="Times New Roman" w:eastAsia="宋体"/>
                <w:b/>
                <w:iCs/>
                <w:sz w:val="24"/>
                <w:lang w:val="en-US"/>
              </w:rPr>
              <w:t>0</w:t>
            </w:r>
            <w:r>
              <w:rPr>
                <w:rFonts w:hint="eastAsia" w:ascii="Times New Roman" w:hAnsi="Times New Roman" w:eastAsia="宋体"/>
                <w:b/>
                <w:iCs/>
                <w:sz w:val="24"/>
              </w:rPr>
              <w:t>日</w:t>
            </w:r>
            <w:r>
              <w:rPr>
                <w:rFonts w:ascii="Times New Roman" w:hAnsi="Times New Roman" w:eastAsia="宋体"/>
                <w:b/>
                <w:iCs/>
                <w:sz w:val="24"/>
              </w:rPr>
              <w:t xml:space="preserve"> </w:t>
            </w:r>
            <w:r>
              <w:rPr>
                <w:rFonts w:hint="eastAsia" w:ascii="Times New Roman" w:hAnsi="Times New Roman" w:eastAsia="宋体"/>
                <w:b/>
                <w:iCs/>
                <w:sz w:val="24"/>
                <w:lang w:val="en-US"/>
              </w:rPr>
              <w:t>现场</w:t>
            </w:r>
            <w:r>
              <w:rPr>
                <w:rFonts w:hint="eastAsia" w:ascii="Times New Roman" w:hAnsi="Times New Roman" w:eastAsia="宋体"/>
                <w:b/>
                <w:iCs/>
                <w:sz w:val="24"/>
              </w:rPr>
              <w:t>会议</w:t>
            </w:r>
            <w:r>
              <w:rPr>
                <w:rFonts w:ascii="Times New Roman" w:hAnsi="Times New Roman" w:eastAsia="宋体"/>
                <w:b/>
                <w:iCs/>
                <w:sz w:val="24"/>
              </w:rPr>
              <w:t xml:space="preserve"> </w:t>
            </w:r>
            <w:r>
              <w:rPr>
                <w:rFonts w:hint="eastAsia" w:ascii="Times New Roman" w:hAnsi="Times New Roman" w:eastAsia="宋体"/>
                <w:iCs/>
                <w:sz w:val="24"/>
              </w:rPr>
              <w:t>华安基金、诺安基金、建信养老、西部利得、泰康基金、国金基金、银河基金、宁银理财、中信资管、国泰海通、红塔证券、浙商证券</w:t>
            </w:r>
          </w:p>
          <w:p>
            <w:pPr>
              <w:spacing w:line="360" w:lineRule="auto"/>
              <w:rPr>
                <w:rFonts w:ascii="Times New Roman" w:hAnsi="Times New Roman" w:eastAsia="宋体"/>
                <w:bCs/>
                <w:iCs/>
                <w:kern w:val="0"/>
                <w:sz w:val="24"/>
              </w:rPr>
            </w:pPr>
            <w:r>
              <w:rPr>
                <w:rFonts w:ascii="Times New Roman" w:hAnsi="Times New Roman" w:eastAsia="宋体"/>
                <w:b/>
                <w:iCs/>
                <w:kern w:val="0"/>
                <w:sz w:val="24"/>
              </w:rPr>
              <w:t>2026</w:t>
            </w:r>
            <w:r>
              <w:rPr>
                <w:rFonts w:hint="eastAsia" w:ascii="Times New Roman" w:hAnsi="Times New Roman" w:eastAsia="宋体"/>
                <w:b/>
                <w:iCs/>
                <w:kern w:val="0"/>
                <w:sz w:val="24"/>
              </w:rPr>
              <w:t>年6月24日</w:t>
            </w:r>
            <w:r>
              <w:rPr>
                <w:rFonts w:ascii="Times New Roman" w:hAnsi="Times New Roman" w:eastAsia="宋体"/>
                <w:b/>
                <w:iCs/>
                <w:kern w:val="0"/>
                <w:sz w:val="24"/>
              </w:rPr>
              <w:t xml:space="preserve"> </w:t>
            </w:r>
            <w:r>
              <w:rPr>
                <w:rFonts w:hint="eastAsia" w:ascii="Times New Roman" w:hAnsi="Times New Roman" w:eastAsia="宋体"/>
                <w:b/>
                <w:iCs/>
                <w:kern w:val="0"/>
                <w:sz w:val="24"/>
              </w:rPr>
              <w:t>线上会议</w:t>
            </w:r>
            <w:r>
              <w:rPr>
                <w:rFonts w:ascii="Times New Roman" w:hAnsi="Times New Roman" w:eastAsia="宋体"/>
                <w:bCs/>
                <w:iCs/>
                <w:kern w:val="0"/>
                <w:sz w:val="24"/>
              </w:rPr>
              <w:t xml:space="preserve"> </w:t>
            </w:r>
            <w:r>
              <w:rPr>
                <w:rFonts w:hint="eastAsia" w:ascii="Times New Roman" w:hAnsi="Times New Roman" w:eastAsia="宋体"/>
                <w:bCs/>
                <w:iCs/>
                <w:kern w:val="0"/>
                <w:sz w:val="24"/>
              </w:rPr>
              <w:t>西部证券、工银瑞信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96"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宋体"/>
                <w:b/>
                <w:bCs/>
                <w:iCs/>
                <w:color w:val="000000"/>
                <w:sz w:val="24"/>
              </w:rPr>
            </w:pPr>
            <w:r>
              <w:rPr>
                <w:rFonts w:hint="eastAsia" w:ascii="Times New Roman" w:hAnsi="Times New Roman" w:eastAsia="宋体"/>
                <w:b/>
                <w:bCs/>
                <w:iCs/>
                <w:color w:val="000000"/>
                <w:sz w:val="24"/>
              </w:rPr>
              <w:t>地点</w:t>
            </w:r>
          </w:p>
        </w:tc>
        <w:tc>
          <w:tcPr>
            <w:tcW w:w="7340"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宋体"/>
                <w:bCs/>
                <w:iCs/>
                <w:color w:val="000000"/>
                <w:sz w:val="24"/>
              </w:rPr>
            </w:pPr>
            <w:r>
              <w:rPr>
                <w:rFonts w:hint="eastAsia" w:ascii="Times New Roman" w:hAnsi="Times New Roman" w:eastAsia="宋体"/>
                <w:bCs/>
                <w:iCs/>
                <w:kern w:val="0"/>
                <w:sz w:val="24"/>
              </w:rPr>
              <w:t>厦门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宋体"/>
                <w:b/>
                <w:bCs/>
                <w:iCs/>
                <w:color w:val="000000"/>
                <w:sz w:val="24"/>
              </w:rPr>
            </w:pPr>
            <w:r>
              <w:rPr>
                <w:rFonts w:hint="eastAsia" w:ascii="Times New Roman" w:hAnsi="Times New Roman" w:eastAsia="宋体"/>
                <w:b/>
                <w:bCs/>
                <w:iCs/>
                <w:color w:val="000000"/>
                <w:sz w:val="24"/>
              </w:rPr>
              <w:t>公司接待人员</w:t>
            </w:r>
          </w:p>
        </w:tc>
        <w:tc>
          <w:tcPr>
            <w:tcW w:w="7340"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宋体"/>
                <w:bCs/>
                <w:iCs/>
                <w:color w:val="000000"/>
                <w:sz w:val="24"/>
              </w:rPr>
            </w:pPr>
            <w:r>
              <w:rPr>
                <w:rFonts w:hint="eastAsia" w:ascii="Times New Roman" w:hAnsi="Times New Roman" w:eastAsia="宋体"/>
                <w:bCs/>
                <w:iCs/>
                <w:color w:val="000000"/>
                <w:sz w:val="24"/>
              </w:rPr>
              <w:t>董事会秘书、计划财务部、董事会办公室等相关部门负责人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1" w:hRule="atLeast"/>
        </w:trPr>
        <w:tc>
          <w:tcPr>
            <w:tcW w:w="169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imes New Roman" w:hAnsi="Times New Roman" w:eastAsiaTheme="minorEastAsia"/>
                <w:b/>
                <w:bCs/>
                <w:iCs/>
                <w:sz w:val="24"/>
              </w:rPr>
            </w:pPr>
            <w:r>
              <w:rPr>
                <w:rFonts w:hint="eastAsia" w:ascii="Times New Roman" w:hAnsi="Times New Roman" w:eastAsiaTheme="minorEastAsia"/>
                <w:b/>
                <w:bCs/>
                <w:iCs/>
                <w:sz w:val="24"/>
              </w:rPr>
              <w:t>投资者关系活动主要内容介绍</w:t>
            </w:r>
          </w:p>
        </w:tc>
        <w:tc>
          <w:tcPr>
            <w:tcW w:w="7340" w:type="dxa"/>
            <w:tcBorders>
              <w:top w:val="single" w:color="auto" w:sz="4" w:space="0"/>
              <w:left w:val="single" w:color="auto" w:sz="4" w:space="0"/>
              <w:bottom w:val="single" w:color="auto" w:sz="4" w:space="0"/>
              <w:right w:val="single" w:color="auto" w:sz="4" w:space="0"/>
            </w:tcBorders>
          </w:tcPr>
          <w:p>
            <w:pPr>
              <w:pStyle w:val="22"/>
              <w:numPr>
                <w:ilvl w:val="0"/>
                <w:numId w:val="1"/>
              </w:numPr>
              <w:spacing w:line="460" w:lineRule="exact"/>
              <w:ind w:left="150" w:firstLine="480" w:firstLineChars="0"/>
              <w:rPr>
                <w:rFonts w:ascii="Times New Roman" w:hAnsi="Times New Roman"/>
                <w:b/>
                <w:bCs/>
                <w:iCs/>
                <w:color w:val="000000"/>
                <w:sz w:val="24"/>
              </w:rPr>
            </w:pPr>
            <w:r>
              <w:rPr>
                <w:rFonts w:hint="eastAsia" w:ascii="Times New Roman" w:hAnsi="Times New Roman"/>
                <w:b/>
                <w:bCs/>
                <w:iCs/>
                <w:color w:val="000000"/>
                <w:sz w:val="24"/>
              </w:rPr>
              <w:t>请介绍贵行信贷投放情况？</w:t>
            </w:r>
          </w:p>
          <w:p>
            <w:pPr>
              <w:pStyle w:val="22"/>
              <w:spacing w:line="460" w:lineRule="exact"/>
              <w:ind w:firstLine="480"/>
              <w:rPr>
                <w:rFonts w:ascii="Times New Roman" w:hAnsi="Times New Roman"/>
                <w:iCs/>
                <w:color w:val="000000"/>
                <w:sz w:val="24"/>
              </w:rPr>
            </w:pPr>
            <w:r>
              <w:rPr>
                <w:rFonts w:ascii="Times New Roman" w:hAnsi="Times New Roman"/>
                <w:iCs/>
                <w:color w:val="000000"/>
                <w:sz w:val="24"/>
              </w:rPr>
              <w:t>2025年</w:t>
            </w:r>
            <w:r>
              <w:rPr>
                <w:rFonts w:hint="eastAsia" w:ascii="Times New Roman" w:hAnsi="Times New Roman"/>
                <w:iCs/>
                <w:color w:val="000000"/>
                <w:sz w:val="24"/>
              </w:rPr>
              <w:t>及2026年一季度</w:t>
            </w:r>
            <w:r>
              <w:rPr>
                <w:rFonts w:ascii="Times New Roman" w:hAnsi="Times New Roman"/>
                <w:iCs/>
                <w:color w:val="000000"/>
                <w:sz w:val="24"/>
              </w:rPr>
              <w:t>，</w:t>
            </w:r>
            <w:r>
              <w:rPr>
                <w:rFonts w:hint="eastAsia" w:ascii="Times New Roman" w:hAnsi="Times New Roman"/>
                <w:iCs/>
                <w:color w:val="000000"/>
                <w:sz w:val="24"/>
              </w:rPr>
              <w:t>公司</w:t>
            </w:r>
            <w:r>
              <w:rPr>
                <w:rFonts w:ascii="Times New Roman" w:hAnsi="Times New Roman"/>
                <w:iCs/>
                <w:color w:val="000000"/>
                <w:sz w:val="24"/>
              </w:rPr>
              <w:t>信贷投放实现较快增长。总体规模方面，截至2025年末，</w:t>
            </w:r>
            <w:r>
              <w:rPr>
                <w:rFonts w:hint="eastAsia" w:ascii="Times New Roman" w:hAnsi="Times New Roman"/>
                <w:iCs/>
                <w:color w:val="000000"/>
                <w:sz w:val="24"/>
              </w:rPr>
              <w:t>公司</w:t>
            </w:r>
            <w:r>
              <w:rPr>
                <w:rFonts w:ascii="Times New Roman" w:hAnsi="Times New Roman"/>
                <w:iCs/>
                <w:color w:val="000000"/>
                <w:sz w:val="24"/>
              </w:rPr>
              <w:t>贷款及垫款总额2,432.47亿元，较上年末增长18.39%。2026年一季度末，贷款及垫款总额进一步增至2,591.04亿元，较2025年末增长6.52%。</w:t>
            </w:r>
          </w:p>
          <w:p>
            <w:pPr>
              <w:pStyle w:val="22"/>
              <w:spacing w:line="460" w:lineRule="exact"/>
              <w:ind w:firstLine="480"/>
              <w:rPr>
                <w:rFonts w:ascii="Times New Roman" w:hAnsi="Times New Roman"/>
                <w:iCs/>
                <w:color w:val="000000"/>
                <w:sz w:val="24"/>
              </w:rPr>
            </w:pPr>
            <w:r>
              <w:rPr>
                <w:rFonts w:hint="eastAsia" w:ascii="Times New Roman" w:hAnsi="Times New Roman"/>
                <w:iCs/>
                <w:color w:val="000000"/>
                <w:sz w:val="24"/>
              </w:rPr>
              <w:t>投放结构方面，截至2025年末公司</w:t>
            </w:r>
            <w:r>
              <w:rPr>
                <w:rFonts w:ascii="Times New Roman" w:hAnsi="Times New Roman"/>
                <w:iCs/>
                <w:color w:val="000000"/>
                <w:sz w:val="24"/>
              </w:rPr>
              <w:t>企业贷款及垫款（不含票据贴现）余额1,658.59亿元，较上年末增幅35.85%</w:t>
            </w:r>
            <w:r>
              <w:rPr>
                <w:rFonts w:hint="eastAsia" w:ascii="Times New Roman" w:hAnsi="Times New Roman"/>
                <w:iCs/>
                <w:color w:val="000000"/>
                <w:sz w:val="24"/>
              </w:rPr>
              <w:t>。</w:t>
            </w:r>
            <w:r>
              <w:rPr>
                <w:rFonts w:ascii="Times New Roman" w:hAnsi="Times New Roman"/>
                <w:iCs/>
                <w:color w:val="000000"/>
                <w:sz w:val="24"/>
              </w:rPr>
              <w:t>重点领域信贷资源配置质效持续提升，其中绿色金融、科技金融、中长期制造业贷款余额较上年末的增幅分别为68.55%、44.55%、26.27%。</w:t>
            </w:r>
            <w:r>
              <w:rPr>
                <w:rFonts w:hint="eastAsia" w:ascii="Times New Roman" w:hAnsi="Times New Roman"/>
                <w:iCs/>
                <w:color w:val="000000"/>
                <w:sz w:val="24"/>
              </w:rPr>
              <w:t>2025年末</w:t>
            </w:r>
            <w:r>
              <w:rPr>
                <w:rFonts w:ascii="Times New Roman" w:hAnsi="Times New Roman"/>
                <w:iCs/>
                <w:color w:val="000000"/>
                <w:sz w:val="24"/>
              </w:rPr>
              <w:t>个人贷款及垫款余额659.35亿元，较上年末下降6.42%。</w:t>
            </w:r>
            <w:bookmarkStart w:id="7" w:name="_GoBack"/>
            <w:bookmarkEnd w:id="7"/>
          </w:p>
          <w:p>
            <w:pPr>
              <w:pStyle w:val="22"/>
              <w:numPr>
                <w:ilvl w:val="0"/>
                <w:numId w:val="1"/>
              </w:numPr>
              <w:spacing w:line="460" w:lineRule="exact"/>
              <w:ind w:left="150" w:firstLine="480" w:firstLineChars="0"/>
              <w:rPr>
                <w:rFonts w:ascii="Times New Roman" w:hAnsi="Times New Roman"/>
                <w:b/>
                <w:bCs/>
                <w:iCs/>
                <w:color w:val="000000"/>
                <w:sz w:val="24"/>
              </w:rPr>
            </w:pPr>
            <w:r>
              <w:rPr>
                <w:rFonts w:hint="eastAsia" w:ascii="Times New Roman" w:hAnsi="Times New Roman"/>
                <w:b/>
                <w:bCs/>
                <w:iCs/>
                <w:color w:val="000000"/>
                <w:sz w:val="24"/>
              </w:rPr>
              <w:t>请介绍贵行应对息差收窄的举措？</w:t>
            </w:r>
          </w:p>
          <w:p>
            <w:pPr>
              <w:pStyle w:val="22"/>
              <w:spacing w:line="460" w:lineRule="exact"/>
              <w:ind w:firstLine="0" w:firstLineChars="0"/>
              <w:rPr>
                <w:rFonts w:ascii="Times New Roman" w:hAnsi="Times New Roman"/>
                <w:iCs/>
                <w:color w:val="000000"/>
                <w:sz w:val="24"/>
              </w:rPr>
            </w:pPr>
            <w:r>
              <w:rPr>
                <w:rFonts w:hint="eastAsia" w:ascii="Times New Roman" w:hAnsi="Times New Roman"/>
                <w:iCs/>
                <w:color w:val="000000"/>
                <w:sz w:val="24"/>
              </w:rPr>
              <w:t xml:space="preserve">    2025年，公司净息差为1.09%。在LPR持续下行、同业竞争加剧的压力下，公司积极优化资负结构，一方面，有节奏地发力对公一般贷款增量提质，有效减缓资产端收益率下行程度，另一方面，加强低成本存款吸纳、推动存款久期缩短，活期存款日均占比提升2.38个百分点，负债成本率实现显著压降。“双足并行”推动公司净利差保持去年同期水平，净息差降幅较去年同期改善11BP。</w:t>
            </w:r>
          </w:p>
          <w:p>
            <w:pPr>
              <w:pStyle w:val="22"/>
              <w:numPr>
                <w:ilvl w:val="0"/>
                <w:numId w:val="1"/>
              </w:numPr>
              <w:spacing w:line="460" w:lineRule="exact"/>
              <w:ind w:left="150" w:firstLine="480" w:firstLineChars="0"/>
              <w:rPr>
                <w:rFonts w:ascii="Times New Roman" w:hAnsi="Times New Roman"/>
                <w:b/>
                <w:bCs/>
                <w:iCs/>
                <w:color w:val="000000"/>
                <w:sz w:val="24"/>
              </w:rPr>
            </w:pPr>
            <w:r>
              <w:rPr>
                <w:rFonts w:hint="eastAsia" w:ascii="Times New Roman" w:hAnsi="Times New Roman"/>
                <w:b/>
                <w:bCs/>
                <w:iCs/>
                <w:color w:val="000000"/>
                <w:sz w:val="24"/>
              </w:rPr>
              <w:t>请介绍贵行投行业务情况。</w:t>
            </w:r>
          </w:p>
          <w:p>
            <w:pPr>
              <w:pStyle w:val="22"/>
              <w:spacing w:line="460" w:lineRule="exact"/>
              <w:ind w:firstLine="480"/>
              <w:rPr>
                <w:rFonts w:ascii="Times New Roman" w:hAnsi="Times New Roman"/>
                <w:iCs/>
                <w:color w:val="000000"/>
                <w:sz w:val="24"/>
              </w:rPr>
            </w:pPr>
            <w:r>
              <w:rPr>
                <w:rFonts w:hint="eastAsia" w:ascii="Times New Roman" w:hAnsi="Times New Roman"/>
                <w:iCs/>
                <w:color w:val="000000"/>
                <w:sz w:val="24"/>
              </w:rPr>
              <w:t>2025年，</w:t>
            </w:r>
            <w:r>
              <w:rPr>
                <w:rFonts w:ascii="Times New Roman" w:hAnsi="Times New Roman"/>
                <w:iCs/>
                <w:color w:val="000000"/>
                <w:sz w:val="24"/>
              </w:rPr>
              <w:t>公司持续丰富投行产品服务体系，提升投行综合服务能力，带动投行业务规模和客户数增长，同业合作广度及深度双重突破，投行服务“五篇大文章”成果接连落地，市场影响力和活跃度进一步提升。债券承销业务方面，公司深耕区域市场，客户数进一步增长，客户结构更加多元，创新业务接连落地。报告期内，公司非金融企业债务融资工具承销金额同比增长6.94%，服务发行人数量同比增长40%，服务发行人类型涵盖国有企业、民营企业和股权投资机构等</w:t>
            </w:r>
            <w:r>
              <w:rPr>
                <w:rFonts w:hint="eastAsia" w:ascii="Times New Roman" w:hAnsi="Times New Roman"/>
                <w:iCs/>
                <w:color w:val="000000"/>
                <w:sz w:val="24"/>
              </w:rPr>
              <w:t>。</w:t>
            </w:r>
            <w:r>
              <w:rPr>
                <w:rFonts w:ascii="Times New Roman" w:hAnsi="Times New Roman"/>
                <w:iCs/>
                <w:color w:val="000000"/>
                <w:sz w:val="24"/>
              </w:rPr>
              <w:t>此外，公司主承销多笔科技创新债券、绿色债券、民营企业债券，推动更多金融资源向重点领域集聚。银团、并购贷款业务方面，业务规模持续增长，同业合作广度及深度实现双重突破，区域银团参与度不断提升。报告期内，公司银团贷款投放及并购贷款投放金额合计同比增长72.77%；牵头、参与多笔省市重点项目银团，支持地方产业转型升级与经济结构优化。</w:t>
            </w:r>
          </w:p>
          <w:p>
            <w:pPr>
              <w:pStyle w:val="22"/>
              <w:numPr>
                <w:ilvl w:val="0"/>
                <w:numId w:val="1"/>
              </w:numPr>
              <w:spacing w:line="460" w:lineRule="exact"/>
              <w:ind w:left="150" w:firstLine="480" w:firstLineChars="0"/>
              <w:rPr>
                <w:rFonts w:ascii="Times New Roman" w:hAnsi="Times New Roman"/>
                <w:b/>
                <w:bCs/>
                <w:iCs/>
                <w:color w:val="000000"/>
                <w:sz w:val="24"/>
              </w:rPr>
            </w:pPr>
            <w:r>
              <w:rPr>
                <w:rFonts w:ascii="Times New Roman" w:hAnsi="Times New Roman"/>
                <w:b/>
                <w:bCs/>
                <w:iCs/>
                <w:color w:val="000000"/>
                <w:sz w:val="24"/>
              </w:rPr>
              <w:t>贵行资产质量如何，在资产质量管控方面主要有哪些措施</w:t>
            </w:r>
            <w:r>
              <w:rPr>
                <w:rFonts w:hint="eastAsia" w:ascii="Times New Roman" w:hAnsi="Times New Roman"/>
                <w:b/>
                <w:bCs/>
                <w:iCs/>
                <w:color w:val="000000"/>
                <w:sz w:val="24"/>
              </w:rPr>
              <w:t>？</w:t>
            </w:r>
          </w:p>
          <w:p>
            <w:pPr>
              <w:pStyle w:val="22"/>
              <w:spacing w:line="460" w:lineRule="exact"/>
              <w:ind w:firstLine="480"/>
              <w:rPr>
                <w:rFonts w:ascii="Times New Roman" w:hAnsi="Times New Roman"/>
                <w:iCs/>
                <w:color w:val="000000"/>
                <w:sz w:val="24"/>
              </w:rPr>
            </w:pPr>
            <w:r>
              <w:rPr>
                <w:rFonts w:ascii="Times New Roman" w:hAnsi="Times New Roman"/>
                <w:iCs/>
                <w:color w:val="000000"/>
                <w:sz w:val="24"/>
              </w:rPr>
              <w:t>截至2025年末，</w:t>
            </w:r>
            <w:r>
              <w:rPr>
                <w:rFonts w:hint="eastAsia" w:ascii="Times New Roman" w:hAnsi="Times New Roman"/>
                <w:iCs/>
                <w:color w:val="000000"/>
                <w:sz w:val="24"/>
              </w:rPr>
              <w:t>公司</w:t>
            </w:r>
            <w:r>
              <w:rPr>
                <w:rFonts w:ascii="Times New Roman" w:hAnsi="Times New Roman"/>
                <w:iCs/>
                <w:color w:val="000000"/>
                <w:sz w:val="24"/>
              </w:rPr>
              <w:t>不良贷款率为0.77%，拨备覆盖率为312.71%。2026年3月末，不良贷款率0.72%，较上年末下降0.05个百分点，拨备覆盖率307.04%，风险抵补能力保持充沛</w:t>
            </w:r>
            <w:r>
              <w:rPr>
                <w:rFonts w:hint="eastAsia" w:ascii="Times New Roman" w:hAnsi="Times New Roman"/>
                <w:iCs/>
                <w:color w:val="000000"/>
                <w:sz w:val="24"/>
              </w:rPr>
              <w:t>。公司秉持稳健进取的发展理念，立足全局构建覆盖制度、流程、工具及组织机制的完整协同体系，将风险管理理念与方法深度嵌入经营管理的全领域、全流程、全层级，形成“事前精准预防、事中动态控制、事后深度改进”的闭环管理模式。同时，通过强化数据驱动与科技赋能，全面提升风险管理的精准度与效能。依托这一系统性架构，公司资产质量多年来持续保持优良水平。</w:t>
            </w:r>
          </w:p>
          <w:p>
            <w:pPr>
              <w:pStyle w:val="22"/>
              <w:numPr>
                <w:ilvl w:val="0"/>
                <w:numId w:val="1"/>
              </w:numPr>
              <w:spacing w:line="460" w:lineRule="exact"/>
              <w:ind w:left="150" w:firstLine="480" w:firstLineChars="0"/>
              <w:rPr>
                <w:rFonts w:ascii="Times New Roman" w:hAnsi="Times New Roman"/>
                <w:b/>
                <w:bCs/>
                <w:iCs/>
                <w:color w:val="000000"/>
                <w:sz w:val="24"/>
              </w:rPr>
            </w:pPr>
            <w:r>
              <w:rPr>
                <w:rFonts w:hint="eastAsia" w:ascii="Times New Roman" w:hAnsi="Times New Roman"/>
                <w:b/>
                <w:bCs/>
                <w:iCs/>
                <w:color w:val="000000"/>
                <w:sz w:val="24"/>
              </w:rPr>
              <w:t>贵行二永债批复情况如何。</w:t>
            </w:r>
          </w:p>
          <w:p>
            <w:pPr>
              <w:pStyle w:val="22"/>
              <w:spacing w:line="460" w:lineRule="exact"/>
              <w:ind w:firstLine="480"/>
              <w:rPr>
                <w:rFonts w:ascii="Times New Roman" w:hAnsi="Times New Roman"/>
                <w:iCs/>
                <w:color w:val="000000"/>
                <w:sz w:val="24"/>
              </w:rPr>
            </w:pPr>
            <w:r>
              <w:rPr>
                <w:rFonts w:hint="eastAsia" w:ascii="Times New Roman" w:hAnsi="Times New Roman"/>
                <w:iCs/>
                <w:color w:val="000000"/>
                <w:sz w:val="24"/>
              </w:rPr>
              <w:t>公司于2026年6月收到《中国人民银行准予行政许可决定书》（银许准予决字〔2026〕第54号），中国人民银行同意公司在全国银行间市场及境外市场发行资本补充债券，行政许可有效期截止至2027年6月30日，有效期末资本补充债券新增余额不超过0亿元，资本补充债券余额不超过114亿元，公司可在有效期内自主选择分期发行时间。</w:t>
            </w:r>
          </w:p>
        </w:tc>
      </w:tr>
    </w:tbl>
    <w:p>
      <w:pPr>
        <w:rPr>
          <w:rFonts w:ascii="Times New Roman" w:hAnsi="Times New Roman"/>
        </w:rPr>
      </w:pPr>
      <w:r>
        <w:rPr>
          <w:rFonts w:ascii="Times New Roman" w:hAnsi="Times New Roman"/>
        </w:rPr>
        <w:t xml:space="preserve"> </w:t>
      </w:r>
      <w:bookmarkEnd w:id="0"/>
      <w:bookmarkEnd w:id="1"/>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1C325"/>
    <w:multiLevelType w:val="singleLevel"/>
    <w:tmpl w:val="5EB1C325"/>
    <w:lvl w:ilvl="0" w:tentative="0">
      <w:start w:val="1"/>
      <w:numFmt w:val="decimal"/>
      <w:suff w:val="nothing"/>
      <w:lvlText w:val="%1、"/>
      <w:lvlJc w:val="left"/>
      <w:pPr>
        <w:ind w:left="15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FA4"/>
    <w:rsid w:val="00010AF9"/>
    <w:rsid w:val="00012AB6"/>
    <w:rsid w:val="00017E52"/>
    <w:rsid w:val="0002662E"/>
    <w:rsid w:val="000374E5"/>
    <w:rsid w:val="00056E17"/>
    <w:rsid w:val="0007077E"/>
    <w:rsid w:val="00070E57"/>
    <w:rsid w:val="000865C3"/>
    <w:rsid w:val="000915CF"/>
    <w:rsid w:val="00094D1A"/>
    <w:rsid w:val="000960B9"/>
    <w:rsid w:val="000A2087"/>
    <w:rsid w:val="000D5CBE"/>
    <w:rsid w:val="000D76B7"/>
    <w:rsid w:val="00120083"/>
    <w:rsid w:val="00120AE8"/>
    <w:rsid w:val="0012483B"/>
    <w:rsid w:val="0012701E"/>
    <w:rsid w:val="00135452"/>
    <w:rsid w:val="001606FC"/>
    <w:rsid w:val="001670CA"/>
    <w:rsid w:val="00172A27"/>
    <w:rsid w:val="001747CA"/>
    <w:rsid w:val="00175514"/>
    <w:rsid w:val="0017609F"/>
    <w:rsid w:val="001B212A"/>
    <w:rsid w:val="001B2ABC"/>
    <w:rsid w:val="001B7179"/>
    <w:rsid w:val="001C6A12"/>
    <w:rsid w:val="001D437F"/>
    <w:rsid w:val="001D66F6"/>
    <w:rsid w:val="001E3243"/>
    <w:rsid w:val="00207436"/>
    <w:rsid w:val="00211682"/>
    <w:rsid w:val="00220E2F"/>
    <w:rsid w:val="00232311"/>
    <w:rsid w:val="00234EFD"/>
    <w:rsid w:val="00247B45"/>
    <w:rsid w:val="0026288C"/>
    <w:rsid w:val="002635DC"/>
    <w:rsid w:val="00267B38"/>
    <w:rsid w:val="00270456"/>
    <w:rsid w:val="0028137A"/>
    <w:rsid w:val="00290665"/>
    <w:rsid w:val="0029668A"/>
    <w:rsid w:val="002A5E7C"/>
    <w:rsid w:val="002B4940"/>
    <w:rsid w:val="002D2F6F"/>
    <w:rsid w:val="002E664F"/>
    <w:rsid w:val="002F3829"/>
    <w:rsid w:val="003001CA"/>
    <w:rsid w:val="00320B81"/>
    <w:rsid w:val="00320CDD"/>
    <w:rsid w:val="00321BD4"/>
    <w:rsid w:val="00326BE1"/>
    <w:rsid w:val="0036439D"/>
    <w:rsid w:val="003713F1"/>
    <w:rsid w:val="00373703"/>
    <w:rsid w:val="00382744"/>
    <w:rsid w:val="003837F6"/>
    <w:rsid w:val="003C07DD"/>
    <w:rsid w:val="003C3502"/>
    <w:rsid w:val="003C68AD"/>
    <w:rsid w:val="003D0F38"/>
    <w:rsid w:val="003E0254"/>
    <w:rsid w:val="003E10F6"/>
    <w:rsid w:val="00403237"/>
    <w:rsid w:val="004077D5"/>
    <w:rsid w:val="00416F59"/>
    <w:rsid w:val="00426705"/>
    <w:rsid w:val="00445BB0"/>
    <w:rsid w:val="00461E9B"/>
    <w:rsid w:val="004A317C"/>
    <w:rsid w:val="004A7354"/>
    <w:rsid w:val="004A7CA0"/>
    <w:rsid w:val="004B363C"/>
    <w:rsid w:val="004C3B70"/>
    <w:rsid w:val="004E4DA1"/>
    <w:rsid w:val="005063C5"/>
    <w:rsid w:val="005275C2"/>
    <w:rsid w:val="00527972"/>
    <w:rsid w:val="00535FC0"/>
    <w:rsid w:val="005368E3"/>
    <w:rsid w:val="005448C7"/>
    <w:rsid w:val="00550E4B"/>
    <w:rsid w:val="00560778"/>
    <w:rsid w:val="00570264"/>
    <w:rsid w:val="005A5B76"/>
    <w:rsid w:val="005C6DB0"/>
    <w:rsid w:val="00603E82"/>
    <w:rsid w:val="00610104"/>
    <w:rsid w:val="006216D4"/>
    <w:rsid w:val="00633D6E"/>
    <w:rsid w:val="006460EF"/>
    <w:rsid w:val="00646111"/>
    <w:rsid w:val="006523D8"/>
    <w:rsid w:val="00664EE9"/>
    <w:rsid w:val="006818F9"/>
    <w:rsid w:val="00691943"/>
    <w:rsid w:val="006A3240"/>
    <w:rsid w:val="006A4D81"/>
    <w:rsid w:val="006C3B27"/>
    <w:rsid w:val="006E2B18"/>
    <w:rsid w:val="006E46D6"/>
    <w:rsid w:val="006F21D2"/>
    <w:rsid w:val="006F6419"/>
    <w:rsid w:val="00701E12"/>
    <w:rsid w:val="007021F0"/>
    <w:rsid w:val="007123BE"/>
    <w:rsid w:val="00712441"/>
    <w:rsid w:val="007416B9"/>
    <w:rsid w:val="00761EA7"/>
    <w:rsid w:val="00765A2E"/>
    <w:rsid w:val="00767A4B"/>
    <w:rsid w:val="007814C6"/>
    <w:rsid w:val="00786C57"/>
    <w:rsid w:val="007A1202"/>
    <w:rsid w:val="007E5C96"/>
    <w:rsid w:val="00803AFA"/>
    <w:rsid w:val="008048E1"/>
    <w:rsid w:val="008129A6"/>
    <w:rsid w:val="008168B4"/>
    <w:rsid w:val="00821EF4"/>
    <w:rsid w:val="00841136"/>
    <w:rsid w:val="008479D6"/>
    <w:rsid w:val="00862D39"/>
    <w:rsid w:val="00866811"/>
    <w:rsid w:val="00877250"/>
    <w:rsid w:val="00884803"/>
    <w:rsid w:val="00886535"/>
    <w:rsid w:val="00887E15"/>
    <w:rsid w:val="008979E4"/>
    <w:rsid w:val="008A62BB"/>
    <w:rsid w:val="008B5D1F"/>
    <w:rsid w:val="008C7D83"/>
    <w:rsid w:val="009076CD"/>
    <w:rsid w:val="00920724"/>
    <w:rsid w:val="00934C25"/>
    <w:rsid w:val="00935318"/>
    <w:rsid w:val="009611D4"/>
    <w:rsid w:val="00990948"/>
    <w:rsid w:val="00991DBA"/>
    <w:rsid w:val="009D7A16"/>
    <w:rsid w:val="009E4C86"/>
    <w:rsid w:val="009E6D7D"/>
    <w:rsid w:val="00A02869"/>
    <w:rsid w:val="00A10A28"/>
    <w:rsid w:val="00A5429A"/>
    <w:rsid w:val="00A6764C"/>
    <w:rsid w:val="00A80D1A"/>
    <w:rsid w:val="00A814F8"/>
    <w:rsid w:val="00A85DF0"/>
    <w:rsid w:val="00A97003"/>
    <w:rsid w:val="00AB2C92"/>
    <w:rsid w:val="00AC2442"/>
    <w:rsid w:val="00AC2FA0"/>
    <w:rsid w:val="00AD0D20"/>
    <w:rsid w:val="00AD226B"/>
    <w:rsid w:val="00AD6116"/>
    <w:rsid w:val="00AE1959"/>
    <w:rsid w:val="00AE6F23"/>
    <w:rsid w:val="00AF2302"/>
    <w:rsid w:val="00AF3539"/>
    <w:rsid w:val="00AF3C50"/>
    <w:rsid w:val="00AF42F3"/>
    <w:rsid w:val="00AF5FBE"/>
    <w:rsid w:val="00B07DAF"/>
    <w:rsid w:val="00B23959"/>
    <w:rsid w:val="00B24A2C"/>
    <w:rsid w:val="00B409BC"/>
    <w:rsid w:val="00B510FA"/>
    <w:rsid w:val="00B72D74"/>
    <w:rsid w:val="00B779CF"/>
    <w:rsid w:val="00B85459"/>
    <w:rsid w:val="00B95A2D"/>
    <w:rsid w:val="00BB1853"/>
    <w:rsid w:val="00BB4731"/>
    <w:rsid w:val="00BB6CDC"/>
    <w:rsid w:val="00BE4725"/>
    <w:rsid w:val="00BE6CF1"/>
    <w:rsid w:val="00BF547B"/>
    <w:rsid w:val="00BF707F"/>
    <w:rsid w:val="00C07040"/>
    <w:rsid w:val="00C21162"/>
    <w:rsid w:val="00C27C54"/>
    <w:rsid w:val="00C3197B"/>
    <w:rsid w:val="00C62E73"/>
    <w:rsid w:val="00C77883"/>
    <w:rsid w:val="00C832D3"/>
    <w:rsid w:val="00CB3778"/>
    <w:rsid w:val="00CC5C34"/>
    <w:rsid w:val="00CD6D89"/>
    <w:rsid w:val="00CE3CDE"/>
    <w:rsid w:val="00CE4580"/>
    <w:rsid w:val="00CF36D1"/>
    <w:rsid w:val="00D03944"/>
    <w:rsid w:val="00D078F3"/>
    <w:rsid w:val="00D227CE"/>
    <w:rsid w:val="00D2553B"/>
    <w:rsid w:val="00D260E1"/>
    <w:rsid w:val="00D46CC5"/>
    <w:rsid w:val="00D7022F"/>
    <w:rsid w:val="00D73204"/>
    <w:rsid w:val="00D837F5"/>
    <w:rsid w:val="00D860E0"/>
    <w:rsid w:val="00D9187D"/>
    <w:rsid w:val="00DA4FC7"/>
    <w:rsid w:val="00DB23D6"/>
    <w:rsid w:val="00DB4378"/>
    <w:rsid w:val="00DC21BF"/>
    <w:rsid w:val="00DC2245"/>
    <w:rsid w:val="00DC692F"/>
    <w:rsid w:val="00DE6B5E"/>
    <w:rsid w:val="00DE6B9C"/>
    <w:rsid w:val="00DF0553"/>
    <w:rsid w:val="00E3527B"/>
    <w:rsid w:val="00E65E57"/>
    <w:rsid w:val="00E73EC4"/>
    <w:rsid w:val="00E868EC"/>
    <w:rsid w:val="00EA2344"/>
    <w:rsid w:val="00ED1315"/>
    <w:rsid w:val="00EE18C5"/>
    <w:rsid w:val="00EE4F1A"/>
    <w:rsid w:val="00F026E0"/>
    <w:rsid w:val="00F10BB8"/>
    <w:rsid w:val="00F2226E"/>
    <w:rsid w:val="00F24494"/>
    <w:rsid w:val="00F413E1"/>
    <w:rsid w:val="00F430C2"/>
    <w:rsid w:val="00F74796"/>
    <w:rsid w:val="00F94AA0"/>
    <w:rsid w:val="00FA0123"/>
    <w:rsid w:val="00FA721E"/>
    <w:rsid w:val="00FC3B2D"/>
    <w:rsid w:val="00FE1F2C"/>
    <w:rsid w:val="01343C35"/>
    <w:rsid w:val="015441BC"/>
    <w:rsid w:val="01DF79C5"/>
    <w:rsid w:val="022F6C02"/>
    <w:rsid w:val="025B0BD4"/>
    <w:rsid w:val="02B62AFF"/>
    <w:rsid w:val="034D18B2"/>
    <w:rsid w:val="03E203E0"/>
    <w:rsid w:val="03EF7383"/>
    <w:rsid w:val="04844854"/>
    <w:rsid w:val="04CA4768"/>
    <w:rsid w:val="051340F3"/>
    <w:rsid w:val="05EC3946"/>
    <w:rsid w:val="06AC0501"/>
    <w:rsid w:val="073161DB"/>
    <w:rsid w:val="07504EC1"/>
    <w:rsid w:val="07736C45"/>
    <w:rsid w:val="07872210"/>
    <w:rsid w:val="07F05315"/>
    <w:rsid w:val="08E67AA9"/>
    <w:rsid w:val="09187348"/>
    <w:rsid w:val="09FF5075"/>
    <w:rsid w:val="0A1F7DCE"/>
    <w:rsid w:val="0A7375B2"/>
    <w:rsid w:val="0ACB7D6D"/>
    <w:rsid w:val="0C1E2070"/>
    <w:rsid w:val="0C275F3F"/>
    <w:rsid w:val="0C3B6B9E"/>
    <w:rsid w:val="0C922E30"/>
    <w:rsid w:val="0CD949B1"/>
    <w:rsid w:val="0D53094C"/>
    <w:rsid w:val="0DF748F5"/>
    <w:rsid w:val="0E4448F3"/>
    <w:rsid w:val="0E5E2860"/>
    <w:rsid w:val="0EBC43EC"/>
    <w:rsid w:val="0FD56096"/>
    <w:rsid w:val="106172ED"/>
    <w:rsid w:val="11027246"/>
    <w:rsid w:val="11883E00"/>
    <w:rsid w:val="11B6183C"/>
    <w:rsid w:val="12460407"/>
    <w:rsid w:val="12E64FF5"/>
    <w:rsid w:val="12EE053A"/>
    <w:rsid w:val="1381018F"/>
    <w:rsid w:val="13BB777D"/>
    <w:rsid w:val="141862B2"/>
    <w:rsid w:val="14322531"/>
    <w:rsid w:val="14D25167"/>
    <w:rsid w:val="14F055D6"/>
    <w:rsid w:val="14F212EA"/>
    <w:rsid w:val="15652DAA"/>
    <w:rsid w:val="16501227"/>
    <w:rsid w:val="175D17CA"/>
    <w:rsid w:val="17B473C2"/>
    <w:rsid w:val="17D271A5"/>
    <w:rsid w:val="17D77DA9"/>
    <w:rsid w:val="18006524"/>
    <w:rsid w:val="180A72FE"/>
    <w:rsid w:val="182868AE"/>
    <w:rsid w:val="18455E27"/>
    <w:rsid w:val="18831547"/>
    <w:rsid w:val="18893450"/>
    <w:rsid w:val="1979128B"/>
    <w:rsid w:val="19CA7222"/>
    <w:rsid w:val="1A8B0292"/>
    <w:rsid w:val="1B9F7CA6"/>
    <w:rsid w:val="1BE8708F"/>
    <w:rsid w:val="1C9054E9"/>
    <w:rsid w:val="1D41310E"/>
    <w:rsid w:val="1D6B06CF"/>
    <w:rsid w:val="1D6D3BD2"/>
    <w:rsid w:val="1DE21613"/>
    <w:rsid w:val="1DF63666"/>
    <w:rsid w:val="1E0D0FBE"/>
    <w:rsid w:val="1E364920"/>
    <w:rsid w:val="1EC83421"/>
    <w:rsid w:val="1F330F55"/>
    <w:rsid w:val="1F6E6131"/>
    <w:rsid w:val="1FA228EE"/>
    <w:rsid w:val="201E1530"/>
    <w:rsid w:val="20F84124"/>
    <w:rsid w:val="21452025"/>
    <w:rsid w:val="21B76AE0"/>
    <w:rsid w:val="21D5653F"/>
    <w:rsid w:val="21E27DCE"/>
    <w:rsid w:val="221E0366"/>
    <w:rsid w:val="22D6753F"/>
    <w:rsid w:val="23110016"/>
    <w:rsid w:val="23620D1A"/>
    <w:rsid w:val="237B3E42"/>
    <w:rsid w:val="23A32E08"/>
    <w:rsid w:val="246C2851"/>
    <w:rsid w:val="247509BC"/>
    <w:rsid w:val="247C2AEC"/>
    <w:rsid w:val="249B0E74"/>
    <w:rsid w:val="24B1643E"/>
    <w:rsid w:val="24F87EB7"/>
    <w:rsid w:val="25CF4697"/>
    <w:rsid w:val="26407E4E"/>
    <w:rsid w:val="269D6920"/>
    <w:rsid w:val="26C40D95"/>
    <w:rsid w:val="272922EB"/>
    <w:rsid w:val="27424579"/>
    <w:rsid w:val="274E038B"/>
    <w:rsid w:val="283B0F0D"/>
    <w:rsid w:val="28660E58"/>
    <w:rsid w:val="28B50BD7"/>
    <w:rsid w:val="28E76302"/>
    <w:rsid w:val="29263821"/>
    <w:rsid w:val="298978D0"/>
    <w:rsid w:val="2A234631"/>
    <w:rsid w:val="2A3C0BEA"/>
    <w:rsid w:val="2AA9450A"/>
    <w:rsid w:val="2F782E8B"/>
    <w:rsid w:val="2F874408"/>
    <w:rsid w:val="2FAB664D"/>
    <w:rsid w:val="2FCE2CA3"/>
    <w:rsid w:val="305A367F"/>
    <w:rsid w:val="30ED1DF0"/>
    <w:rsid w:val="32181796"/>
    <w:rsid w:val="32927883"/>
    <w:rsid w:val="32E0414D"/>
    <w:rsid w:val="32FA4B9F"/>
    <w:rsid w:val="33637BDB"/>
    <w:rsid w:val="33C17F75"/>
    <w:rsid w:val="34741569"/>
    <w:rsid w:val="34C37DE1"/>
    <w:rsid w:val="35F1547D"/>
    <w:rsid w:val="373D66F1"/>
    <w:rsid w:val="374E17CB"/>
    <w:rsid w:val="37691FF5"/>
    <w:rsid w:val="3793297C"/>
    <w:rsid w:val="37A32ECD"/>
    <w:rsid w:val="37AB1B65"/>
    <w:rsid w:val="37C001F2"/>
    <w:rsid w:val="38161214"/>
    <w:rsid w:val="38192198"/>
    <w:rsid w:val="3831361A"/>
    <w:rsid w:val="3870436D"/>
    <w:rsid w:val="38FE3710"/>
    <w:rsid w:val="39123BB1"/>
    <w:rsid w:val="39324E64"/>
    <w:rsid w:val="398A41CF"/>
    <w:rsid w:val="39D8513B"/>
    <w:rsid w:val="3BB52984"/>
    <w:rsid w:val="3BCE0D76"/>
    <w:rsid w:val="3C2105FF"/>
    <w:rsid w:val="3C2B5E46"/>
    <w:rsid w:val="3C677B59"/>
    <w:rsid w:val="3C812767"/>
    <w:rsid w:val="3CFB3440"/>
    <w:rsid w:val="3D065366"/>
    <w:rsid w:val="3D734CA5"/>
    <w:rsid w:val="3DED5A53"/>
    <w:rsid w:val="3EAE3767"/>
    <w:rsid w:val="3F150D8C"/>
    <w:rsid w:val="40D35124"/>
    <w:rsid w:val="40E6578E"/>
    <w:rsid w:val="41064298"/>
    <w:rsid w:val="411C36E0"/>
    <w:rsid w:val="4176014F"/>
    <w:rsid w:val="42615CCA"/>
    <w:rsid w:val="42680F26"/>
    <w:rsid w:val="43CC374D"/>
    <w:rsid w:val="43F55B69"/>
    <w:rsid w:val="444631D1"/>
    <w:rsid w:val="44970113"/>
    <w:rsid w:val="44A57770"/>
    <w:rsid w:val="44B32884"/>
    <w:rsid w:val="44CA2EEC"/>
    <w:rsid w:val="44EC107E"/>
    <w:rsid w:val="452A1AEE"/>
    <w:rsid w:val="45726E6D"/>
    <w:rsid w:val="457345FE"/>
    <w:rsid w:val="45CA5863"/>
    <w:rsid w:val="465935F7"/>
    <w:rsid w:val="46B0341C"/>
    <w:rsid w:val="475A449F"/>
    <w:rsid w:val="47745049"/>
    <w:rsid w:val="478C4E3C"/>
    <w:rsid w:val="47A43767"/>
    <w:rsid w:val="47AE390E"/>
    <w:rsid w:val="485559BC"/>
    <w:rsid w:val="491856F9"/>
    <w:rsid w:val="493417A6"/>
    <w:rsid w:val="498C100B"/>
    <w:rsid w:val="49AB04EC"/>
    <w:rsid w:val="4A015677"/>
    <w:rsid w:val="4A416461"/>
    <w:rsid w:val="4A7C1DA2"/>
    <w:rsid w:val="4A8A3CC5"/>
    <w:rsid w:val="4AC2736B"/>
    <w:rsid w:val="4B702179"/>
    <w:rsid w:val="4BB46342"/>
    <w:rsid w:val="4BF623B7"/>
    <w:rsid w:val="4C0A34CE"/>
    <w:rsid w:val="4C243DC7"/>
    <w:rsid w:val="4C794E06"/>
    <w:rsid w:val="4D144D0B"/>
    <w:rsid w:val="4D377BF5"/>
    <w:rsid w:val="4D5153DD"/>
    <w:rsid w:val="4D570F71"/>
    <w:rsid w:val="4D572B44"/>
    <w:rsid w:val="4D67120C"/>
    <w:rsid w:val="4E080D95"/>
    <w:rsid w:val="4E326C84"/>
    <w:rsid w:val="4E3C24E9"/>
    <w:rsid w:val="4E4E2408"/>
    <w:rsid w:val="4F1C538E"/>
    <w:rsid w:val="4F2B7952"/>
    <w:rsid w:val="4F5A77A5"/>
    <w:rsid w:val="4F5F1347"/>
    <w:rsid w:val="4FD00101"/>
    <w:rsid w:val="503C7AAB"/>
    <w:rsid w:val="50840506"/>
    <w:rsid w:val="50F413DD"/>
    <w:rsid w:val="51E909F0"/>
    <w:rsid w:val="51F55A16"/>
    <w:rsid w:val="51FB77C6"/>
    <w:rsid w:val="527D1264"/>
    <w:rsid w:val="53404825"/>
    <w:rsid w:val="5354435E"/>
    <w:rsid w:val="53813090"/>
    <w:rsid w:val="53D22156"/>
    <w:rsid w:val="54281796"/>
    <w:rsid w:val="54422AC8"/>
    <w:rsid w:val="55583378"/>
    <w:rsid w:val="557575CC"/>
    <w:rsid w:val="55802B56"/>
    <w:rsid w:val="55B347D2"/>
    <w:rsid w:val="56162CC9"/>
    <w:rsid w:val="56827DFA"/>
    <w:rsid w:val="569A4429"/>
    <w:rsid w:val="56D16FAA"/>
    <w:rsid w:val="571D387C"/>
    <w:rsid w:val="57593233"/>
    <w:rsid w:val="57EA769F"/>
    <w:rsid w:val="58234804"/>
    <w:rsid w:val="583E0E16"/>
    <w:rsid w:val="587B59B6"/>
    <w:rsid w:val="58C46118"/>
    <w:rsid w:val="58F70910"/>
    <w:rsid w:val="5957661E"/>
    <w:rsid w:val="59BB6342"/>
    <w:rsid w:val="59DB4679"/>
    <w:rsid w:val="5A2D0246"/>
    <w:rsid w:val="5A2F4103"/>
    <w:rsid w:val="5A87311A"/>
    <w:rsid w:val="5AF53A87"/>
    <w:rsid w:val="5B327C0A"/>
    <w:rsid w:val="5B6372BA"/>
    <w:rsid w:val="5BAB1071"/>
    <w:rsid w:val="5BCB6169"/>
    <w:rsid w:val="5BE34A4E"/>
    <w:rsid w:val="5C7E26CE"/>
    <w:rsid w:val="5CE9292E"/>
    <w:rsid w:val="5D3959B1"/>
    <w:rsid w:val="5DCA5FA9"/>
    <w:rsid w:val="5E521D73"/>
    <w:rsid w:val="5F3E2C00"/>
    <w:rsid w:val="5FA2737C"/>
    <w:rsid w:val="5FE96E67"/>
    <w:rsid w:val="606D714B"/>
    <w:rsid w:val="60732927"/>
    <w:rsid w:val="608D2FCC"/>
    <w:rsid w:val="60C110C9"/>
    <w:rsid w:val="60E21846"/>
    <w:rsid w:val="60F46C91"/>
    <w:rsid w:val="60FE69AF"/>
    <w:rsid w:val="6131159B"/>
    <w:rsid w:val="61657B33"/>
    <w:rsid w:val="61A067CD"/>
    <w:rsid w:val="62026F36"/>
    <w:rsid w:val="6345240D"/>
    <w:rsid w:val="63467514"/>
    <w:rsid w:val="644D0143"/>
    <w:rsid w:val="64973A5A"/>
    <w:rsid w:val="64C44A96"/>
    <w:rsid w:val="64E1366E"/>
    <w:rsid w:val="65C22480"/>
    <w:rsid w:val="66007D67"/>
    <w:rsid w:val="66295856"/>
    <w:rsid w:val="66726157"/>
    <w:rsid w:val="67C21B9B"/>
    <w:rsid w:val="67D9593F"/>
    <w:rsid w:val="67E54704"/>
    <w:rsid w:val="682A60F2"/>
    <w:rsid w:val="682D4AF8"/>
    <w:rsid w:val="68E36708"/>
    <w:rsid w:val="69405A1D"/>
    <w:rsid w:val="695D4175"/>
    <w:rsid w:val="6A057CE5"/>
    <w:rsid w:val="6A190E9F"/>
    <w:rsid w:val="6A8504D0"/>
    <w:rsid w:val="6AD05952"/>
    <w:rsid w:val="6B065C4D"/>
    <w:rsid w:val="6B922F60"/>
    <w:rsid w:val="6BA32EA6"/>
    <w:rsid w:val="6C117390"/>
    <w:rsid w:val="6C313EC9"/>
    <w:rsid w:val="6CD824B2"/>
    <w:rsid w:val="6D1945D1"/>
    <w:rsid w:val="6DA951F4"/>
    <w:rsid w:val="6E0A58FC"/>
    <w:rsid w:val="6E2476C2"/>
    <w:rsid w:val="6F9F49B0"/>
    <w:rsid w:val="6FD54E8A"/>
    <w:rsid w:val="70206657"/>
    <w:rsid w:val="7022012B"/>
    <w:rsid w:val="70562CE7"/>
    <w:rsid w:val="711A1C9E"/>
    <w:rsid w:val="71411B5D"/>
    <w:rsid w:val="715C2428"/>
    <w:rsid w:val="715F6CDB"/>
    <w:rsid w:val="71C6563A"/>
    <w:rsid w:val="71CA0EB0"/>
    <w:rsid w:val="720D141A"/>
    <w:rsid w:val="72A204A0"/>
    <w:rsid w:val="72C26316"/>
    <w:rsid w:val="73177E6E"/>
    <w:rsid w:val="73326919"/>
    <w:rsid w:val="73892D1C"/>
    <w:rsid w:val="744318F3"/>
    <w:rsid w:val="749331CE"/>
    <w:rsid w:val="74D44721"/>
    <w:rsid w:val="75AB309B"/>
    <w:rsid w:val="761558C9"/>
    <w:rsid w:val="768C460E"/>
    <w:rsid w:val="76BB1740"/>
    <w:rsid w:val="76CF1C1E"/>
    <w:rsid w:val="773B56AB"/>
    <w:rsid w:val="774D5922"/>
    <w:rsid w:val="77726C62"/>
    <w:rsid w:val="77C2468B"/>
    <w:rsid w:val="77C71871"/>
    <w:rsid w:val="77CF011D"/>
    <w:rsid w:val="78160D2B"/>
    <w:rsid w:val="782A4D5D"/>
    <w:rsid w:val="782D2F68"/>
    <w:rsid w:val="788F4CD8"/>
    <w:rsid w:val="79194C3C"/>
    <w:rsid w:val="79E92285"/>
    <w:rsid w:val="79EF26F4"/>
    <w:rsid w:val="7A0A5919"/>
    <w:rsid w:val="7A2465E9"/>
    <w:rsid w:val="7A8F5AA2"/>
    <w:rsid w:val="7B0E3DF2"/>
    <w:rsid w:val="7B4B2CFB"/>
    <w:rsid w:val="7BD44AB5"/>
    <w:rsid w:val="7C0C4D1D"/>
    <w:rsid w:val="7C282F2D"/>
    <w:rsid w:val="7C6A62AD"/>
    <w:rsid w:val="7C7236B9"/>
    <w:rsid w:val="7C7C44BA"/>
    <w:rsid w:val="7D5676DD"/>
    <w:rsid w:val="7E32042F"/>
    <w:rsid w:val="7E6D0694"/>
    <w:rsid w:val="7E75126E"/>
    <w:rsid w:val="7E9B37B2"/>
    <w:rsid w:val="7EB10D15"/>
    <w:rsid w:val="7EF377C6"/>
    <w:rsid w:val="7F370E72"/>
    <w:rsid w:val="7F5A30FD"/>
    <w:rsid w:val="7F6310E9"/>
    <w:rsid w:val="7F9E1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420" w:firstLineChars="200"/>
      <w:outlineLvl w:val="3"/>
    </w:pPr>
    <w:rPr>
      <w:rFonts w:ascii="宋体" w:hAnsi="宋体"/>
      <w:bCs/>
      <w:kern w:val="0"/>
      <w:sz w:val="20"/>
      <w:szCs w:val="20"/>
      <w:lang w:val="en-GB"/>
    </w:rPr>
  </w:style>
  <w:style w:type="paragraph" w:styleId="3">
    <w:name w:val="Body Text First Indent 2"/>
    <w:basedOn w:val="2"/>
    <w:next w:val="4"/>
    <w:qFormat/>
    <w:uiPriority w:val="0"/>
  </w:style>
  <w:style w:type="paragraph" w:styleId="4">
    <w:name w:val="Body Text"/>
    <w:basedOn w:val="1"/>
    <w:next w:val="2"/>
    <w:semiHidden/>
    <w:qFormat/>
    <w:uiPriority w:val="0"/>
    <w:rPr>
      <w:rFonts w:ascii="仿宋" w:hAnsi="仿宋" w:eastAsia="仿宋" w:cs="仿宋"/>
      <w:sz w:val="31"/>
      <w:szCs w:val="31"/>
      <w:lang w:eastAsia="en-US"/>
    </w:rPr>
  </w:style>
  <w:style w:type="paragraph" w:styleId="5">
    <w:name w:val="annotation text"/>
    <w:basedOn w:val="1"/>
    <w:link w:val="19"/>
    <w:semiHidden/>
    <w:unhideWhenUsed/>
    <w:qFormat/>
    <w:uiPriority w:val="99"/>
    <w:pPr>
      <w:jc w:val="left"/>
    </w:pPr>
  </w:style>
  <w:style w:type="paragraph" w:styleId="6">
    <w:name w:val="Block Text"/>
    <w:basedOn w:val="1"/>
    <w:next w:val="1"/>
    <w:qFormat/>
    <w:uiPriority w:val="0"/>
    <w:pPr>
      <w:snapToGrid w:val="0"/>
      <w:spacing w:after="160" w:line="360" w:lineRule="auto"/>
      <w:ind w:left="-15" w:right="103" w:firstLine="447"/>
      <w:jc w:val="left"/>
    </w:pPr>
    <w:rPr>
      <w:rFonts w:ascii="宋体" w:hAnsi="宋体" w:eastAsiaTheme="minorEastAsia" w:cstheme="minorBidi"/>
      <w:spacing w:val="-2"/>
      <w:sz w:val="24"/>
      <w:szCs w:val="20"/>
      <w14:ligatures w14:val="standardContextual"/>
    </w:rPr>
  </w:style>
  <w:style w:type="paragraph" w:styleId="7">
    <w:name w:val="Plain Text"/>
    <w:basedOn w:val="1"/>
    <w:unhideWhenUsed/>
    <w:qFormat/>
    <w:uiPriority w:val="99"/>
    <w:rPr>
      <w:rFonts w:hAnsi="Courier New" w:cs="Courier New" w:asciiTheme="minorEastAsia"/>
    </w:rPr>
  </w:style>
  <w:style w:type="paragraph" w:styleId="8">
    <w:name w:val="Balloon Text"/>
    <w:basedOn w:val="1"/>
    <w:link w:val="21"/>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annotation subject"/>
    <w:basedOn w:val="5"/>
    <w:next w:val="5"/>
    <w:link w:val="20"/>
    <w:semiHidden/>
    <w:unhideWhenUsed/>
    <w:qFormat/>
    <w:uiPriority w:val="99"/>
    <w:rPr>
      <w:b/>
      <w:bCs/>
    </w:r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character" w:customStyle="1" w:styleId="16">
    <w:name w:val="页眉 Char"/>
    <w:basedOn w:val="13"/>
    <w:link w:val="10"/>
    <w:qFormat/>
    <w:uiPriority w:val="99"/>
    <w:rPr>
      <w:sz w:val="18"/>
      <w:szCs w:val="18"/>
    </w:rPr>
  </w:style>
  <w:style w:type="character" w:customStyle="1" w:styleId="17">
    <w:name w:val="页脚 Char"/>
    <w:basedOn w:val="13"/>
    <w:link w:val="9"/>
    <w:qFormat/>
    <w:uiPriority w:val="99"/>
    <w:rPr>
      <w:sz w:val="18"/>
      <w:szCs w:val="18"/>
    </w:rPr>
  </w:style>
  <w:style w:type="paragraph" w:styleId="18">
    <w:name w:val="No Spacing"/>
    <w:qFormat/>
    <w:uiPriority w:val="1"/>
    <w:pPr>
      <w:widowControl w:val="0"/>
    </w:pPr>
    <w:rPr>
      <w:rFonts w:asciiTheme="minorHAnsi" w:hAnsiTheme="minorHAnsi" w:eastAsiaTheme="minorEastAsia" w:cstheme="minorBidi"/>
      <w:kern w:val="2"/>
      <w:sz w:val="22"/>
      <w:szCs w:val="24"/>
      <w:lang w:val="en-US" w:eastAsia="zh-CN" w:bidi="ar-SA"/>
      <w14:ligatures w14:val="standardContextual"/>
    </w:rPr>
  </w:style>
  <w:style w:type="character" w:customStyle="1" w:styleId="19">
    <w:name w:val="批注文字 Char"/>
    <w:basedOn w:val="13"/>
    <w:link w:val="5"/>
    <w:semiHidden/>
    <w:qFormat/>
    <w:uiPriority w:val="99"/>
    <w:rPr>
      <w:rFonts w:ascii="Calibri" w:hAnsi="Calibri" w:eastAsia="微软雅黑" w:cs="Times New Roman"/>
      <w:szCs w:val="24"/>
    </w:rPr>
  </w:style>
  <w:style w:type="character" w:customStyle="1" w:styleId="20">
    <w:name w:val="批注主题 Char"/>
    <w:basedOn w:val="19"/>
    <w:link w:val="11"/>
    <w:semiHidden/>
    <w:qFormat/>
    <w:uiPriority w:val="99"/>
    <w:rPr>
      <w:rFonts w:ascii="Calibri" w:hAnsi="Calibri" w:eastAsia="微软雅黑" w:cs="Times New Roman"/>
      <w:b/>
      <w:bCs/>
      <w:szCs w:val="24"/>
    </w:rPr>
  </w:style>
  <w:style w:type="character" w:customStyle="1" w:styleId="21">
    <w:name w:val="批注框文本 Char"/>
    <w:basedOn w:val="13"/>
    <w:link w:val="8"/>
    <w:semiHidden/>
    <w:qFormat/>
    <w:uiPriority w:val="99"/>
    <w:rPr>
      <w:rFonts w:ascii="Calibri" w:hAnsi="Calibri" w:eastAsia="微软雅黑" w:cs="Times New Roman"/>
      <w:sz w:val="18"/>
      <w:szCs w:val="18"/>
    </w:rPr>
  </w:style>
  <w:style w:type="paragraph" w:customStyle="1" w:styleId="22">
    <w:name w:val="_Style 6"/>
    <w:basedOn w:val="1"/>
    <w:qFormat/>
    <w:uiPriority w:val="34"/>
    <w:pPr>
      <w:ind w:firstLine="420" w:firstLineChars="200"/>
    </w:pPr>
    <w:rPr>
      <w:rFonts w:eastAsia="宋体"/>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2ACDB-0F67-4726-B4C2-187CF308020D}">
  <ds:schemaRefs/>
</ds:datastoreItem>
</file>

<file path=docProps/app.xml><?xml version="1.0" encoding="utf-8"?>
<Properties xmlns="http://schemas.openxmlformats.org/officeDocument/2006/extended-properties" xmlns:vt="http://schemas.openxmlformats.org/officeDocument/2006/docPropsVTypes">
  <Template>Normal</Template>
  <Company>AB</Company>
  <Pages>3</Pages>
  <Words>288</Words>
  <Characters>1644</Characters>
  <Lines>13</Lines>
  <Paragraphs>3</Paragraphs>
  <TotalTime>117</TotalTime>
  <ScaleCrop>false</ScaleCrop>
  <LinksUpToDate>false</LinksUpToDate>
  <CharactersWithSpaces>1929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2026-06-01T09:56:00Z</dcterms:created>
  <dc:creator>邱素萍</dc:creator>
  <cp:lastModifiedBy> </cp:lastModifiedBy>
  <cp:lastPrinted>2025-09-01T05:49:00Z</cp:lastPrinted>
  <dcterms:modified xsi:type="dcterms:W3CDTF">2026-06-30T08:46:53Z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A95D07D112504CF7BD162F1C25D73207</vt:lpwstr>
  </property>
</Properties>
</file>