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B2303F">
      <w:pPr>
        <w:pStyle w:val="2"/>
        <w:rPr>
          <w:rFonts w:ascii="Times New Roman" w:hAnsi="Times New Roman" w:eastAsia="宋体" w:cs="Times New Roman"/>
          <w:sz w:val="20"/>
          <w:szCs w:val="20"/>
          <w:lang w:val="en-US"/>
        </w:rPr>
      </w:pPr>
      <w:r>
        <w:rPr>
          <w:rFonts w:ascii="Times New Roman" w:hAnsi="Times New Roman" w:eastAsia="宋体" w:cs="Times New Roman"/>
          <w:sz w:val="20"/>
          <w:szCs w:val="20"/>
          <w:lang w:val="en-US"/>
        </w:rPr>
        <w:t xml:space="preserve">证券代码：603212   </w:t>
      </w:r>
      <w:r>
        <w:rPr>
          <w:rFonts w:ascii="Times New Roman" w:hAnsi="Times New Roman" w:eastAsia="宋体" w:cs="Times New Roman"/>
          <w:sz w:val="21"/>
          <w:szCs w:val="21"/>
          <w:lang w:val="en-US"/>
        </w:rPr>
        <w:t xml:space="preserve">                         </w:t>
      </w:r>
      <w:r>
        <w:rPr>
          <w:rFonts w:hint="eastAsia" w:ascii="Times New Roman" w:hAnsi="Times New Roman" w:eastAsia="宋体" w:cs="Times New Roman"/>
          <w:sz w:val="21"/>
          <w:szCs w:val="21"/>
          <w:lang w:val="en-US"/>
        </w:rPr>
        <w:t xml:space="preserve">  </w:t>
      </w:r>
      <w:r>
        <w:rPr>
          <w:rFonts w:ascii="Times New Roman" w:hAnsi="Times New Roman" w:eastAsia="宋体" w:cs="Times New Roman"/>
          <w:sz w:val="21"/>
          <w:szCs w:val="21"/>
          <w:lang w:val="en-US"/>
        </w:rPr>
        <w:t xml:space="preserve">             </w:t>
      </w:r>
      <w:r>
        <w:rPr>
          <w:rFonts w:ascii="Times New Roman" w:hAnsi="Times New Roman" w:eastAsia="宋体" w:cs="Times New Roman"/>
          <w:sz w:val="20"/>
          <w:szCs w:val="20"/>
          <w:lang w:val="en-US"/>
        </w:rPr>
        <w:t>证券简称：赛伍技术</w:t>
      </w:r>
    </w:p>
    <w:p w14:paraId="12FA2B2C">
      <w:pPr>
        <w:spacing w:line="360" w:lineRule="auto"/>
        <w:jc w:val="center"/>
        <w:rPr>
          <w:rFonts w:ascii="Times New Roman" w:hAnsi="Times New Roman" w:eastAsia="宋体" w:cs="Times New Roman"/>
          <w:b/>
          <w:bCs/>
          <w:sz w:val="44"/>
          <w:szCs w:val="44"/>
        </w:rPr>
      </w:pPr>
    </w:p>
    <w:p w14:paraId="7745DD60">
      <w:pPr>
        <w:spacing w:line="360" w:lineRule="auto"/>
        <w:jc w:val="center"/>
        <w:rPr>
          <w:rFonts w:ascii="Times New Roman" w:hAnsi="Times New Roman" w:eastAsia="宋体" w:cs="Times New Roman"/>
          <w:b/>
          <w:bCs/>
          <w:sz w:val="44"/>
          <w:szCs w:val="44"/>
        </w:rPr>
      </w:pPr>
      <w:r>
        <w:rPr>
          <w:rFonts w:ascii="Times New Roman" w:hAnsi="Times New Roman" w:eastAsia="宋体" w:cs="Times New Roman"/>
          <w:b/>
          <w:bCs/>
          <w:sz w:val="44"/>
          <w:szCs w:val="44"/>
        </w:rPr>
        <w:t>苏州赛伍应用技术股份有限公司</w:t>
      </w:r>
    </w:p>
    <w:p w14:paraId="57B4DFA7">
      <w:pPr>
        <w:spacing w:line="360" w:lineRule="auto"/>
        <w:jc w:val="center"/>
        <w:rPr>
          <w:rFonts w:ascii="Times New Roman" w:hAnsi="Times New Roman" w:eastAsia="宋体" w:cs="Times New Roman"/>
          <w:sz w:val="44"/>
          <w:szCs w:val="44"/>
        </w:rPr>
      </w:pPr>
      <w:r>
        <w:rPr>
          <w:rFonts w:ascii="Times New Roman" w:hAnsi="Times New Roman" w:eastAsia="宋体" w:cs="Times New Roman"/>
          <w:b/>
          <w:bCs/>
          <w:sz w:val="44"/>
          <w:szCs w:val="44"/>
        </w:rPr>
        <w:t>投资者关系活动记录表</w:t>
      </w:r>
    </w:p>
    <w:p w14:paraId="18A4EA82">
      <w:pPr>
        <w:spacing w:before="51" w:after="32"/>
        <w:ind w:right="619"/>
        <w:jc w:val="right"/>
        <w:rPr>
          <w:rFonts w:ascii="Times New Roman" w:hAnsi="Times New Roman" w:eastAsia="宋体" w:cs="Times New Roman"/>
          <w:sz w:val="20"/>
          <w:szCs w:val="20"/>
          <w:lang w:val="en-US"/>
        </w:rPr>
      </w:pPr>
      <w:r>
        <w:rPr>
          <w:rFonts w:ascii="Times New Roman" w:hAnsi="Times New Roman" w:eastAsia="宋体" w:cs="Times New Roman"/>
          <w:sz w:val="20"/>
          <w:szCs w:val="20"/>
        </w:rPr>
        <w:t>编号：</w:t>
      </w:r>
      <w:r>
        <w:rPr>
          <w:rFonts w:ascii="Times New Roman" w:hAnsi="Times New Roman" w:eastAsia="宋体" w:cs="Times New Roman"/>
          <w:sz w:val="20"/>
          <w:szCs w:val="20"/>
          <w:lang w:val="en-US"/>
        </w:rPr>
        <w:t>2026</w:t>
      </w:r>
      <w:r>
        <w:rPr>
          <w:rFonts w:ascii="Times New Roman" w:hAnsi="Times New Roman" w:eastAsia="宋体" w:cs="Times New Roman"/>
          <w:sz w:val="20"/>
          <w:szCs w:val="20"/>
        </w:rPr>
        <w:t>-</w:t>
      </w:r>
      <w:r>
        <w:rPr>
          <w:rFonts w:hint="eastAsia" w:ascii="Times New Roman" w:hAnsi="Times New Roman" w:eastAsia="宋体" w:cs="Times New Roman"/>
          <w:sz w:val="20"/>
          <w:szCs w:val="20"/>
          <w:lang w:val="en-US"/>
        </w:rPr>
        <w:t>003</w:t>
      </w:r>
    </w:p>
    <w:tbl>
      <w:tblPr>
        <w:tblStyle w:val="10"/>
        <w:tblW w:w="837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0" w:type="dxa"/>
        </w:tblCellMar>
      </w:tblPr>
      <w:tblGrid>
        <w:gridCol w:w="2535"/>
        <w:gridCol w:w="5844"/>
      </w:tblGrid>
      <w:tr w14:paraId="012D9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2666" w:hRule="atLeast"/>
          <w:jc w:val="center"/>
        </w:trPr>
        <w:tc>
          <w:tcPr>
            <w:tcW w:w="2535" w:type="dxa"/>
          </w:tcPr>
          <w:p w14:paraId="1DBFCFAD">
            <w:pPr>
              <w:pStyle w:val="13"/>
              <w:spacing w:before="7"/>
              <w:rPr>
                <w:rFonts w:ascii="Times New Roman" w:hAnsi="Times New Roman" w:eastAsia="宋体" w:cs="Times New Roman"/>
                <w:b/>
                <w:bCs/>
                <w:sz w:val="20"/>
                <w:szCs w:val="20"/>
              </w:rPr>
            </w:pPr>
          </w:p>
          <w:p w14:paraId="025B41CB">
            <w:pPr>
              <w:pStyle w:val="13"/>
              <w:spacing w:before="1"/>
              <w:ind w:left="107"/>
              <w:rPr>
                <w:rFonts w:ascii="Times New Roman" w:hAnsi="Times New Roman" w:eastAsia="宋体" w:cs="Times New Roman"/>
                <w:b/>
                <w:bCs/>
                <w:sz w:val="20"/>
                <w:szCs w:val="20"/>
              </w:rPr>
            </w:pPr>
            <w:r>
              <w:rPr>
                <w:rFonts w:ascii="Times New Roman" w:hAnsi="Times New Roman" w:eastAsia="宋体" w:cs="Times New Roman"/>
                <w:b/>
                <w:bCs/>
                <w:sz w:val="20"/>
                <w:szCs w:val="20"/>
              </w:rPr>
              <w:t>投资者关系活动类别</w:t>
            </w:r>
          </w:p>
        </w:tc>
        <w:tc>
          <w:tcPr>
            <w:tcW w:w="5844" w:type="dxa"/>
          </w:tcPr>
          <w:p w14:paraId="3C71F8E6">
            <w:pPr>
              <w:pStyle w:val="13"/>
              <w:spacing w:before="7"/>
              <w:rPr>
                <w:rFonts w:ascii="Times New Roman" w:hAnsi="Times New Roman" w:eastAsia="宋体" w:cs="Times New Roman"/>
                <w:sz w:val="20"/>
                <w:szCs w:val="20"/>
              </w:rPr>
            </w:pPr>
          </w:p>
          <w:p w14:paraId="2CDFDE54">
            <w:pPr>
              <w:pStyle w:val="13"/>
              <w:tabs>
                <w:tab w:val="left" w:pos="2418"/>
              </w:tabs>
              <w:spacing w:before="1"/>
              <w:ind w:left="107"/>
              <w:rPr>
                <w:rFonts w:ascii="Times New Roman" w:hAnsi="Times New Roman" w:eastAsia="宋体" w:cs="Times New Roman"/>
                <w:sz w:val="20"/>
                <w:szCs w:val="20"/>
              </w:rPr>
            </w:pPr>
            <w:sdt>
              <w:sdtPr>
                <w:rPr>
                  <w:rFonts w:ascii="Times New Roman" w:hAnsi="Times New Roman" w:eastAsia="宋体" w:cs="Times New Roman"/>
                  <w:sz w:val="20"/>
                  <w:szCs w:val="20"/>
                </w:rPr>
                <w:id w:val="249780449"/>
                <w14:checkbox>
                  <w14:checked w14:val="1"/>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Wingdings 2" w:hAnsi="Wingdings 2" w:eastAsia="MS Gothic" w:cs="Times New Roman"/>
                    <w:sz w:val="20"/>
                    <w:szCs w:val="20"/>
                  </w:rPr>
                  <w:t></w:t>
                </w:r>
              </w:sdtContent>
            </w:sdt>
            <w:r>
              <w:rPr>
                <w:rFonts w:ascii="Times New Roman" w:hAnsi="Times New Roman" w:eastAsia="宋体" w:cs="Times New Roman"/>
                <w:sz w:val="20"/>
                <w:szCs w:val="20"/>
              </w:rPr>
              <w:t>特</w:t>
            </w:r>
            <w:r>
              <w:rPr>
                <w:rFonts w:ascii="Times New Roman" w:hAnsi="Times New Roman" w:eastAsia="宋体" w:cs="Times New Roman"/>
                <w:spacing w:val="-3"/>
                <w:sz w:val="20"/>
                <w:szCs w:val="20"/>
              </w:rPr>
              <w:t>定</w:t>
            </w:r>
            <w:r>
              <w:rPr>
                <w:rFonts w:ascii="Times New Roman" w:hAnsi="Times New Roman" w:eastAsia="宋体" w:cs="Times New Roman"/>
                <w:sz w:val="20"/>
                <w:szCs w:val="20"/>
              </w:rPr>
              <w:t>对</w:t>
            </w:r>
            <w:r>
              <w:rPr>
                <w:rFonts w:ascii="Times New Roman" w:hAnsi="Times New Roman" w:eastAsia="宋体" w:cs="Times New Roman"/>
                <w:spacing w:val="-3"/>
                <w:sz w:val="20"/>
                <w:szCs w:val="20"/>
              </w:rPr>
              <w:t>象</w:t>
            </w:r>
            <w:r>
              <w:rPr>
                <w:rFonts w:ascii="Times New Roman" w:hAnsi="Times New Roman" w:eastAsia="宋体" w:cs="Times New Roman"/>
                <w:sz w:val="20"/>
                <w:szCs w:val="20"/>
              </w:rPr>
              <w:t>调研</w:t>
            </w:r>
            <w:r>
              <w:rPr>
                <w:rFonts w:ascii="Times New Roman" w:hAnsi="Times New Roman" w:eastAsia="宋体" w:cs="Times New Roman"/>
                <w:sz w:val="20"/>
                <w:szCs w:val="20"/>
              </w:rPr>
              <w:tab/>
            </w:r>
            <w:sdt>
              <w:sdtPr>
                <w:rPr>
                  <w:rFonts w:ascii="Times New Roman" w:hAnsi="Times New Roman" w:eastAsia="宋体" w:cs="Times New Roman"/>
                  <w:sz w:val="20"/>
                  <w:szCs w:val="20"/>
                </w:rPr>
                <w:id w:val="-416875725"/>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分</w:t>
            </w:r>
            <w:r>
              <w:rPr>
                <w:rFonts w:ascii="Times New Roman" w:hAnsi="Times New Roman" w:eastAsia="宋体" w:cs="Times New Roman"/>
                <w:spacing w:val="-3"/>
                <w:sz w:val="20"/>
                <w:szCs w:val="20"/>
              </w:rPr>
              <w:t>析</w:t>
            </w:r>
            <w:r>
              <w:rPr>
                <w:rFonts w:ascii="Times New Roman" w:hAnsi="Times New Roman" w:eastAsia="宋体" w:cs="Times New Roman"/>
                <w:sz w:val="20"/>
                <w:szCs w:val="20"/>
              </w:rPr>
              <w:t>师</w:t>
            </w:r>
            <w:r>
              <w:rPr>
                <w:rFonts w:ascii="Times New Roman" w:hAnsi="Times New Roman" w:eastAsia="宋体" w:cs="Times New Roman"/>
                <w:spacing w:val="-3"/>
                <w:sz w:val="20"/>
                <w:szCs w:val="20"/>
              </w:rPr>
              <w:t>会</w:t>
            </w:r>
            <w:r>
              <w:rPr>
                <w:rFonts w:ascii="Times New Roman" w:hAnsi="Times New Roman" w:eastAsia="宋体" w:cs="Times New Roman"/>
                <w:sz w:val="20"/>
                <w:szCs w:val="20"/>
              </w:rPr>
              <w:t>议</w:t>
            </w:r>
          </w:p>
          <w:p w14:paraId="1A46B53D">
            <w:pPr>
              <w:pStyle w:val="13"/>
              <w:spacing w:before="11"/>
              <w:rPr>
                <w:rFonts w:ascii="Times New Roman" w:hAnsi="Times New Roman" w:eastAsia="宋体" w:cs="Times New Roman"/>
                <w:sz w:val="20"/>
                <w:szCs w:val="20"/>
              </w:rPr>
            </w:pPr>
          </w:p>
          <w:p w14:paraId="226D0787">
            <w:pPr>
              <w:pStyle w:val="13"/>
              <w:tabs>
                <w:tab w:val="left" w:pos="2418"/>
              </w:tabs>
              <w:ind w:left="107"/>
              <w:rPr>
                <w:rFonts w:ascii="Times New Roman" w:hAnsi="Times New Roman" w:eastAsia="宋体" w:cs="Times New Roman"/>
                <w:sz w:val="20"/>
                <w:szCs w:val="20"/>
              </w:rPr>
            </w:pPr>
            <w:sdt>
              <w:sdtPr>
                <w:rPr>
                  <w:rFonts w:ascii="Times New Roman" w:hAnsi="Times New Roman" w:eastAsia="宋体" w:cs="Times New Roman"/>
                  <w:sz w:val="20"/>
                  <w:szCs w:val="20"/>
                </w:rPr>
                <w:id w:val="1206906014"/>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媒</w:t>
            </w:r>
            <w:r>
              <w:rPr>
                <w:rFonts w:ascii="Times New Roman" w:hAnsi="Times New Roman" w:eastAsia="宋体" w:cs="Times New Roman"/>
                <w:spacing w:val="-3"/>
                <w:sz w:val="20"/>
                <w:szCs w:val="20"/>
              </w:rPr>
              <w:t>体</w:t>
            </w:r>
            <w:r>
              <w:rPr>
                <w:rFonts w:ascii="Times New Roman" w:hAnsi="Times New Roman" w:eastAsia="宋体" w:cs="Times New Roman"/>
                <w:sz w:val="20"/>
                <w:szCs w:val="20"/>
              </w:rPr>
              <w:t>采访</w:t>
            </w:r>
            <w:r>
              <w:rPr>
                <w:rFonts w:ascii="Times New Roman" w:hAnsi="Times New Roman" w:eastAsia="宋体" w:cs="Times New Roman"/>
                <w:sz w:val="20"/>
                <w:szCs w:val="20"/>
              </w:rPr>
              <w:tab/>
            </w:r>
            <w:sdt>
              <w:sdtPr>
                <w:rPr>
                  <w:rFonts w:ascii="Times New Roman" w:hAnsi="Times New Roman" w:eastAsia="宋体" w:cs="Times New Roman"/>
                  <w:sz w:val="20"/>
                  <w:szCs w:val="20"/>
                </w:rPr>
                <w:id w:val="-66658901"/>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业</w:t>
            </w:r>
            <w:r>
              <w:rPr>
                <w:rFonts w:ascii="Times New Roman" w:hAnsi="Times New Roman" w:eastAsia="宋体" w:cs="Times New Roman"/>
                <w:spacing w:val="-3"/>
                <w:sz w:val="20"/>
                <w:szCs w:val="20"/>
              </w:rPr>
              <w:t>绩</w:t>
            </w:r>
            <w:r>
              <w:rPr>
                <w:rFonts w:ascii="Times New Roman" w:hAnsi="Times New Roman" w:eastAsia="宋体" w:cs="Times New Roman"/>
                <w:sz w:val="20"/>
                <w:szCs w:val="20"/>
              </w:rPr>
              <w:t>说</w:t>
            </w:r>
            <w:r>
              <w:rPr>
                <w:rFonts w:ascii="Times New Roman" w:hAnsi="Times New Roman" w:eastAsia="宋体" w:cs="Times New Roman"/>
                <w:spacing w:val="-3"/>
                <w:sz w:val="20"/>
                <w:szCs w:val="20"/>
              </w:rPr>
              <w:t>明</w:t>
            </w:r>
            <w:r>
              <w:rPr>
                <w:rFonts w:ascii="Times New Roman" w:hAnsi="Times New Roman" w:eastAsia="宋体" w:cs="Times New Roman"/>
                <w:sz w:val="20"/>
                <w:szCs w:val="20"/>
              </w:rPr>
              <w:t>会</w:t>
            </w:r>
          </w:p>
          <w:p w14:paraId="6F7A3AD5">
            <w:pPr>
              <w:pStyle w:val="13"/>
              <w:spacing w:before="8"/>
              <w:rPr>
                <w:rFonts w:ascii="Times New Roman" w:hAnsi="Times New Roman" w:eastAsia="宋体" w:cs="Times New Roman"/>
                <w:sz w:val="20"/>
                <w:szCs w:val="20"/>
              </w:rPr>
            </w:pPr>
          </w:p>
          <w:p w14:paraId="02ABD94F">
            <w:pPr>
              <w:pStyle w:val="13"/>
              <w:tabs>
                <w:tab w:val="left" w:pos="2418"/>
              </w:tabs>
              <w:ind w:left="107"/>
              <w:rPr>
                <w:rFonts w:ascii="Times New Roman" w:hAnsi="Times New Roman" w:eastAsia="宋体" w:cs="Times New Roman"/>
                <w:sz w:val="20"/>
                <w:szCs w:val="20"/>
              </w:rPr>
            </w:pPr>
            <w:sdt>
              <w:sdtPr>
                <w:rPr>
                  <w:rFonts w:ascii="Times New Roman" w:hAnsi="Times New Roman" w:eastAsia="宋体" w:cs="Times New Roman"/>
                  <w:sz w:val="20"/>
                  <w:szCs w:val="20"/>
                </w:rPr>
                <w:id w:val="-1848167434"/>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新</w:t>
            </w:r>
            <w:r>
              <w:rPr>
                <w:rFonts w:ascii="Times New Roman" w:hAnsi="Times New Roman" w:eastAsia="宋体" w:cs="Times New Roman"/>
                <w:spacing w:val="-3"/>
                <w:sz w:val="20"/>
                <w:szCs w:val="20"/>
              </w:rPr>
              <w:t>闻</w:t>
            </w:r>
            <w:r>
              <w:rPr>
                <w:rFonts w:ascii="Times New Roman" w:hAnsi="Times New Roman" w:eastAsia="宋体" w:cs="Times New Roman"/>
                <w:sz w:val="20"/>
                <w:szCs w:val="20"/>
              </w:rPr>
              <w:t>发</w:t>
            </w:r>
            <w:r>
              <w:rPr>
                <w:rFonts w:ascii="Times New Roman" w:hAnsi="Times New Roman" w:eastAsia="宋体" w:cs="Times New Roman"/>
                <w:spacing w:val="-3"/>
                <w:sz w:val="20"/>
                <w:szCs w:val="20"/>
              </w:rPr>
              <w:t>布</w:t>
            </w:r>
            <w:r>
              <w:rPr>
                <w:rFonts w:ascii="Times New Roman" w:hAnsi="Times New Roman" w:eastAsia="宋体" w:cs="Times New Roman"/>
                <w:sz w:val="20"/>
                <w:szCs w:val="20"/>
              </w:rPr>
              <w:t>会</w:t>
            </w:r>
            <w:r>
              <w:rPr>
                <w:rFonts w:ascii="Times New Roman" w:hAnsi="Times New Roman" w:eastAsia="宋体" w:cs="Times New Roman"/>
                <w:sz w:val="20"/>
                <w:szCs w:val="20"/>
              </w:rPr>
              <w:tab/>
            </w:r>
            <w:sdt>
              <w:sdtPr>
                <w:rPr>
                  <w:rFonts w:ascii="Times New Roman" w:hAnsi="Times New Roman" w:eastAsia="宋体" w:cs="Times New Roman"/>
                  <w:sz w:val="20"/>
                  <w:szCs w:val="20"/>
                </w:rPr>
                <w:id w:val="412049691"/>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MS Gothic" w:hAnsi="MS Gothic" w:eastAsia="MS Gothic" w:cs="Times New Roman"/>
                    <w:sz w:val="20"/>
                    <w:szCs w:val="20"/>
                  </w:rPr>
                  <w:t>☐</w:t>
                </w:r>
              </w:sdtContent>
            </w:sdt>
            <w:r>
              <w:rPr>
                <w:rFonts w:ascii="Times New Roman" w:hAnsi="Times New Roman" w:eastAsia="宋体" w:cs="Times New Roman"/>
                <w:sz w:val="20"/>
                <w:szCs w:val="20"/>
              </w:rPr>
              <w:t>路</w:t>
            </w:r>
            <w:r>
              <w:rPr>
                <w:rFonts w:ascii="Times New Roman" w:hAnsi="Times New Roman" w:eastAsia="宋体" w:cs="Times New Roman"/>
                <w:spacing w:val="-3"/>
                <w:sz w:val="20"/>
                <w:szCs w:val="20"/>
              </w:rPr>
              <w:t>演</w:t>
            </w:r>
            <w:r>
              <w:rPr>
                <w:rFonts w:ascii="Times New Roman" w:hAnsi="Times New Roman" w:eastAsia="宋体" w:cs="Times New Roman"/>
                <w:sz w:val="20"/>
                <w:szCs w:val="20"/>
              </w:rPr>
              <w:t>活动</w:t>
            </w:r>
          </w:p>
          <w:p w14:paraId="55CC8349">
            <w:pPr>
              <w:pStyle w:val="13"/>
              <w:spacing w:before="8"/>
              <w:rPr>
                <w:rFonts w:ascii="Times New Roman" w:hAnsi="Times New Roman" w:eastAsia="宋体" w:cs="Times New Roman"/>
                <w:sz w:val="20"/>
                <w:szCs w:val="20"/>
              </w:rPr>
            </w:pPr>
          </w:p>
          <w:p w14:paraId="120C685F">
            <w:pPr>
              <w:pStyle w:val="13"/>
              <w:ind w:left="107"/>
              <w:rPr>
                <w:rFonts w:ascii="Times New Roman" w:hAnsi="Times New Roman" w:eastAsia="宋体" w:cs="Times New Roman"/>
                <w:sz w:val="20"/>
                <w:szCs w:val="20"/>
              </w:rPr>
            </w:pPr>
            <w:sdt>
              <w:sdtPr>
                <w:rPr>
                  <w:rFonts w:ascii="Times New Roman" w:hAnsi="Times New Roman" w:eastAsia="宋体" w:cs="Times New Roman"/>
                  <w:sz w:val="20"/>
                  <w:szCs w:val="20"/>
                </w:rPr>
                <w:id w:val="-1333366911"/>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现场参观</w:t>
            </w:r>
          </w:p>
          <w:p w14:paraId="670CA0EF">
            <w:pPr>
              <w:pStyle w:val="13"/>
              <w:spacing w:before="11"/>
              <w:rPr>
                <w:rFonts w:ascii="Times New Roman" w:hAnsi="Times New Roman" w:eastAsia="宋体" w:cs="Times New Roman"/>
                <w:sz w:val="20"/>
                <w:szCs w:val="20"/>
              </w:rPr>
            </w:pPr>
          </w:p>
          <w:p w14:paraId="68CDC10F">
            <w:pPr>
              <w:pStyle w:val="13"/>
              <w:ind w:left="107"/>
              <w:rPr>
                <w:rFonts w:ascii="Times New Roman" w:hAnsi="Times New Roman" w:eastAsia="宋体" w:cs="Times New Roman"/>
                <w:sz w:val="20"/>
                <w:szCs w:val="20"/>
              </w:rPr>
            </w:pPr>
            <w:sdt>
              <w:sdtPr>
                <w:rPr>
                  <w:rFonts w:ascii="Times New Roman" w:hAnsi="Times New Roman" w:eastAsia="宋体" w:cs="Times New Roman"/>
                  <w:sz w:val="20"/>
                  <w:szCs w:val="20"/>
                </w:rPr>
                <w:id w:val="400885218"/>
                <w14:checkbox>
                  <w14:checked w14:val="0"/>
                  <w14:checkedState w14:val="0052" w14:font="Wingdings 2"/>
                  <w14:uncheckedState w14:val="2610" w14:font="MS Gothic"/>
                </w14:checkbox>
              </w:sdtPr>
              <w:sdtEndPr>
                <w:rPr>
                  <w:rFonts w:ascii="Times New Roman" w:hAnsi="Times New Roman" w:eastAsia="宋体" w:cs="Times New Roman"/>
                  <w:sz w:val="20"/>
                  <w:szCs w:val="20"/>
                </w:rPr>
              </w:sdtEndPr>
              <w:sdtContent>
                <w:r>
                  <w:rPr>
                    <w:rFonts w:ascii="Times New Roman" w:hAnsi="Times New Roman" w:eastAsia="MS Gothic" w:cs="Times New Roman"/>
                    <w:sz w:val="20"/>
                    <w:szCs w:val="20"/>
                  </w:rPr>
                  <w:t>☐</w:t>
                </w:r>
              </w:sdtContent>
            </w:sdt>
            <w:r>
              <w:rPr>
                <w:rFonts w:ascii="Times New Roman" w:hAnsi="Times New Roman" w:eastAsia="宋体" w:cs="Times New Roman"/>
                <w:sz w:val="20"/>
                <w:szCs w:val="20"/>
              </w:rPr>
              <w:t>其他（</w:t>
            </w:r>
            <w:r>
              <w:rPr>
                <w:rFonts w:ascii="Times New Roman" w:hAnsi="Times New Roman" w:eastAsia="宋体" w:cs="Times New Roman"/>
                <w:sz w:val="20"/>
                <w:szCs w:val="20"/>
                <w:u w:val="single"/>
              </w:rPr>
              <w:t>请文字说明其他活动内容）</w:t>
            </w:r>
          </w:p>
        </w:tc>
      </w:tr>
      <w:tr w14:paraId="0DD0A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769" w:hRule="atLeast"/>
          <w:jc w:val="center"/>
        </w:trPr>
        <w:tc>
          <w:tcPr>
            <w:tcW w:w="2535" w:type="dxa"/>
            <w:vAlign w:val="center"/>
          </w:tcPr>
          <w:p w14:paraId="514DFFC7">
            <w:pPr>
              <w:pStyle w:val="13"/>
              <w:spacing w:line="360" w:lineRule="auto"/>
              <w:rPr>
                <w:rFonts w:ascii="Times New Roman" w:hAnsi="Times New Roman" w:eastAsia="宋体" w:cs="Times New Roman"/>
                <w:sz w:val="20"/>
                <w:lang w:val="en-US"/>
              </w:rPr>
            </w:pPr>
            <w:r>
              <w:rPr>
                <w:rFonts w:ascii="Times New Roman" w:hAnsi="Times New Roman" w:eastAsia="宋体" w:cs="Times New Roman"/>
                <w:b/>
                <w:bCs/>
                <w:sz w:val="20"/>
                <w:lang w:val="en-US"/>
              </w:rPr>
              <w:t>参与单位名称及人员姓名</w:t>
            </w:r>
          </w:p>
        </w:tc>
        <w:tc>
          <w:tcPr>
            <w:tcW w:w="5844" w:type="dxa"/>
            <w:vAlign w:val="center"/>
          </w:tcPr>
          <w:p w14:paraId="249AC6E5">
            <w:pPr>
              <w:pStyle w:val="13"/>
              <w:spacing w:line="360" w:lineRule="auto"/>
              <w:rPr>
                <w:rFonts w:ascii="Times New Roman" w:hAnsi="Times New Roman" w:eastAsia="宋体" w:cs="Times New Roman"/>
                <w:sz w:val="20"/>
                <w:lang w:val="en-US"/>
              </w:rPr>
            </w:pPr>
            <w:r>
              <w:rPr>
                <w:rFonts w:hint="eastAsia" w:ascii="Times New Roman" w:hAnsi="Times New Roman" w:eastAsia="宋体" w:cs="Times New Roman"/>
                <w:sz w:val="20"/>
                <w:lang w:val="en-US"/>
              </w:rPr>
              <w:t>浙商证券 汪智谦、东方财富证券 梅宇鑫、金友投资 施鸣辉</w:t>
            </w:r>
          </w:p>
          <w:p w14:paraId="3C693862">
            <w:pPr>
              <w:pStyle w:val="13"/>
              <w:spacing w:line="360" w:lineRule="auto"/>
              <w:rPr>
                <w:rFonts w:ascii="Times New Roman" w:hAnsi="Times New Roman" w:eastAsia="宋体" w:cs="Times New Roman"/>
                <w:sz w:val="20"/>
                <w:lang w:val="en-US"/>
              </w:rPr>
            </w:pPr>
            <w:r>
              <w:rPr>
                <w:rFonts w:hint="eastAsia" w:ascii="Times New Roman" w:hAnsi="Times New Roman" w:eastAsia="宋体" w:cs="Times New Roman"/>
                <w:sz w:val="20"/>
                <w:lang w:val="en-US"/>
              </w:rPr>
              <w:t>东方证券，以及参加“我是股东-走进上市公司”29位投资者</w:t>
            </w:r>
          </w:p>
        </w:tc>
      </w:tr>
      <w:tr w14:paraId="0AA230F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46" w:hRule="atLeast"/>
          <w:jc w:val="center"/>
        </w:trPr>
        <w:tc>
          <w:tcPr>
            <w:tcW w:w="2535" w:type="dxa"/>
            <w:vAlign w:val="center"/>
          </w:tcPr>
          <w:p w14:paraId="20ED0FA7">
            <w:pPr>
              <w:pStyle w:val="13"/>
              <w:ind w:left="107"/>
              <w:rPr>
                <w:rFonts w:ascii="Times New Roman" w:hAnsi="Times New Roman" w:cs="Times New Roman" w:eastAsiaTheme="minorEastAsia"/>
                <w:b/>
                <w:bCs/>
                <w:sz w:val="20"/>
                <w:szCs w:val="20"/>
              </w:rPr>
            </w:pPr>
            <w:r>
              <w:rPr>
                <w:rFonts w:ascii="Times New Roman" w:hAnsi="Times New Roman" w:cs="Times New Roman" w:eastAsiaTheme="minorEastAsia"/>
                <w:b/>
                <w:bCs/>
                <w:sz w:val="20"/>
                <w:szCs w:val="20"/>
              </w:rPr>
              <w:t>时间</w:t>
            </w:r>
          </w:p>
        </w:tc>
        <w:tc>
          <w:tcPr>
            <w:tcW w:w="5844" w:type="dxa"/>
            <w:vAlign w:val="center"/>
          </w:tcPr>
          <w:p w14:paraId="6D1152C6">
            <w:pPr>
              <w:spacing w:before="100" w:beforeAutospacing="1" w:line="360" w:lineRule="auto"/>
              <w:rPr>
                <w:rFonts w:ascii="Times New Roman" w:hAnsi="Times New Roman" w:cs="Times New Roman" w:eastAsiaTheme="minorEastAsia"/>
                <w:sz w:val="20"/>
                <w:szCs w:val="20"/>
                <w:lang w:val="en-US"/>
              </w:rPr>
            </w:pPr>
            <w:r>
              <w:rPr>
                <w:rFonts w:ascii="Times New Roman" w:hAnsi="Times New Roman" w:cs="Times New Roman" w:eastAsiaTheme="minorEastAsia"/>
                <w:sz w:val="20"/>
                <w:szCs w:val="20"/>
                <w:lang w:val="en-US"/>
              </w:rPr>
              <w:t>2026年</w:t>
            </w:r>
            <w:r>
              <w:rPr>
                <w:rFonts w:hint="eastAsia" w:ascii="Times New Roman" w:hAnsi="Times New Roman" w:cs="Times New Roman" w:eastAsiaTheme="minorEastAsia"/>
                <w:sz w:val="20"/>
                <w:szCs w:val="20"/>
                <w:lang w:val="en-US"/>
              </w:rPr>
              <w:t>7月2日</w:t>
            </w:r>
          </w:p>
        </w:tc>
      </w:tr>
      <w:tr w14:paraId="490C65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49" w:hRule="atLeast"/>
          <w:jc w:val="center"/>
        </w:trPr>
        <w:tc>
          <w:tcPr>
            <w:tcW w:w="2535" w:type="dxa"/>
            <w:vAlign w:val="center"/>
          </w:tcPr>
          <w:p w14:paraId="73E2DB64">
            <w:pPr>
              <w:pStyle w:val="13"/>
              <w:ind w:left="107"/>
              <w:rPr>
                <w:rFonts w:ascii="Times New Roman" w:hAnsi="Times New Roman" w:cs="Times New Roman" w:eastAsiaTheme="minorEastAsia"/>
                <w:b/>
                <w:bCs/>
                <w:sz w:val="20"/>
                <w:szCs w:val="20"/>
              </w:rPr>
            </w:pPr>
            <w:r>
              <w:rPr>
                <w:rFonts w:ascii="Times New Roman" w:hAnsi="Times New Roman" w:cs="Times New Roman" w:eastAsiaTheme="minorEastAsia"/>
                <w:b/>
                <w:bCs/>
                <w:sz w:val="20"/>
                <w:szCs w:val="20"/>
              </w:rPr>
              <w:t>地点</w:t>
            </w:r>
          </w:p>
        </w:tc>
        <w:tc>
          <w:tcPr>
            <w:tcW w:w="5844" w:type="dxa"/>
            <w:vAlign w:val="center"/>
          </w:tcPr>
          <w:p w14:paraId="4463B1FB">
            <w:pPr>
              <w:pStyle w:val="13"/>
              <w:spacing w:before="100" w:beforeAutospacing="1" w:line="360" w:lineRule="auto"/>
              <w:rPr>
                <w:rFonts w:ascii="Times New Roman" w:hAnsi="Times New Roman" w:cs="Times New Roman" w:eastAsiaTheme="minorEastAsia"/>
                <w:sz w:val="20"/>
                <w:szCs w:val="20"/>
                <w:lang w:val="en-US"/>
              </w:rPr>
            </w:pPr>
            <w:r>
              <w:rPr>
                <w:rFonts w:ascii="Times New Roman" w:hAnsi="Times New Roman" w:cs="Times New Roman" w:eastAsiaTheme="minorEastAsia"/>
                <w:sz w:val="20"/>
                <w:szCs w:val="20"/>
                <w:lang w:val="en-US"/>
              </w:rPr>
              <w:t>苏州</w:t>
            </w:r>
          </w:p>
        </w:tc>
      </w:tr>
      <w:tr w14:paraId="050CEC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447" w:hRule="atLeast"/>
          <w:jc w:val="center"/>
        </w:trPr>
        <w:tc>
          <w:tcPr>
            <w:tcW w:w="2535" w:type="dxa"/>
            <w:vAlign w:val="center"/>
          </w:tcPr>
          <w:p w14:paraId="4293B4C3">
            <w:pPr>
              <w:pStyle w:val="13"/>
              <w:spacing w:before="1"/>
              <w:ind w:left="107"/>
              <w:rPr>
                <w:rFonts w:ascii="Times New Roman" w:hAnsi="Times New Roman" w:eastAsia="宋体" w:cs="Times New Roman"/>
                <w:b/>
                <w:bCs/>
                <w:sz w:val="20"/>
                <w:szCs w:val="20"/>
              </w:rPr>
            </w:pPr>
            <w:r>
              <w:rPr>
                <w:rFonts w:ascii="Times New Roman" w:hAnsi="Times New Roman" w:eastAsia="宋体" w:cs="Times New Roman"/>
                <w:b/>
                <w:bCs/>
                <w:sz w:val="20"/>
                <w:szCs w:val="20"/>
              </w:rPr>
              <w:t>上市公司接待人员姓名</w:t>
            </w:r>
          </w:p>
        </w:tc>
        <w:tc>
          <w:tcPr>
            <w:tcW w:w="5844" w:type="dxa"/>
            <w:vAlign w:val="center"/>
          </w:tcPr>
          <w:p w14:paraId="5EB8E0F4">
            <w:pPr>
              <w:pStyle w:val="13"/>
              <w:spacing w:before="100" w:beforeAutospacing="1" w:line="360" w:lineRule="auto"/>
              <w:rPr>
                <w:rFonts w:ascii="Times New Roman" w:hAnsi="Times New Roman" w:eastAsia="宋体" w:cs="Times New Roman"/>
                <w:sz w:val="20"/>
                <w:szCs w:val="20"/>
                <w:lang w:val="en-US"/>
              </w:rPr>
            </w:pPr>
            <w:r>
              <w:rPr>
                <w:rFonts w:ascii="Times New Roman" w:hAnsi="Times New Roman" w:eastAsia="宋体" w:cs="Times New Roman"/>
                <w:sz w:val="20"/>
                <w:lang w:val="en-US"/>
              </w:rPr>
              <w:t>董事长 吴小平；CTO 陈洪野；董事会秘书 陈小英</w:t>
            </w:r>
          </w:p>
        </w:tc>
      </w:tr>
      <w:tr w14:paraId="69CBC1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1347" w:hRule="atLeast"/>
          <w:jc w:val="center"/>
        </w:trPr>
        <w:tc>
          <w:tcPr>
            <w:tcW w:w="2535" w:type="dxa"/>
          </w:tcPr>
          <w:p w14:paraId="648BABF2">
            <w:pPr>
              <w:pStyle w:val="13"/>
              <w:spacing w:before="100" w:beforeAutospacing="1" w:line="360" w:lineRule="auto"/>
              <w:rPr>
                <w:rFonts w:ascii="Times New Roman" w:hAnsi="Times New Roman" w:eastAsia="宋体" w:cs="Times New Roman"/>
                <w:sz w:val="20"/>
                <w:lang w:val="en-US"/>
              </w:rPr>
            </w:pPr>
          </w:p>
          <w:p w14:paraId="212BC683">
            <w:pPr>
              <w:pStyle w:val="13"/>
              <w:spacing w:before="100" w:beforeAutospacing="1" w:line="360" w:lineRule="auto"/>
              <w:rPr>
                <w:rFonts w:ascii="Times New Roman" w:hAnsi="Times New Roman" w:eastAsia="宋体" w:cs="Times New Roman"/>
                <w:sz w:val="20"/>
                <w:lang w:val="en-US"/>
              </w:rPr>
            </w:pPr>
          </w:p>
          <w:p w14:paraId="5ADAC2C6">
            <w:pPr>
              <w:pStyle w:val="13"/>
              <w:spacing w:before="100" w:beforeAutospacing="1" w:line="360" w:lineRule="auto"/>
              <w:rPr>
                <w:rFonts w:ascii="Times New Roman" w:hAnsi="Times New Roman" w:eastAsia="宋体" w:cs="Times New Roman"/>
                <w:sz w:val="20"/>
                <w:lang w:val="en-US"/>
              </w:rPr>
            </w:pPr>
          </w:p>
          <w:p w14:paraId="1A7A3851">
            <w:pPr>
              <w:pStyle w:val="13"/>
              <w:spacing w:before="100" w:beforeAutospacing="1" w:line="360" w:lineRule="auto"/>
              <w:rPr>
                <w:rFonts w:ascii="Times New Roman" w:hAnsi="Times New Roman" w:eastAsia="宋体" w:cs="Times New Roman"/>
                <w:sz w:val="20"/>
                <w:lang w:val="en-US"/>
              </w:rPr>
            </w:pPr>
            <w:r>
              <w:rPr>
                <w:rFonts w:ascii="Times New Roman" w:hAnsi="Times New Roman" w:eastAsia="宋体" w:cs="Times New Roman"/>
                <w:b/>
                <w:bCs/>
                <w:sz w:val="20"/>
                <w:lang w:val="en-US"/>
              </w:rPr>
              <w:t>投资者关系活动主要内容介绍</w:t>
            </w:r>
          </w:p>
        </w:tc>
        <w:tc>
          <w:tcPr>
            <w:tcW w:w="5844" w:type="dxa"/>
            <w:vAlign w:val="center"/>
          </w:tcPr>
          <w:p w14:paraId="7F9C993A">
            <w:pPr>
              <w:pStyle w:val="13"/>
              <w:spacing w:line="360" w:lineRule="auto"/>
              <w:rPr>
                <w:rFonts w:ascii="Times New Roman" w:hAnsi="Times New Roman" w:eastAsia="宋体" w:cs="Times New Roman"/>
                <w:lang w:val="en-US"/>
              </w:rPr>
            </w:pPr>
            <w:r>
              <w:rPr>
                <w:rFonts w:ascii="Times New Roman" w:hAnsi="Times New Roman" w:eastAsia="宋体" w:cs="Times New Roman"/>
                <w:b/>
                <w:sz w:val="20"/>
              </w:rPr>
              <w:t>问题1：</w:t>
            </w:r>
            <w:r>
              <w:rPr>
                <w:rFonts w:hint="eastAsia" w:ascii="Times New Roman" w:hAnsi="Times New Roman" w:eastAsia="宋体" w:cs="Times New Roman"/>
                <w:b/>
                <w:sz w:val="20"/>
                <w:lang w:val="en-US" w:eastAsia="zh-CN"/>
              </w:rPr>
              <w:t>介绍一下公司目前的情况</w:t>
            </w:r>
            <w:r>
              <w:rPr>
                <w:rFonts w:hint="eastAsia" w:ascii="Times New Roman" w:hAnsi="Times New Roman" w:eastAsia="宋体" w:cs="Times New Roman"/>
                <w:b/>
                <w:sz w:val="20"/>
                <w:lang w:val="en-US"/>
              </w:rPr>
              <w:t>？</w:t>
            </w:r>
          </w:p>
          <w:p w14:paraId="67FF2FC1">
            <w:pPr>
              <w:pStyle w:val="13"/>
              <w:spacing w:line="360" w:lineRule="auto"/>
              <w:jc w:val="both"/>
              <w:rPr>
                <w:rFonts w:ascii="Times New Roman" w:hAnsi="Times New Roman" w:eastAsia="宋体" w:cs="Times New Roman"/>
                <w:sz w:val="20"/>
                <w:lang w:val="en-US"/>
              </w:rPr>
            </w:pPr>
            <w:r>
              <w:rPr>
                <w:rFonts w:ascii="Times New Roman" w:hAnsi="Times New Roman" w:eastAsia="宋体" w:cs="Times New Roman"/>
                <w:sz w:val="20"/>
                <w:lang w:val="en-US"/>
              </w:rPr>
              <w:t>回复1：公司自成立以来，始终坚持以平台化、多元化、国际化作为长期战略</w:t>
            </w:r>
            <w:r>
              <w:rPr>
                <w:rFonts w:hint="eastAsia" w:ascii="Times New Roman" w:hAnsi="Times New Roman" w:eastAsia="宋体" w:cs="Times New Roman"/>
                <w:sz w:val="20"/>
                <w:lang w:val="en-US"/>
              </w:rPr>
              <w:t>方向</w:t>
            </w:r>
            <w:r>
              <w:rPr>
                <w:rFonts w:ascii="Times New Roman" w:hAnsi="Times New Roman" w:eastAsia="宋体" w:cs="Times New Roman"/>
                <w:sz w:val="20"/>
                <w:lang w:val="en-US"/>
              </w:rPr>
              <w:t>，并将创新工程作为驱动战略落地的系统性抓手。在战略执行层面，公司依托先进高分子材料领域的底层技术平台，在同一技术体系内持续进行跨场景、跨</w:t>
            </w:r>
            <w:r>
              <w:rPr>
                <w:rFonts w:hint="eastAsia" w:ascii="Times New Roman" w:hAnsi="Times New Roman" w:eastAsia="宋体" w:cs="Times New Roman"/>
                <w:sz w:val="20"/>
                <w:lang w:val="en-US"/>
              </w:rPr>
              <w:t>领域</w:t>
            </w:r>
            <w:r>
              <w:rPr>
                <w:rFonts w:ascii="Times New Roman" w:hAnsi="Times New Roman" w:eastAsia="宋体" w:cs="Times New Roman"/>
                <w:sz w:val="20"/>
                <w:lang w:val="en-US"/>
              </w:rPr>
              <w:t>的产品开发，推动功能材料从单一应用向多领域协同延伸。</w:t>
            </w:r>
          </w:p>
          <w:p w14:paraId="33691142">
            <w:pPr>
              <w:pStyle w:val="13"/>
              <w:spacing w:line="360" w:lineRule="auto"/>
              <w:jc w:val="both"/>
              <w:rPr>
                <w:rFonts w:ascii="Times New Roman" w:hAnsi="Times New Roman" w:eastAsia="宋体" w:cs="Times New Roman"/>
                <w:sz w:val="20"/>
                <w:lang w:val="en-US"/>
              </w:rPr>
            </w:pPr>
            <w:r>
              <w:rPr>
                <w:rFonts w:ascii="Times New Roman" w:hAnsi="Times New Roman" w:eastAsia="宋体" w:cs="Times New Roman"/>
                <w:sz w:val="20"/>
                <w:lang w:val="en-US"/>
              </w:rPr>
              <w:t>在多元化布局上，公司并非追逐短期热点</w:t>
            </w:r>
            <w:r>
              <w:rPr>
                <w:rFonts w:hint="eastAsia" w:ascii="Times New Roman" w:hAnsi="Times New Roman" w:eastAsia="宋体" w:cs="Times New Roman"/>
                <w:sz w:val="20"/>
                <w:lang w:val="en-US" w:eastAsia="zh-CN"/>
              </w:rPr>
              <w:t>。公司是</w:t>
            </w:r>
            <w:r>
              <w:rPr>
                <w:rFonts w:ascii="Times New Roman" w:hAnsi="Times New Roman" w:eastAsia="宋体" w:cs="Times New Roman"/>
                <w:sz w:val="20"/>
                <w:lang w:val="en-US"/>
              </w:rPr>
              <w:t>基于技术平台能力与</w:t>
            </w:r>
            <w:r>
              <w:rPr>
                <w:rFonts w:hint="eastAsia" w:ascii="Times New Roman" w:hAnsi="Times New Roman" w:eastAsia="宋体" w:cs="Times New Roman"/>
                <w:sz w:val="20"/>
                <w:lang w:val="en-US" w:eastAsia="zh-CN"/>
              </w:rPr>
              <w:t>对</w:t>
            </w:r>
            <w:r>
              <w:rPr>
                <w:rFonts w:ascii="Times New Roman" w:hAnsi="Times New Roman" w:eastAsia="宋体" w:cs="Times New Roman"/>
                <w:sz w:val="20"/>
                <w:lang w:val="en-US"/>
              </w:rPr>
              <w:t>产业</w:t>
            </w:r>
            <w:r>
              <w:rPr>
                <w:rFonts w:hint="eastAsia" w:ascii="Times New Roman" w:hAnsi="Times New Roman" w:eastAsia="宋体" w:cs="Times New Roman"/>
                <w:sz w:val="20"/>
                <w:lang w:val="en-US" w:eastAsia="zh-CN"/>
              </w:rPr>
              <w:t>的前瞻性判断</w:t>
            </w:r>
            <w:r>
              <w:rPr>
                <w:rFonts w:ascii="Times New Roman" w:hAnsi="Times New Roman" w:eastAsia="宋体" w:cs="Times New Roman"/>
                <w:sz w:val="20"/>
                <w:lang w:val="en-US"/>
              </w:rPr>
              <w:t>，</w:t>
            </w:r>
            <w:r>
              <w:rPr>
                <w:rFonts w:hint="eastAsia" w:ascii="Times New Roman" w:hAnsi="Times New Roman" w:eastAsia="宋体" w:cs="Times New Roman"/>
                <w:sz w:val="20"/>
                <w:lang w:val="en-US" w:eastAsia="zh-CN"/>
              </w:rPr>
              <w:t>对多元化相关布局是提前几年就早有布局并实施的，是同一技术平台上延伸。</w:t>
            </w:r>
            <w:r>
              <w:rPr>
                <w:rFonts w:ascii="Times New Roman" w:hAnsi="Times New Roman" w:eastAsia="宋体" w:cs="Times New Roman"/>
                <w:sz w:val="20"/>
                <w:lang w:val="en-US"/>
              </w:rPr>
              <w:t>公司目前已构建起覆盖光伏材料、</w:t>
            </w:r>
            <w:r>
              <w:rPr>
                <w:rFonts w:hint="eastAsia" w:ascii="Times New Roman" w:hAnsi="Times New Roman" w:eastAsia="宋体" w:cs="Times New Roman"/>
                <w:sz w:val="20"/>
                <w:lang w:val="en-US" w:eastAsia="zh-CN"/>
              </w:rPr>
              <w:t>锂电池PACK材料和电力电子材料</w:t>
            </w:r>
            <w:r>
              <w:rPr>
                <w:rFonts w:ascii="Times New Roman" w:hAnsi="Times New Roman" w:eastAsia="宋体" w:cs="Times New Roman"/>
                <w:sz w:val="20"/>
                <w:lang w:val="en-US"/>
              </w:rPr>
              <w:t>、</w:t>
            </w:r>
            <w:r>
              <w:rPr>
                <w:rFonts w:hint="eastAsia" w:ascii="Times New Roman" w:hAnsi="Times New Roman" w:eastAsia="宋体" w:cs="Times New Roman"/>
                <w:sz w:val="20"/>
                <w:lang w:val="en-US" w:eastAsia="zh-CN"/>
              </w:rPr>
              <w:t>声学材料、显示材料、消费品材料</w:t>
            </w:r>
            <w:r>
              <w:rPr>
                <w:rFonts w:ascii="Times New Roman" w:hAnsi="Times New Roman" w:eastAsia="宋体" w:cs="Times New Roman"/>
                <w:sz w:val="20"/>
                <w:lang w:val="en-US"/>
              </w:rPr>
              <w:t>以及半导体材料等多板块的业务矩阵。</w:t>
            </w:r>
          </w:p>
          <w:p w14:paraId="4A888ABB">
            <w:pPr>
              <w:pStyle w:val="13"/>
              <w:spacing w:line="360" w:lineRule="auto"/>
              <w:jc w:val="both"/>
              <w:rPr>
                <w:rFonts w:ascii="Times New Roman" w:hAnsi="Times New Roman" w:eastAsia="宋体" w:cs="Times New Roman"/>
                <w:sz w:val="20"/>
                <w:lang w:val="en-US"/>
              </w:rPr>
            </w:pPr>
            <w:r>
              <w:rPr>
                <w:rFonts w:hint="eastAsia" w:ascii="Times New Roman" w:hAnsi="Times New Roman" w:eastAsia="宋体" w:cs="Times New Roman"/>
                <w:sz w:val="20"/>
                <w:lang w:val="en-US" w:eastAsia="zh-CN"/>
              </w:rPr>
              <w:t>基于公司固有的中长期计划，赛伍非光伏板块业务</w:t>
            </w:r>
            <w:r>
              <w:rPr>
                <w:rFonts w:ascii="Times New Roman" w:hAnsi="Times New Roman" w:eastAsia="宋体" w:cs="Times New Roman"/>
                <w:sz w:val="20"/>
                <w:lang w:val="en-US"/>
              </w:rPr>
              <w:t>2026年第一季度营业收入占比约30%，较同期提升约7个百分点。这一结构性变化</w:t>
            </w:r>
            <w:r>
              <w:rPr>
                <w:rFonts w:hint="eastAsia" w:ascii="Times New Roman" w:hAnsi="Times New Roman" w:eastAsia="宋体" w:cs="Times New Roman"/>
                <w:sz w:val="20"/>
                <w:lang w:val="en-US"/>
              </w:rPr>
              <w:t>也</w:t>
            </w:r>
            <w:r>
              <w:rPr>
                <w:rFonts w:ascii="Times New Roman" w:hAnsi="Times New Roman" w:eastAsia="宋体" w:cs="Times New Roman"/>
                <w:sz w:val="20"/>
                <w:lang w:val="en-US"/>
              </w:rPr>
              <w:t>表明，公司长期推进的多元布局正在逐步兑现为实际经营成果，对单一赛道周期波动的依赖性持续降低，整体业务韧性进一步增强。</w:t>
            </w:r>
          </w:p>
          <w:p w14:paraId="369E86DD">
            <w:pPr>
              <w:pStyle w:val="13"/>
              <w:spacing w:line="360" w:lineRule="auto"/>
              <w:jc w:val="both"/>
              <w:rPr>
                <w:rFonts w:hint="eastAsia" w:ascii="Times New Roman" w:hAnsi="Times New Roman" w:eastAsia="宋体" w:cs="Times New Roman"/>
                <w:sz w:val="20"/>
                <w:lang w:val="en-US"/>
              </w:rPr>
            </w:pPr>
            <w:r>
              <w:rPr>
                <w:rFonts w:ascii="Times New Roman" w:hAnsi="Times New Roman" w:eastAsia="宋体" w:cs="Times New Roman"/>
                <w:sz w:val="20"/>
                <w:lang w:val="en-US"/>
              </w:rPr>
              <w:t>面向未来，公司将继续围绕</w:t>
            </w:r>
            <w:r>
              <w:rPr>
                <w:rFonts w:hint="eastAsia" w:ascii="Times New Roman" w:hAnsi="Times New Roman" w:eastAsia="宋体" w:cs="Times New Roman"/>
                <w:sz w:val="20"/>
                <w:lang w:val="en-US"/>
              </w:rPr>
              <w:t>“多元化、平台化、国际化”发展战略，以创新工程作为抓手，不断拓展业务单元，推动</w:t>
            </w:r>
            <w:r>
              <w:rPr>
                <w:rFonts w:ascii="Times New Roman" w:hAnsi="Times New Roman" w:eastAsia="宋体" w:cs="Times New Roman"/>
                <w:sz w:val="20"/>
                <w:lang w:val="en-US"/>
              </w:rPr>
              <w:t>业务稳健增长，深化全球化战略布局</w:t>
            </w:r>
            <w:r>
              <w:rPr>
                <w:rFonts w:hint="eastAsia" w:ascii="Times New Roman" w:hAnsi="Times New Roman" w:eastAsia="宋体" w:cs="Times New Roman"/>
                <w:sz w:val="20"/>
                <w:lang w:val="en-US"/>
              </w:rPr>
              <w:t>，已期</w:t>
            </w:r>
            <w:r>
              <w:rPr>
                <w:rFonts w:ascii="Times New Roman" w:hAnsi="Times New Roman" w:eastAsia="宋体" w:cs="Times New Roman"/>
                <w:sz w:val="20"/>
                <w:lang w:val="en-US"/>
              </w:rPr>
              <w:t>增厚收入与</w:t>
            </w:r>
            <w:r>
              <w:rPr>
                <w:rFonts w:hint="eastAsia" w:ascii="Times New Roman" w:hAnsi="Times New Roman" w:eastAsia="宋体" w:cs="Times New Roman"/>
                <w:sz w:val="20"/>
                <w:lang w:val="en-US"/>
              </w:rPr>
              <w:t>改善盈利</w:t>
            </w:r>
            <w:r>
              <w:rPr>
                <w:rFonts w:ascii="Times New Roman" w:hAnsi="Times New Roman" w:eastAsia="宋体" w:cs="Times New Roman"/>
                <w:sz w:val="20"/>
                <w:lang w:val="en-US"/>
              </w:rPr>
              <w:t>。相关业务进展受</w:t>
            </w:r>
            <w:r>
              <w:rPr>
                <w:rFonts w:hint="eastAsia" w:ascii="Times New Roman" w:hAnsi="Times New Roman" w:eastAsia="宋体" w:cs="Times New Roman"/>
                <w:sz w:val="20"/>
                <w:lang w:val="en-US"/>
              </w:rPr>
              <w:t>宏观经济影响、</w:t>
            </w:r>
            <w:r>
              <w:rPr>
                <w:rFonts w:ascii="Times New Roman" w:hAnsi="Times New Roman" w:eastAsia="宋体" w:cs="Times New Roman"/>
                <w:sz w:val="20"/>
                <w:lang w:val="en-US"/>
              </w:rPr>
              <w:t>市场需求变化、客户验证节奏、</w:t>
            </w:r>
            <w:r>
              <w:rPr>
                <w:rFonts w:hint="eastAsia" w:ascii="Times New Roman" w:hAnsi="Times New Roman" w:eastAsia="宋体" w:cs="Times New Roman"/>
                <w:sz w:val="20"/>
                <w:lang w:val="en-US"/>
              </w:rPr>
              <w:t>产品放量情况</w:t>
            </w:r>
            <w:r>
              <w:rPr>
                <w:rFonts w:ascii="Times New Roman" w:hAnsi="Times New Roman" w:eastAsia="宋体" w:cs="Times New Roman"/>
                <w:sz w:val="20"/>
                <w:lang w:val="en-US"/>
              </w:rPr>
              <w:t>多重因素影响</w:t>
            </w:r>
            <w:r>
              <w:rPr>
                <w:rFonts w:hint="eastAsia" w:ascii="Times New Roman" w:hAnsi="Times New Roman" w:eastAsia="宋体" w:cs="Times New Roman"/>
                <w:sz w:val="20"/>
                <w:lang w:val="en-US"/>
              </w:rPr>
              <w:t>，请广大投资者注意投资风险。</w:t>
            </w:r>
          </w:p>
          <w:p w14:paraId="5884D343">
            <w:pPr>
              <w:pStyle w:val="13"/>
              <w:spacing w:line="360" w:lineRule="auto"/>
              <w:jc w:val="both"/>
              <w:rPr>
                <w:rFonts w:hint="eastAsia" w:ascii="Times New Roman" w:hAnsi="Times New Roman" w:eastAsia="宋体" w:cs="Times New Roman"/>
                <w:sz w:val="20"/>
                <w:lang w:val="en-US"/>
              </w:rPr>
            </w:pPr>
          </w:p>
          <w:p w14:paraId="735D2D67">
            <w:pPr>
              <w:pStyle w:val="13"/>
              <w:spacing w:line="360" w:lineRule="auto"/>
              <w:rPr>
                <w:rFonts w:hint="default" w:ascii="Times New Roman" w:hAnsi="Times New Roman" w:eastAsia="宋体" w:cs="Times New Roman"/>
                <w:b/>
                <w:sz w:val="20"/>
                <w:lang w:val="en-US" w:eastAsia="zh-CN"/>
              </w:rPr>
            </w:pPr>
            <w:r>
              <w:rPr>
                <w:rFonts w:ascii="Times New Roman" w:hAnsi="Times New Roman" w:eastAsia="宋体" w:cs="Times New Roman"/>
                <w:b/>
                <w:sz w:val="20"/>
              </w:rPr>
              <w:t>问题</w:t>
            </w:r>
            <w:r>
              <w:rPr>
                <w:rFonts w:hint="eastAsia" w:ascii="Times New Roman" w:hAnsi="Times New Roman" w:eastAsia="宋体" w:cs="Times New Roman"/>
                <w:b/>
                <w:sz w:val="20"/>
                <w:lang w:val="en-US"/>
              </w:rPr>
              <w:t>2：</w:t>
            </w:r>
            <w:r>
              <w:rPr>
                <w:rFonts w:ascii="Segoe UI" w:hAnsi="Segoe UI" w:eastAsia="Segoe UI" w:cs="Segoe UI"/>
                <w:b/>
                <w:bCs/>
                <w:i w:val="0"/>
                <w:iCs w:val="0"/>
                <w:caps w:val="0"/>
                <w:color w:val="0F1115"/>
                <w:spacing w:val="0"/>
                <w:sz w:val="20"/>
                <w:szCs w:val="20"/>
                <w:shd w:val="clear" w:fill="FFFFFF"/>
              </w:rPr>
              <w:t>近期光伏行业正经历深度调整，</w:t>
            </w:r>
            <w:r>
              <w:rPr>
                <w:rFonts w:hint="eastAsia" w:ascii="Segoe UI" w:hAnsi="Segoe UI" w:eastAsia="宋体" w:cs="Segoe UI"/>
                <w:b/>
                <w:bCs/>
                <w:i w:val="0"/>
                <w:iCs w:val="0"/>
                <w:caps w:val="0"/>
                <w:color w:val="0F1115"/>
                <w:spacing w:val="0"/>
                <w:sz w:val="20"/>
                <w:szCs w:val="20"/>
                <w:shd w:val="clear" w:fill="FFFFFF"/>
                <w:lang w:val="en-US" w:eastAsia="zh-CN"/>
              </w:rPr>
              <w:t>请问公司</w:t>
            </w:r>
            <w:r>
              <w:rPr>
                <w:rFonts w:hint="eastAsia" w:ascii="Times New Roman" w:hAnsi="Times New Roman" w:eastAsia="宋体" w:cs="Times New Roman"/>
                <w:b/>
                <w:sz w:val="20"/>
                <w:szCs w:val="20"/>
                <w:lang w:val="en-US" w:eastAsia="zh-CN"/>
              </w:rPr>
              <w:t>对于光伏行业未来的发展怎么看？</w:t>
            </w:r>
          </w:p>
          <w:p w14:paraId="21E0BFB1">
            <w:pPr>
              <w:spacing w:line="360" w:lineRule="auto"/>
              <w:rPr>
                <w:rFonts w:ascii="Times New Roman" w:hAnsi="Times New Roman" w:eastAsia="宋体" w:cs="Times New Roman"/>
                <w:sz w:val="20"/>
                <w:lang w:val="en-US"/>
              </w:rPr>
            </w:pPr>
            <w:r>
              <w:rPr>
                <w:rFonts w:hint="eastAsia" w:ascii="Times New Roman" w:hAnsi="Times New Roman" w:eastAsia="宋体" w:cs="Times New Roman"/>
                <w:sz w:val="20"/>
                <w:lang w:val="en-US"/>
              </w:rPr>
              <w:t>回复2：近</w:t>
            </w:r>
            <w:r>
              <w:rPr>
                <w:rFonts w:ascii="Times New Roman" w:hAnsi="Times New Roman" w:eastAsia="宋体" w:cs="Times New Roman"/>
                <w:sz w:val="20"/>
                <w:lang w:val="en-US"/>
              </w:rPr>
              <w:t>期，工信部等部门推动光伏能耗、能效相关强制性标准落地，说明行业正在从单纯规模扩张和低价竞争，逐步转向标准约束、先进产能、技术创新和绿色制造。长期看，这有助于推动落后产能出清，引导光伏产业回归高质量发展。对公司而言，行业高质量发展更看重产品可靠性、差异化能力、知识产权保护和全球化交付能力，这与公司在光伏材料业务中的长期布局方向相匹配。</w:t>
            </w:r>
          </w:p>
          <w:p w14:paraId="0A9E107D">
            <w:pPr>
              <w:spacing w:line="360" w:lineRule="auto"/>
              <w:rPr>
                <w:rFonts w:ascii="Times New Roman" w:hAnsi="Times New Roman" w:eastAsia="宋体" w:cs="Times New Roman"/>
                <w:sz w:val="20"/>
                <w:lang w:val="en-US"/>
              </w:rPr>
            </w:pPr>
            <w:r>
              <w:rPr>
                <w:rFonts w:hint="eastAsia" w:ascii="Times New Roman" w:hAnsi="Times New Roman" w:eastAsia="宋体" w:cs="Times New Roman"/>
                <w:sz w:val="20"/>
                <w:lang w:val="en-US" w:eastAsia="zh-CN"/>
              </w:rPr>
              <w:t>目前，公司在传统光伏业务行业地位稳固，一季度封装胶膜毛利率转正；同时，海外胶膜业务营收占比大幅提升，一季度占胶膜营收比重42%，同比增加21个百分点；差异化产品光转膜已覆盖HJT、TOPCon、BC、钙钛矿不同技术路线，不断</w:t>
            </w:r>
            <w:r>
              <w:rPr>
                <w:rFonts w:ascii="Times New Roman" w:hAnsi="Times New Roman" w:eastAsia="宋体" w:cs="Times New Roman"/>
                <w:sz w:val="20"/>
                <w:lang w:val="en-US"/>
              </w:rPr>
              <w:t>增强光伏业务在行业周期中的盈利韧性。</w:t>
            </w:r>
          </w:p>
          <w:p w14:paraId="57E0049F">
            <w:pPr>
              <w:spacing w:line="360" w:lineRule="auto"/>
              <w:rPr>
                <w:rFonts w:ascii="Times New Roman" w:hAnsi="Times New Roman" w:eastAsia="宋体" w:cs="Times New Roman"/>
                <w:sz w:val="20"/>
                <w:lang w:val="en-US"/>
              </w:rPr>
            </w:pPr>
            <w:r>
              <w:rPr>
                <w:rFonts w:ascii="Times New Roman" w:hAnsi="Times New Roman" w:eastAsia="宋体" w:cs="Times New Roman"/>
                <w:sz w:val="20"/>
                <w:lang w:val="en-US"/>
              </w:rPr>
              <w:t>总体来看，公司对光伏行业长期发展保持关注，也会更加重视通过差异化产品、成本优化和海外布局来应对行业波动。相关业务进展和经营成果以公司后续披露信息为准。</w:t>
            </w:r>
          </w:p>
          <w:p w14:paraId="49788176">
            <w:pPr>
              <w:spacing w:line="360" w:lineRule="auto"/>
              <w:rPr>
                <w:rFonts w:ascii="Times New Roman" w:hAnsi="Times New Roman" w:eastAsia="宋体" w:cs="Times New Roman"/>
                <w:sz w:val="20"/>
                <w:lang w:val="en-US"/>
              </w:rPr>
            </w:pPr>
          </w:p>
          <w:p w14:paraId="0B5AE702">
            <w:pPr>
              <w:pStyle w:val="13"/>
              <w:spacing w:line="360" w:lineRule="auto"/>
              <w:rPr>
                <w:rFonts w:hint="default" w:ascii="Times New Roman" w:hAnsi="Times New Roman" w:eastAsia="宋体" w:cs="Times New Roman"/>
                <w:b/>
                <w:sz w:val="20"/>
                <w:lang w:val="en-US" w:eastAsia="zh-CN"/>
              </w:rPr>
            </w:pPr>
            <w:r>
              <w:rPr>
                <w:rFonts w:hint="eastAsia" w:ascii="Times New Roman" w:hAnsi="Times New Roman" w:eastAsia="宋体" w:cs="Times New Roman"/>
                <w:b/>
                <w:sz w:val="20"/>
                <w:lang w:val="en-US"/>
              </w:rPr>
              <w:t>问题3：</w:t>
            </w:r>
            <w:r>
              <w:rPr>
                <w:rFonts w:hint="eastAsia" w:ascii="Times New Roman" w:hAnsi="Times New Roman" w:eastAsia="宋体" w:cs="Times New Roman"/>
                <w:b/>
                <w:sz w:val="20"/>
                <w:lang w:val="en-US" w:eastAsia="zh-CN"/>
              </w:rPr>
              <w:t>公司在光伏业务上有没有一些拳头产品？</w:t>
            </w:r>
          </w:p>
          <w:p w14:paraId="377BD963">
            <w:pPr>
              <w:pStyle w:val="13"/>
              <w:spacing w:line="360" w:lineRule="auto"/>
              <w:jc w:val="both"/>
              <w:rPr>
                <w:rFonts w:ascii="Times New Roman" w:hAnsi="Times New Roman" w:eastAsia="宋体" w:cs="Times New Roman"/>
                <w:sz w:val="20"/>
                <w:lang w:val="en-US"/>
              </w:rPr>
            </w:pPr>
            <w:r>
              <w:rPr>
                <w:rFonts w:ascii="Times New Roman" w:hAnsi="Times New Roman" w:eastAsia="宋体" w:cs="Times New Roman"/>
                <w:sz w:val="20"/>
              </w:rPr>
              <w:t>回复3：Raybo</w:t>
            </w:r>
            <w:r>
              <w:rPr>
                <w:rFonts w:ascii="Times New Roman" w:hAnsi="Times New Roman" w:eastAsia="宋体" w:cs="Times New Roman"/>
                <w:sz w:val="20"/>
                <w:vertAlign w:val="superscript"/>
              </w:rPr>
              <w:t xml:space="preserve">® </w:t>
            </w:r>
            <w:r>
              <w:rPr>
                <w:rFonts w:ascii="Times New Roman" w:hAnsi="Times New Roman" w:eastAsia="宋体" w:cs="Times New Roman"/>
                <w:sz w:val="20"/>
              </w:rPr>
              <w:t>Film镭博光转膜是公司重点推进的差异化产品之一，其核心价值在于将对组件有害的紫外光转换为可发电的可见光，从而帮助组件提升发电能力，并降低紫外光衰风险。</w:t>
            </w:r>
            <w:r>
              <w:rPr>
                <w:rFonts w:hint="eastAsia" w:ascii="Times New Roman" w:hAnsi="Times New Roman" w:eastAsia="宋体" w:cs="Times New Roman"/>
                <w:sz w:val="20"/>
                <w:lang w:val="en-US"/>
              </w:rPr>
              <w:t>公司围绕该产品已构建起完善的全球专利布局，</w:t>
            </w:r>
            <w:r>
              <w:rPr>
                <w:rFonts w:ascii="Times New Roman" w:hAnsi="Times New Roman" w:eastAsia="宋体" w:cs="Times New Roman"/>
                <w:sz w:val="20"/>
                <w:lang w:val="en-US"/>
              </w:rPr>
              <w:t>能够更好地帮助下游客户降低知识产权合规风险，这也是公司坚定扩大光转膜销售占比的重要基础。</w:t>
            </w:r>
          </w:p>
          <w:p w14:paraId="21A73594">
            <w:pPr>
              <w:pStyle w:val="13"/>
              <w:spacing w:line="360" w:lineRule="auto"/>
              <w:jc w:val="both"/>
              <w:rPr>
                <w:rFonts w:ascii="Times New Roman" w:hAnsi="Times New Roman" w:eastAsia="宋体" w:cs="Times New Roman"/>
                <w:sz w:val="20"/>
              </w:rPr>
            </w:pPr>
            <w:r>
              <w:rPr>
                <w:rFonts w:hint="eastAsia" w:ascii="Times New Roman" w:hAnsi="Times New Roman" w:eastAsia="宋体" w:cs="Times New Roman"/>
                <w:sz w:val="20"/>
                <w:lang w:val="en-US"/>
              </w:rPr>
              <w:t>从应用进展来看，Raybo</w:t>
            </w:r>
            <w:r>
              <w:rPr>
                <w:rFonts w:hint="eastAsia" w:ascii="Times New Roman" w:hAnsi="Times New Roman" w:eastAsia="宋体" w:cs="Times New Roman"/>
                <w:sz w:val="20"/>
                <w:vertAlign w:val="superscript"/>
                <w:lang w:val="en-US"/>
              </w:rPr>
              <w:t>®</w:t>
            </w:r>
            <w:r>
              <w:rPr>
                <w:rFonts w:ascii="Times New Roman" w:hAnsi="Times New Roman" w:eastAsia="宋体" w:cs="Times New Roman"/>
                <w:sz w:val="20"/>
                <w:lang w:val="en-US"/>
              </w:rPr>
              <w:t>光转膜</w:t>
            </w:r>
            <w:r>
              <w:rPr>
                <w:rFonts w:hint="eastAsia" w:ascii="Times New Roman" w:hAnsi="Times New Roman" w:eastAsia="宋体" w:cs="Times New Roman"/>
                <w:sz w:val="20"/>
                <w:lang w:val="en-US"/>
              </w:rPr>
              <w:t>已覆盖</w:t>
            </w:r>
            <w:r>
              <w:rPr>
                <w:rFonts w:ascii="Times New Roman" w:hAnsi="Times New Roman" w:eastAsia="宋体" w:cs="Times New Roman"/>
                <w:sz w:val="20"/>
                <w:lang w:val="en-US"/>
              </w:rPr>
              <w:t>HJT、TOPCon、BC、钙钛矿等不同技术路线</w:t>
            </w:r>
            <w:r>
              <w:rPr>
                <w:rFonts w:hint="eastAsia" w:ascii="Times New Roman" w:hAnsi="Times New Roman" w:eastAsia="宋体" w:cs="Times New Roman"/>
                <w:sz w:val="20"/>
                <w:lang w:val="en-US"/>
              </w:rPr>
              <w:t>。</w:t>
            </w:r>
            <w:r>
              <w:rPr>
                <w:rFonts w:ascii="Times New Roman" w:hAnsi="Times New Roman" w:eastAsia="宋体" w:cs="Times New Roman"/>
                <w:sz w:val="20"/>
              </w:rPr>
              <w:t>其中，HJT用光转膜已在海外客户处实现稳定交付；TOPCon用光转膜已实现量产交付，并在高UV等</w:t>
            </w:r>
            <w:r>
              <w:rPr>
                <w:rFonts w:hint="eastAsia" w:ascii="Times New Roman" w:hAnsi="Times New Roman" w:eastAsia="宋体" w:cs="Times New Roman"/>
                <w:sz w:val="20"/>
                <w:lang w:val="en-US" w:eastAsia="zh-CN"/>
              </w:rPr>
              <w:t>差异化</w:t>
            </w:r>
            <w:r>
              <w:rPr>
                <w:rFonts w:ascii="Times New Roman" w:hAnsi="Times New Roman" w:eastAsia="宋体" w:cs="Times New Roman"/>
                <w:sz w:val="20"/>
              </w:rPr>
              <w:t>应用场景中体现出较强适配价值；BC用光转膜正在行业头部客户推进验证和导入；钙钛矿用光转膜已向国内及海外钙钛矿企业实现小批量交付。随着相关技术路线持续推进，以及海外市场对知识产权和组件可靠性的要求提升，光转膜有望在更多应用场景中形成销售贡献</w:t>
            </w:r>
            <w:r>
              <w:rPr>
                <w:rFonts w:hint="eastAsia" w:ascii="Times New Roman" w:hAnsi="Times New Roman" w:eastAsia="宋体" w:cs="Times New Roman"/>
                <w:sz w:val="20"/>
                <w:lang w:eastAsia="zh-CN"/>
              </w:rPr>
              <w:t>，</w:t>
            </w:r>
            <w:r>
              <w:rPr>
                <w:rFonts w:hint="eastAsia" w:ascii="Times New Roman" w:hAnsi="Times New Roman" w:eastAsia="宋体" w:cs="Times New Roman"/>
                <w:sz w:val="20"/>
                <w:lang w:val="en-US" w:eastAsia="zh-CN"/>
              </w:rPr>
              <w:t>成为下一代光伏技术的核心解决方案提供商。</w:t>
            </w:r>
          </w:p>
          <w:p w14:paraId="51DEF296">
            <w:pPr>
              <w:pStyle w:val="13"/>
              <w:spacing w:line="360" w:lineRule="auto"/>
              <w:jc w:val="both"/>
              <w:rPr>
                <w:rFonts w:ascii="Times New Roman" w:hAnsi="Times New Roman" w:eastAsia="宋体" w:cs="Times New Roman"/>
                <w:sz w:val="20"/>
              </w:rPr>
            </w:pPr>
          </w:p>
          <w:p w14:paraId="0F1A6837">
            <w:pPr>
              <w:pStyle w:val="13"/>
              <w:spacing w:line="360" w:lineRule="auto"/>
              <w:rPr>
                <w:rFonts w:hint="default" w:ascii="Times New Roman" w:hAnsi="Times New Roman" w:eastAsia="宋体" w:cs="Times New Roman"/>
                <w:lang w:val="en-US" w:eastAsia="zh-CN"/>
              </w:rPr>
            </w:pPr>
            <w:r>
              <w:rPr>
                <w:rFonts w:ascii="Times New Roman" w:hAnsi="Times New Roman" w:eastAsia="宋体" w:cs="Times New Roman"/>
                <w:b/>
                <w:sz w:val="20"/>
              </w:rPr>
              <w:t>问题4：</w:t>
            </w:r>
            <w:r>
              <w:rPr>
                <w:rFonts w:hint="eastAsia" w:ascii="Times New Roman" w:hAnsi="Times New Roman" w:eastAsia="宋体" w:cs="Times New Roman"/>
                <w:b/>
                <w:sz w:val="20"/>
                <w:lang w:val="en-US" w:eastAsia="zh-CN"/>
              </w:rPr>
              <w:t>现在很多都在强调出海，请问公司在境外有没有相关的布局？</w:t>
            </w:r>
          </w:p>
          <w:p w14:paraId="4EE1CA78">
            <w:pPr>
              <w:pStyle w:val="8"/>
              <w:widowControl/>
              <w:shd w:val="clear" w:color="auto" w:fill="FFFFFF"/>
              <w:spacing w:line="360" w:lineRule="auto"/>
              <w:jc w:val="both"/>
              <w:rPr>
                <w:rFonts w:eastAsia="宋体"/>
                <w:sz w:val="20"/>
                <w:szCs w:val="22"/>
                <w:lang w:val="en-US"/>
              </w:rPr>
            </w:pPr>
            <w:r>
              <w:rPr>
                <w:rFonts w:eastAsia="宋体"/>
                <w:sz w:val="20"/>
                <w:szCs w:val="22"/>
                <w:lang w:val="en-US"/>
              </w:rPr>
              <w:t>回复4：</w:t>
            </w:r>
            <w:r>
              <w:rPr>
                <w:rFonts w:hint="eastAsia" w:eastAsia="宋体"/>
                <w:sz w:val="20"/>
                <w:szCs w:val="22"/>
                <w:lang w:val="en-US"/>
              </w:rPr>
              <w:t>公司高度重视海外市场战略布局，相关布局持续深化，海外业务已成为公司重要增长。</w:t>
            </w:r>
            <w:r>
              <w:rPr>
                <w:rFonts w:eastAsia="宋体"/>
                <w:sz w:val="20"/>
                <w:szCs w:val="22"/>
                <w:lang w:val="en-US"/>
              </w:rPr>
              <w:t>2025年全年，公司实现海外业务收入6.18亿元，占当期营收比重为23.57%；2026年第一季度，</w:t>
            </w:r>
            <w:r>
              <w:rPr>
                <w:rFonts w:hint="eastAsia" w:eastAsia="宋体"/>
                <w:sz w:val="20"/>
                <w:szCs w:val="22"/>
                <w:lang w:val="en-US"/>
              </w:rPr>
              <w:t>在</w:t>
            </w:r>
            <w:r>
              <w:rPr>
                <w:rFonts w:eastAsia="宋体"/>
                <w:sz w:val="20"/>
                <w:szCs w:val="22"/>
                <w:lang w:val="en-US"/>
              </w:rPr>
              <w:t>光伏胶膜</w:t>
            </w:r>
            <w:r>
              <w:rPr>
                <w:rFonts w:hint="eastAsia" w:eastAsia="宋体"/>
                <w:sz w:val="20"/>
                <w:szCs w:val="22"/>
                <w:lang w:val="en-US"/>
              </w:rPr>
              <w:t>业务板块，</w:t>
            </w:r>
            <w:r>
              <w:rPr>
                <w:rFonts w:eastAsia="宋体"/>
                <w:sz w:val="20"/>
                <w:szCs w:val="22"/>
                <w:lang w:val="en-US"/>
              </w:rPr>
              <w:t>海外收入达1.55亿元，胶膜业务海外营收占比已提升至42%。海外市场毛利率整体优于国内，对公司盈利修复和产品结构优化形成积极支撑。</w:t>
            </w:r>
          </w:p>
          <w:p w14:paraId="33F3CC9F">
            <w:pPr>
              <w:pStyle w:val="8"/>
              <w:widowControl/>
              <w:shd w:val="clear" w:color="auto" w:fill="FFFFFF"/>
              <w:spacing w:line="360" w:lineRule="auto"/>
              <w:jc w:val="both"/>
              <w:rPr>
                <w:rFonts w:eastAsia="宋体"/>
                <w:sz w:val="20"/>
                <w:szCs w:val="22"/>
                <w:lang w:val="en-US"/>
              </w:rPr>
            </w:pPr>
            <w:r>
              <w:rPr>
                <w:rFonts w:hint="eastAsia" w:eastAsia="宋体"/>
                <w:sz w:val="20"/>
                <w:szCs w:val="22"/>
                <w:lang w:val="en-US"/>
              </w:rPr>
              <w:t>除</w:t>
            </w:r>
            <w:r>
              <w:rPr>
                <w:rFonts w:eastAsia="宋体"/>
                <w:sz w:val="20"/>
                <w:szCs w:val="22"/>
                <w:lang w:val="en-US"/>
              </w:rPr>
              <w:t>光伏板块之外，公司</w:t>
            </w:r>
            <w:r>
              <w:rPr>
                <w:rFonts w:hint="eastAsia" w:eastAsia="宋体"/>
                <w:sz w:val="20"/>
                <w:szCs w:val="22"/>
                <w:lang w:val="en-US" w:eastAsia="zh-CN"/>
              </w:rPr>
              <w:t>锂电池PACK和电力电子材料</w:t>
            </w:r>
            <w:r>
              <w:rPr>
                <w:rFonts w:eastAsia="宋体"/>
                <w:sz w:val="20"/>
                <w:szCs w:val="22"/>
                <w:lang w:val="en-US"/>
              </w:rPr>
              <w:t>业务亦加快海外拓展步伐，相关产品已从国内头部客户逐步延伸至北美头部客户、欧洲主流车企及其他国际客户，持续丰富海外客户矩阵。</w:t>
            </w:r>
          </w:p>
          <w:p w14:paraId="3A589640">
            <w:pPr>
              <w:pStyle w:val="8"/>
              <w:widowControl/>
              <w:shd w:val="clear" w:color="auto" w:fill="FFFFFF"/>
              <w:spacing w:line="360" w:lineRule="auto"/>
              <w:jc w:val="both"/>
              <w:rPr>
                <w:rFonts w:eastAsia="宋体"/>
                <w:sz w:val="20"/>
                <w:szCs w:val="22"/>
                <w:lang w:val="en-US"/>
              </w:rPr>
            </w:pPr>
            <w:r>
              <w:rPr>
                <w:rFonts w:eastAsia="宋体"/>
                <w:sz w:val="20"/>
                <w:szCs w:val="22"/>
                <w:lang w:val="en-US"/>
              </w:rPr>
              <w:t>在产能与交付保障方面，越南基地</w:t>
            </w:r>
            <w:r>
              <w:rPr>
                <w:rFonts w:hint="eastAsia" w:eastAsia="宋体"/>
                <w:sz w:val="20"/>
                <w:szCs w:val="22"/>
                <w:lang w:val="en-US"/>
              </w:rPr>
              <w:t>满产</w:t>
            </w:r>
            <w:r>
              <w:rPr>
                <w:rFonts w:eastAsia="宋体"/>
                <w:sz w:val="20"/>
                <w:szCs w:val="22"/>
                <w:lang w:val="en-US"/>
              </w:rPr>
              <w:t>，支撑海外客户订单交付；同时公司正结合客户需求及区域市场变化，稳步推进包括土耳其在内的海外产能规划和配套资源布局，以进一步提升区域化服务能力和全球响应效率。</w:t>
            </w:r>
            <w:bookmarkStart w:id="0" w:name="_GoBack"/>
            <w:bookmarkEnd w:id="0"/>
          </w:p>
          <w:p w14:paraId="4651CF67">
            <w:pPr>
              <w:pStyle w:val="8"/>
              <w:widowControl/>
              <w:shd w:val="clear" w:color="auto" w:fill="FFFFFF"/>
              <w:spacing w:line="360" w:lineRule="auto"/>
              <w:jc w:val="both"/>
              <w:rPr>
                <w:rFonts w:eastAsia="宋体"/>
                <w:sz w:val="20"/>
                <w:szCs w:val="22"/>
                <w:lang w:val="en-US"/>
              </w:rPr>
            </w:pPr>
          </w:p>
          <w:p w14:paraId="0EB0ECDE">
            <w:pPr>
              <w:pStyle w:val="13"/>
              <w:spacing w:line="360" w:lineRule="auto"/>
              <w:rPr>
                <w:rFonts w:hint="default" w:ascii="Times New Roman" w:hAnsi="Times New Roman" w:eastAsia="宋体" w:cs="Times New Roman"/>
                <w:sz w:val="20"/>
                <w:szCs w:val="20"/>
                <w:lang w:val="en-US"/>
              </w:rPr>
            </w:pPr>
            <w:r>
              <w:rPr>
                <w:rFonts w:hint="default" w:ascii="Times New Roman" w:hAnsi="Times New Roman" w:eastAsia="宋体" w:cs="Times New Roman"/>
                <w:b/>
                <w:sz w:val="20"/>
                <w:szCs w:val="20"/>
              </w:rPr>
              <w:t>问题5：</w:t>
            </w:r>
            <w:r>
              <w:rPr>
                <w:rFonts w:hint="default" w:ascii="Times New Roman" w:hAnsi="Times New Roman" w:eastAsia="宋体" w:cs="Times New Roman"/>
                <w:b/>
                <w:bCs/>
                <w:i w:val="0"/>
                <w:iCs w:val="0"/>
                <w:caps w:val="0"/>
                <w:color w:val="0F1115"/>
                <w:spacing w:val="0"/>
                <w:sz w:val="20"/>
                <w:szCs w:val="20"/>
                <w:shd w:val="clear" w:fill="FFFFFF"/>
              </w:rPr>
              <w:t>我们注意到贵司在平显这块已经有产品，</w:t>
            </w:r>
            <w:r>
              <w:rPr>
                <w:rFonts w:hint="default" w:ascii="Times New Roman" w:hAnsi="Times New Roman" w:eastAsia="宋体" w:cs="Times New Roman"/>
                <w:b/>
                <w:bCs/>
                <w:i w:val="0"/>
                <w:iCs w:val="0"/>
                <w:caps w:val="0"/>
                <w:color w:val="0F1115"/>
                <w:spacing w:val="0"/>
                <w:sz w:val="20"/>
                <w:szCs w:val="20"/>
                <w:shd w:val="clear" w:fill="FFFFFF"/>
                <w:lang w:val="en-US" w:eastAsia="zh-CN"/>
              </w:rPr>
              <w:t>具体</w:t>
            </w:r>
            <w:r>
              <w:rPr>
                <w:rFonts w:hint="default" w:ascii="Times New Roman" w:hAnsi="Times New Roman" w:eastAsia="宋体" w:cs="Times New Roman"/>
                <w:b/>
                <w:bCs/>
                <w:i w:val="0"/>
                <w:iCs w:val="0"/>
                <w:caps w:val="0"/>
                <w:color w:val="0F1115"/>
                <w:spacing w:val="0"/>
                <w:sz w:val="20"/>
                <w:szCs w:val="20"/>
                <w:shd w:val="clear" w:fill="FFFFFF"/>
              </w:rPr>
              <w:t>介绍一下</w:t>
            </w:r>
            <w:r>
              <w:rPr>
                <w:rFonts w:hint="default" w:ascii="Times New Roman" w:hAnsi="Times New Roman" w:eastAsia="宋体" w:cs="Times New Roman"/>
                <w:b/>
                <w:sz w:val="20"/>
                <w:szCs w:val="20"/>
                <w:lang w:val="en-US"/>
              </w:rPr>
              <w:t>？</w:t>
            </w:r>
          </w:p>
          <w:p w14:paraId="19D1C463">
            <w:pPr>
              <w:pStyle w:val="13"/>
              <w:spacing w:line="360" w:lineRule="auto"/>
              <w:jc w:val="both"/>
              <w:rPr>
                <w:rFonts w:hint="default" w:ascii="Times New Roman" w:hAnsi="Times New Roman" w:eastAsia="宋体" w:cs="Times New Roman"/>
                <w:sz w:val="20"/>
                <w:szCs w:val="20"/>
                <w:lang w:val="en-US" w:eastAsia="zh-CN"/>
              </w:rPr>
            </w:pPr>
            <w:r>
              <w:rPr>
                <w:rFonts w:hint="default" w:ascii="Times New Roman" w:hAnsi="Times New Roman" w:eastAsia="宋体" w:cs="Times New Roman"/>
                <w:sz w:val="20"/>
                <w:szCs w:val="20"/>
              </w:rPr>
              <w:t>回复5：</w:t>
            </w:r>
            <w:r>
              <w:rPr>
                <w:rFonts w:hint="default" w:ascii="Times New Roman" w:hAnsi="Times New Roman" w:eastAsia="宋体" w:cs="Times New Roman"/>
                <w:sz w:val="20"/>
                <w:szCs w:val="20"/>
                <w:lang w:val="en-US" w:eastAsia="zh-CN"/>
              </w:rPr>
              <w:t>公司在4年前已布局</w:t>
            </w:r>
            <w:r>
              <w:rPr>
                <w:rFonts w:hint="default" w:ascii="Times New Roman" w:hAnsi="Times New Roman" w:eastAsia="宋体" w:cs="Times New Roman"/>
                <w:sz w:val="20"/>
                <w:szCs w:val="20"/>
                <w:lang w:val="en-US"/>
              </w:rPr>
              <w:t>新型显示材料</w:t>
            </w:r>
            <w:r>
              <w:rPr>
                <w:rFonts w:hint="default" w:ascii="Times New Roman" w:hAnsi="Times New Roman" w:eastAsia="宋体" w:cs="Times New Roman"/>
                <w:sz w:val="20"/>
                <w:szCs w:val="20"/>
                <w:lang w:val="en-US" w:eastAsia="zh-CN"/>
              </w:rPr>
              <w:t>，</w:t>
            </w:r>
            <w:r>
              <w:rPr>
                <w:rFonts w:hint="default" w:ascii="Times New Roman" w:hAnsi="Times New Roman" w:eastAsia="宋体" w:cs="Times New Roman"/>
                <w:sz w:val="20"/>
                <w:szCs w:val="20"/>
                <w:lang w:val="en-US"/>
              </w:rPr>
              <w:t>是公司消费电子材料业务的重要聚焦赛道之一</w:t>
            </w:r>
            <w:r>
              <w:rPr>
                <w:rFonts w:hint="eastAsia" w:ascii="Times New Roman" w:hAnsi="Times New Roman" w:eastAsia="宋体" w:cs="Times New Roman"/>
                <w:sz w:val="20"/>
                <w:szCs w:val="20"/>
                <w:lang w:val="en-US" w:eastAsia="zh-CN"/>
              </w:rPr>
              <w:t>。</w:t>
            </w:r>
            <w:r>
              <w:rPr>
                <w:rFonts w:hint="default" w:ascii="Times New Roman" w:hAnsi="Times New Roman" w:eastAsia="宋体" w:cs="Times New Roman"/>
                <w:sz w:val="20"/>
                <w:szCs w:val="20"/>
                <w:lang w:val="en-US" w:eastAsia="zh-CN"/>
              </w:rPr>
              <w:t>围绕OLED、MiniLED、MicroLED等新型显示技术</w:t>
            </w:r>
            <w:r>
              <w:rPr>
                <w:rFonts w:hint="default" w:ascii="Times New Roman" w:hAnsi="Times New Roman" w:eastAsia="宋体" w:cs="Times New Roman"/>
                <w:sz w:val="20"/>
                <w:szCs w:val="20"/>
                <w:lang w:val="en-US"/>
              </w:rPr>
              <w:t>，</w:t>
            </w:r>
            <w:r>
              <w:rPr>
                <w:rFonts w:hint="default" w:ascii="Times New Roman" w:hAnsi="Times New Roman" w:eastAsia="宋体" w:cs="Times New Roman"/>
                <w:sz w:val="20"/>
                <w:szCs w:val="20"/>
                <w:lang w:val="en-US" w:eastAsia="zh-CN"/>
              </w:rPr>
              <w:t>公司</w:t>
            </w:r>
            <w:r>
              <w:rPr>
                <w:rFonts w:hint="default" w:ascii="Times New Roman" w:hAnsi="Times New Roman" w:eastAsia="宋体" w:cs="Times New Roman"/>
                <w:sz w:val="20"/>
                <w:szCs w:val="20"/>
                <w:lang w:val="en-US"/>
              </w:rPr>
              <w:t>产品有OLED切割用上/下保护膜、OLED支撑膜、OLED 一体化泡棉胶带</w:t>
            </w:r>
            <w:r>
              <w:rPr>
                <w:rFonts w:hint="default" w:ascii="Times New Roman" w:hAnsi="Times New Roman" w:eastAsia="宋体" w:cs="Times New Roman"/>
                <w:sz w:val="20"/>
                <w:szCs w:val="20"/>
                <w:lang w:val="en-US" w:eastAsia="zh-CN"/>
              </w:rPr>
              <w:t>、MicroLED基板切割保护膜、MicroLED用高洁净保护膜等</w:t>
            </w:r>
            <w:r>
              <w:rPr>
                <w:rFonts w:hint="default" w:ascii="Times New Roman" w:hAnsi="Times New Roman" w:eastAsia="宋体" w:cs="Times New Roman"/>
                <w:sz w:val="20"/>
                <w:szCs w:val="20"/>
                <w:lang w:val="en-US"/>
              </w:rPr>
              <w:t>；</w:t>
            </w:r>
            <w:r>
              <w:rPr>
                <w:rFonts w:hint="default" w:ascii="Times New Roman" w:hAnsi="Times New Roman" w:eastAsia="宋体" w:cs="Times New Roman"/>
                <w:color w:val="000000"/>
                <w:kern w:val="0"/>
                <w:sz w:val="20"/>
                <w:szCs w:val="20"/>
              </w:rPr>
              <w:t>其中，OLED切割制程用上/下保护膜（TPF/BPF）已步入规模化放量期</w:t>
            </w:r>
            <w:r>
              <w:rPr>
                <w:rFonts w:hint="eastAsia" w:ascii="Times New Roman" w:hAnsi="Times New Roman" w:eastAsia="宋体" w:cs="Times New Roman"/>
                <w:color w:val="000000"/>
                <w:kern w:val="0"/>
                <w:sz w:val="20"/>
                <w:szCs w:val="20"/>
                <w:lang w:eastAsia="zh-CN"/>
              </w:rPr>
              <w:t>，</w:t>
            </w:r>
            <w:r>
              <w:rPr>
                <w:rFonts w:hint="eastAsia" w:ascii="Times New Roman" w:hAnsi="Times New Roman" w:eastAsia="宋体" w:cs="Times New Roman"/>
                <w:color w:val="000000"/>
                <w:kern w:val="0"/>
                <w:sz w:val="20"/>
                <w:szCs w:val="20"/>
                <w:lang w:val="en-US" w:eastAsia="zh-CN"/>
              </w:rPr>
              <w:t>并已横向展开；</w:t>
            </w:r>
            <w:r>
              <w:rPr>
                <w:rFonts w:hint="default" w:ascii="Times New Roman" w:hAnsi="Times New Roman" w:eastAsia="宋体" w:cs="Times New Roman"/>
                <w:color w:val="000000"/>
                <w:kern w:val="0"/>
                <w:sz w:val="20"/>
                <w:szCs w:val="20"/>
              </w:rPr>
              <w:t>MicroLED基板切割及高洁净保护膜已实现小批量量产，OLED用支撑膜、一体化泡棉胶带、MicroLED 用承接胶、</w:t>
            </w:r>
            <w:r>
              <w:rPr>
                <w:rFonts w:hint="default" w:ascii="Times New Roman" w:hAnsi="Times New Roman" w:eastAsia="宋体" w:cs="Times New Roman"/>
                <w:kern w:val="0"/>
                <w:sz w:val="20"/>
                <w:szCs w:val="20"/>
              </w:rPr>
              <w:t>指纹识别模组用铜箔胶带及</w:t>
            </w:r>
            <w:r>
              <w:rPr>
                <w:rFonts w:hint="default" w:ascii="Times New Roman" w:hAnsi="Times New Roman" w:eastAsia="宋体" w:cs="Times New Roman"/>
                <w:color w:val="000000"/>
                <w:kern w:val="0"/>
                <w:sz w:val="20"/>
                <w:szCs w:val="20"/>
              </w:rPr>
              <w:t>黑色热固胶等新产品均处于关键导入阶段</w:t>
            </w:r>
            <w:r>
              <w:rPr>
                <w:rFonts w:hint="default" w:ascii="Times New Roman" w:hAnsi="Times New Roman" w:eastAsia="宋体" w:cs="Times New Roman"/>
                <w:sz w:val="20"/>
                <w:szCs w:val="20"/>
                <w:lang w:val="en-US" w:eastAsia="zh-CN"/>
              </w:rPr>
              <w:t>。</w:t>
            </w:r>
          </w:p>
          <w:p w14:paraId="412CAAEC">
            <w:pPr>
              <w:pStyle w:val="13"/>
              <w:spacing w:line="360" w:lineRule="auto"/>
              <w:jc w:val="both"/>
              <w:rPr>
                <w:rFonts w:ascii="Times New Roman" w:hAnsi="Times New Roman" w:eastAsia="宋体" w:cs="Times New Roman"/>
                <w:sz w:val="20"/>
                <w:lang w:val="en-US"/>
              </w:rPr>
            </w:pPr>
          </w:p>
          <w:p w14:paraId="3612B419">
            <w:pPr>
              <w:pStyle w:val="13"/>
              <w:spacing w:line="360" w:lineRule="auto"/>
              <w:jc w:val="both"/>
              <w:rPr>
                <w:rFonts w:ascii="Times New Roman" w:hAnsi="Times New Roman" w:eastAsia="宋体" w:cs="Times New Roman"/>
                <w:b/>
                <w:bCs/>
                <w:sz w:val="20"/>
                <w:lang w:val="en-US"/>
              </w:rPr>
            </w:pPr>
            <w:r>
              <w:rPr>
                <w:rFonts w:hint="eastAsia" w:ascii="Times New Roman" w:hAnsi="Times New Roman" w:eastAsia="宋体" w:cs="Times New Roman"/>
                <w:b/>
                <w:bCs/>
                <w:sz w:val="20"/>
                <w:lang w:val="en-US"/>
              </w:rPr>
              <w:t>问题6：</w:t>
            </w:r>
            <w:r>
              <w:rPr>
                <w:rFonts w:ascii="Segoe UI" w:hAnsi="Segoe UI" w:eastAsia="Segoe UI" w:cs="Segoe UI"/>
                <w:b/>
                <w:bCs/>
                <w:i w:val="0"/>
                <w:iCs w:val="0"/>
                <w:caps w:val="0"/>
                <w:color w:val="0F1115"/>
                <w:spacing w:val="0"/>
                <w:sz w:val="20"/>
                <w:szCs w:val="20"/>
                <w:shd w:val="clear" w:fill="FFFFFF"/>
              </w:rPr>
              <w:t>新能源汽车领域，贵公司主要有哪些产品布局或应用？</w:t>
            </w:r>
          </w:p>
          <w:p w14:paraId="54F4384B">
            <w:pPr>
              <w:pStyle w:val="13"/>
              <w:spacing w:line="360" w:lineRule="auto"/>
              <w:jc w:val="both"/>
              <w:rPr>
                <w:rFonts w:ascii="Times New Roman" w:hAnsi="Times New Roman" w:eastAsia="宋体" w:cs="Times New Roman"/>
                <w:sz w:val="20"/>
                <w:lang w:val="en-US"/>
              </w:rPr>
            </w:pPr>
            <w:r>
              <w:rPr>
                <w:rFonts w:hint="eastAsia" w:ascii="Times New Roman" w:hAnsi="Times New Roman" w:eastAsia="宋体" w:cs="Times New Roman"/>
                <w:sz w:val="20"/>
                <w:lang w:val="en-US"/>
              </w:rPr>
              <w:t>回复6：</w:t>
            </w:r>
            <w:r>
              <w:rPr>
                <w:rFonts w:hint="eastAsia" w:ascii="Times New Roman" w:hAnsi="Times New Roman" w:eastAsia="宋体" w:cs="Times New Roman"/>
                <w:sz w:val="20"/>
                <w:lang w:val="en-US" w:eastAsia="zh-CN"/>
              </w:rPr>
              <w:t>锂电池PACK和电力电子材料</w:t>
            </w:r>
            <w:r>
              <w:rPr>
                <w:rFonts w:ascii="Times New Roman" w:hAnsi="Times New Roman" w:eastAsia="宋体" w:cs="Times New Roman"/>
                <w:sz w:val="20"/>
                <w:lang w:val="en-US"/>
              </w:rPr>
              <w:t>业务是公司非光伏业务的重要组成。2025年，该板块营业收入同比增长约45%，已成为公司多元化业务增长的重要支撑。依托赛伍高分子材料平台技术，该板块已成功开发出冷板绝缘膜、叠层母排绝缘胶膜、CCS热压膜、FFC热压膜等原创产品，持续服务比亚迪、宁德时代等国内头部客户达八年之久，并通过间接合作覆盖德国头部车企及北美头部新能源车企。随着应用场景不断拓展，叠层母排胶膜及锂电池液冷板绝缘胶膜已从新能源汽车延伸至储能及其他产业领域。海外方面，该板块产品已获得北美知名企业定点，有望成为公司全球化布局的重要增量来源。</w:t>
            </w:r>
          </w:p>
          <w:p w14:paraId="75011247">
            <w:pPr>
              <w:pStyle w:val="13"/>
              <w:spacing w:line="360" w:lineRule="auto"/>
              <w:jc w:val="both"/>
              <w:rPr>
                <w:rFonts w:hint="eastAsia" w:ascii="Times New Roman" w:hAnsi="Times New Roman" w:eastAsia="宋体" w:cs="Times New Roman"/>
                <w:b/>
                <w:bCs/>
                <w:sz w:val="20"/>
                <w:lang w:val="en-US" w:eastAsia="zh-CN"/>
              </w:rPr>
            </w:pPr>
          </w:p>
          <w:p w14:paraId="0FF56831">
            <w:pPr>
              <w:pStyle w:val="13"/>
              <w:spacing w:line="360" w:lineRule="auto"/>
              <w:jc w:val="both"/>
              <w:rPr>
                <w:rFonts w:hint="default" w:ascii="Times New Roman" w:hAnsi="Times New Roman" w:eastAsia="宋体" w:cs="Times New Roman"/>
                <w:b/>
                <w:bCs/>
                <w:sz w:val="20"/>
                <w:lang w:val="en-US" w:eastAsia="zh-CN"/>
              </w:rPr>
            </w:pPr>
            <w:r>
              <w:rPr>
                <w:rFonts w:hint="default" w:ascii="Times New Roman" w:hAnsi="Times New Roman" w:eastAsia="宋体" w:cs="Times New Roman"/>
                <w:b/>
                <w:bCs/>
                <w:sz w:val="20"/>
                <w:lang w:val="en-US" w:eastAsia="zh-CN"/>
              </w:rPr>
              <w:t>问题7：公司在其他材料业务上，是否有布局？</w:t>
            </w:r>
          </w:p>
          <w:p w14:paraId="5A70644E">
            <w:pPr>
              <w:pStyle w:val="13"/>
              <w:spacing w:line="360" w:lineRule="auto"/>
              <w:jc w:val="both"/>
              <w:rPr>
                <w:rFonts w:hint="default" w:ascii="Times New Roman" w:hAnsi="Times New Roman" w:eastAsia="宋体" w:cs="Times New Roman"/>
                <w:sz w:val="20"/>
                <w:lang w:val="en-US" w:eastAsia="zh-CN"/>
              </w:rPr>
            </w:pPr>
            <w:r>
              <w:rPr>
                <w:rFonts w:hint="default" w:ascii="Times New Roman" w:hAnsi="Times New Roman" w:eastAsia="宋体" w:cs="Times New Roman"/>
                <w:sz w:val="20"/>
                <w:lang w:val="en-US" w:eastAsia="zh-CN"/>
              </w:rPr>
              <w:t>回复7：在其他材料业务上</w:t>
            </w:r>
            <w:r>
              <w:rPr>
                <w:rFonts w:hint="eastAsia" w:ascii="Times New Roman" w:hAnsi="Times New Roman" w:eastAsia="宋体" w:cs="Times New Roman"/>
                <w:sz w:val="20"/>
                <w:lang w:val="en-US" w:eastAsia="zh-CN"/>
              </w:rPr>
              <w:t>，</w:t>
            </w:r>
            <w:r>
              <w:rPr>
                <w:rFonts w:hint="default" w:ascii="Times New Roman" w:hAnsi="Times New Roman" w:eastAsia="宋体" w:cs="Times New Roman"/>
                <w:sz w:val="20"/>
                <w:lang w:val="en-US" w:eastAsia="zh-CN"/>
              </w:rPr>
              <w:t>公司已有4年多的耕耘，不断地进行研发</w:t>
            </w:r>
            <w:r>
              <w:rPr>
                <w:rFonts w:hint="eastAsia" w:ascii="Times New Roman" w:hAnsi="Times New Roman" w:eastAsia="宋体" w:cs="Times New Roman"/>
                <w:sz w:val="20"/>
                <w:lang w:val="en-US" w:eastAsia="zh-CN"/>
              </w:rPr>
              <w:t>和资源</w:t>
            </w:r>
            <w:r>
              <w:rPr>
                <w:rFonts w:hint="default" w:ascii="Times New Roman" w:hAnsi="Times New Roman" w:eastAsia="宋体" w:cs="Times New Roman"/>
                <w:sz w:val="20"/>
                <w:lang w:val="en-US" w:eastAsia="zh-CN"/>
              </w:rPr>
              <w:t>投入，该业务进入门槛高、爬坡较缓慢，目前已有多款产品在客户处</w:t>
            </w:r>
            <w:r>
              <w:rPr>
                <w:rFonts w:hint="eastAsia" w:ascii="Times New Roman" w:hAnsi="Times New Roman" w:eastAsia="宋体" w:cs="Times New Roman"/>
                <w:sz w:val="20"/>
                <w:lang w:val="en-US" w:eastAsia="zh-CN"/>
              </w:rPr>
              <w:t>小批量</w:t>
            </w:r>
            <w:r>
              <w:rPr>
                <w:rFonts w:hint="default" w:ascii="Times New Roman" w:hAnsi="Times New Roman" w:eastAsia="宋体" w:cs="Times New Roman"/>
                <w:sz w:val="20"/>
                <w:lang w:val="en-US" w:eastAsia="zh-CN"/>
              </w:rPr>
              <w:t>交付；</w:t>
            </w:r>
            <w:r>
              <w:rPr>
                <w:rFonts w:hint="eastAsia" w:ascii="Times New Roman" w:hAnsi="Times New Roman" w:eastAsia="宋体" w:cs="Times New Roman"/>
                <w:sz w:val="20"/>
                <w:lang w:val="en-US" w:eastAsia="zh-CN"/>
              </w:rPr>
              <w:t>同时</w:t>
            </w:r>
            <w:r>
              <w:rPr>
                <w:rFonts w:hint="default" w:ascii="Times New Roman" w:hAnsi="Times New Roman" w:eastAsia="宋体" w:cs="Times New Roman"/>
                <w:sz w:val="20"/>
                <w:lang w:val="en-US" w:eastAsia="zh-CN"/>
              </w:rPr>
              <w:t>该业务板块</w:t>
            </w:r>
            <w:r>
              <w:rPr>
                <w:rFonts w:hint="eastAsia" w:ascii="Times New Roman" w:hAnsi="Times New Roman" w:eastAsia="宋体" w:cs="Times New Roman"/>
                <w:sz w:val="20"/>
                <w:lang w:val="en-US" w:eastAsia="zh-CN"/>
              </w:rPr>
              <w:t>，</w:t>
            </w:r>
            <w:r>
              <w:rPr>
                <w:rFonts w:hint="default" w:ascii="Times New Roman" w:hAnsi="Times New Roman" w:eastAsia="宋体" w:cs="Times New Roman"/>
                <w:sz w:val="20"/>
                <w:lang w:val="en-US" w:eastAsia="zh-CN"/>
              </w:rPr>
              <w:t>公司持续渗透行业头部</w:t>
            </w:r>
            <w:r>
              <w:rPr>
                <w:rFonts w:hint="eastAsia" w:ascii="Times New Roman" w:hAnsi="Times New Roman" w:eastAsia="宋体" w:cs="Times New Roman"/>
                <w:sz w:val="20"/>
                <w:lang w:val="en-US" w:eastAsia="zh-CN"/>
              </w:rPr>
              <w:t>客户</w:t>
            </w:r>
            <w:r>
              <w:rPr>
                <w:rFonts w:hint="default" w:ascii="Times New Roman" w:hAnsi="Times New Roman" w:eastAsia="宋体" w:cs="Times New Roman"/>
                <w:sz w:val="20"/>
                <w:lang w:val="en-US" w:eastAsia="zh-CN"/>
              </w:rPr>
              <w:t>，</w:t>
            </w:r>
            <w:r>
              <w:rPr>
                <w:rFonts w:ascii="Times New Roman" w:hAnsi="Times New Roman" w:eastAsia="宋体" w:cs="Times New Roman"/>
                <w:kern w:val="0"/>
                <w:sz w:val="20"/>
                <w:lang w:val="en-US"/>
              </w:rPr>
              <w:t>通过加快前瞻性产品的验证与量产节奏，</w:t>
            </w:r>
            <w:r>
              <w:rPr>
                <w:rFonts w:hint="default" w:ascii="Times New Roman" w:hAnsi="Times New Roman" w:eastAsia="宋体" w:cs="Times New Roman"/>
                <w:kern w:val="0"/>
                <w:sz w:val="20"/>
                <w:lang w:val="en-US" w:eastAsia="zh-CN"/>
              </w:rPr>
              <w:t>不断</w:t>
            </w:r>
            <w:r>
              <w:rPr>
                <w:rFonts w:ascii="Times New Roman" w:hAnsi="Times New Roman" w:eastAsia="宋体" w:cs="Times New Roman"/>
                <w:kern w:val="0"/>
                <w:sz w:val="20"/>
                <w:lang w:val="en-US"/>
              </w:rPr>
              <w:t>完善产品矩阵</w:t>
            </w:r>
            <w:r>
              <w:rPr>
                <w:rFonts w:hint="default" w:ascii="Times New Roman" w:hAnsi="Times New Roman" w:eastAsia="宋体" w:cs="Times New Roman"/>
                <w:kern w:val="0"/>
                <w:sz w:val="20"/>
                <w:lang w:val="en-US" w:eastAsia="zh-CN"/>
              </w:rPr>
              <w:t>，以期</w:t>
            </w:r>
            <w:r>
              <w:rPr>
                <w:rFonts w:ascii="Times New Roman" w:hAnsi="Times New Roman" w:eastAsia="宋体" w:cs="Times New Roman"/>
                <w:kern w:val="0"/>
                <w:sz w:val="20"/>
                <w:lang w:val="en-US"/>
              </w:rPr>
              <w:t>为公司贡献长期的业绩增量</w:t>
            </w:r>
            <w:r>
              <w:rPr>
                <w:rFonts w:hint="default" w:ascii="Times New Roman" w:hAnsi="Times New Roman" w:eastAsia="宋体" w:cs="Times New Roman"/>
                <w:kern w:val="0"/>
                <w:sz w:val="20"/>
                <w:lang w:val="en-US" w:eastAsia="zh-CN"/>
              </w:rPr>
              <w:t>。</w:t>
            </w:r>
          </w:p>
          <w:p w14:paraId="5671855F">
            <w:pPr>
              <w:pStyle w:val="13"/>
              <w:spacing w:line="360" w:lineRule="auto"/>
              <w:jc w:val="both"/>
              <w:rPr>
                <w:rFonts w:hint="default" w:ascii="Times New Roman" w:hAnsi="Times New Roman" w:eastAsia="宋体" w:cs="Times New Roman"/>
                <w:sz w:val="20"/>
                <w:lang w:val="en-US" w:eastAsia="zh-CN"/>
              </w:rPr>
            </w:pPr>
          </w:p>
        </w:tc>
      </w:tr>
      <w:tr w14:paraId="136A9E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963" w:hRule="atLeast"/>
          <w:jc w:val="center"/>
        </w:trPr>
        <w:tc>
          <w:tcPr>
            <w:tcW w:w="2535" w:type="dxa"/>
            <w:vAlign w:val="center"/>
          </w:tcPr>
          <w:p w14:paraId="59B85CEB">
            <w:pPr>
              <w:pStyle w:val="13"/>
              <w:spacing w:before="1"/>
              <w:ind w:left="107"/>
              <w:rPr>
                <w:rFonts w:ascii="Times New Roman" w:hAnsi="Times New Roman" w:cs="Times New Roman" w:eastAsiaTheme="minorEastAsia"/>
                <w:b/>
                <w:bCs/>
                <w:sz w:val="20"/>
                <w:szCs w:val="20"/>
              </w:rPr>
            </w:pPr>
            <w:r>
              <w:rPr>
                <w:rFonts w:ascii="Times New Roman" w:hAnsi="Times New Roman" w:cs="Times New Roman" w:eastAsiaTheme="minorEastAsia"/>
                <w:b/>
                <w:bCs/>
                <w:sz w:val="20"/>
                <w:szCs w:val="20"/>
              </w:rPr>
              <w:t>关于本次活动是否涉及应</w:t>
            </w:r>
          </w:p>
          <w:p w14:paraId="5D5C8A62">
            <w:pPr>
              <w:pStyle w:val="13"/>
              <w:spacing w:before="1"/>
              <w:ind w:left="107"/>
              <w:rPr>
                <w:rFonts w:ascii="Times New Roman" w:hAnsi="Times New Roman" w:eastAsia="宋体" w:cs="Times New Roman"/>
                <w:b/>
                <w:bCs/>
                <w:sz w:val="20"/>
                <w:szCs w:val="20"/>
              </w:rPr>
            </w:pPr>
            <w:r>
              <w:rPr>
                <w:rFonts w:ascii="Times New Roman" w:hAnsi="Times New Roman" w:cs="Times New Roman" w:eastAsiaTheme="minorEastAsia"/>
                <w:b/>
                <w:bCs/>
                <w:sz w:val="20"/>
                <w:szCs w:val="20"/>
              </w:rPr>
              <w:t>披露重大信息的说明</w:t>
            </w:r>
          </w:p>
        </w:tc>
        <w:tc>
          <w:tcPr>
            <w:tcW w:w="5844" w:type="dxa"/>
            <w:vAlign w:val="center"/>
          </w:tcPr>
          <w:p w14:paraId="79E7B126">
            <w:pPr>
              <w:pStyle w:val="13"/>
              <w:spacing w:before="100" w:beforeAutospacing="1" w:line="360" w:lineRule="auto"/>
              <w:rPr>
                <w:rFonts w:ascii="Times New Roman" w:hAnsi="Times New Roman" w:eastAsia="宋体" w:cs="Times New Roman"/>
                <w:sz w:val="20"/>
                <w:szCs w:val="20"/>
              </w:rPr>
            </w:pPr>
            <w:r>
              <w:rPr>
                <w:rFonts w:ascii="Times New Roman" w:hAnsi="Times New Roman" w:cs="Times New Roman" w:eastAsiaTheme="minorEastAsia"/>
                <w:sz w:val="20"/>
                <w:szCs w:val="20"/>
              </w:rPr>
              <w:t>本次活动不涉及未公开披露的重大信息。</w:t>
            </w:r>
          </w:p>
        </w:tc>
      </w:tr>
      <w:tr w14:paraId="6E6F52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346" w:hRule="atLeast"/>
          <w:jc w:val="center"/>
        </w:trPr>
        <w:tc>
          <w:tcPr>
            <w:tcW w:w="2535" w:type="dxa"/>
            <w:vAlign w:val="center"/>
          </w:tcPr>
          <w:p w14:paraId="7B05445E">
            <w:pPr>
              <w:pStyle w:val="13"/>
              <w:spacing w:before="1"/>
              <w:ind w:left="107"/>
              <w:rPr>
                <w:rFonts w:ascii="Times New Roman" w:hAnsi="Times New Roman" w:eastAsia="宋体" w:cs="Times New Roman"/>
                <w:b/>
                <w:bCs/>
                <w:sz w:val="20"/>
                <w:szCs w:val="20"/>
              </w:rPr>
            </w:pPr>
            <w:r>
              <w:rPr>
                <w:rFonts w:ascii="Times New Roman" w:hAnsi="Times New Roman" w:eastAsia="宋体" w:cs="Times New Roman"/>
                <w:b/>
                <w:bCs/>
                <w:sz w:val="20"/>
                <w:szCs w:val="20"/>
              </w:rPr>
              <w:t>附件清单（如有）</w:t>
            </w:r>
          </w:p>
        </w:tc>
        <w:tc>
          <w:tcPr>
            <w:tcW w:w="5844" w:type="dxa"/>
            <w:vAlign w:val="center"/>
          </w:tcPr>
          <w:p w14:paraId="78BD1BAF">
            <w:pPr>
              <w:pStyle w:val="13"/>
              <w:spacing w:before="100" w:beforeAutospacing="1" w:line="360" w:lineRule="auto"/>
              <w:rPr>
                <w:rFonts w:ascii="Times New Roman" w:hAnsi="Times New Roman" w:eastAsia="宋体" w:cs="Times New Roman"/>
                <w:sz w:val="20"/>
                <w:szCs w:val="20"/>
              </w:rPr>
            </w:pPr>
          </w:p>
        </w:tc>
      </w:tr>
      <w:tr w14:paraId="106E23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0" w:type="dxa"/>
          </w:tblCellMar>
        </w:tblPrEx>
        <w:trPr>
          <w:trHeight w:val="566" w:hRule="atLeast"/>
          <w:jc w:val="center"/>
        </w:trPr>
        <w:tc>
          <w:tcPr>
            <w:tcW w:w="2535" w:type="dxa"/>
            <w:vAlign w:val="center"/>
          </w:tcPr>
          <w:p w14:paraId="67364C63">
            <w:pPr>
              <w:pStyle w:val="13"/>
              <w:spacing w:before="1"/>
              <w:ind w:left="107"/>
              <w:rPr>
                <w:rFonts w:ascii="Times New Roman" w:hAnsi="Times New Roman" w:eastAsia="宋体" w:cs="Times New Roman"/>
                <w:b/>
                <w:bCs/>
                <w:sz w:val="20"/>
                <w:szCs w:val="20"/>
              </w:rPr>
            </w:pPr>
            <w:r>
              <w:rPr>
                <w:rFonts w:ascii="Times New Roman" w:hAnsi="Times New Roman" w:eastAsia="宋体" w:cs="Times New Roman"/>
                <w:b/>
                <w:bCs/>
                <w:sz w:val="20"/>
                <w:szCs w:val="20"/>
              </w:rPr>
              <w:t>日期</w:t>
            </w:r>
          </w:p>
        </w:tc>
        <w:tc>
          <w:tcPr>
            <w:tcW w:w="5844" w:type="dxa"/>
            <w:vAlign w:val="center"/>
          </w:tcPr>
          <w:p w14:paraId="5E597CAC">
            <w:pPr>
              <w:pStyle w:val="13"/>
              <w:spacing w:before="100" w:beforeAutospacing="1"/>
              <w:rPr>
                <w:rFonts w:ascii="Times New Roman" w:hAnsi="Times New Roman" w:eastAsia="宋体" w:cs="Times New Roman"/>
                <w:sz w:val="20"/>
                <w:szCs w:val="20"/>
                <w:lang w:val="en-US"/>
              </w:rPr>
            </w:pPr>
            <w:r>
              <w:rPr>
                <w:rFonts w:ascii="Times New Roman" w:hAnsi="Times New Roman" w:eastAsia="宋体" w:cs="Times New Roman"/>
                <w:sz w:val="20"/>
                <w:szCs w:val="20"/>
              </w:rPr>
              <w:t>2026年0</w:t>
            </w:r>
            <w:r>
              <w:rPr>
                <w:rFonts w:hint="eastAsia" w:ascii="Times New Roman" w:hAnsi="Times New Roman" w:eastAsia="宋体" w:cs="Times New Roman"/>
                <w:sz w:val="20"/>
                <w:szCs w:val="20"/>
                <w:lang w:val="en-US"/>
              </w:rPr>
              <w:t>7</w:t>
            </w:r>
            <w:r>
              <w:rPr>
                <w:rFonts w:ascii="Times New Roman" w:hAnsi="Times New Roman" w:eastAsia="宋体" w:cs="Times New Roman"/>
                <w:sz w:val="20"/>
                <w:szCs w:val="20"/>
                <w:lang w:val="en-US"/>
              </w:rPr>
              <w:t>月</w:t>
            </w:r>
          </w:p>
        </w:tc>
      </w:tr>
    </w:tbl>
    <w:p w14:paraId="7F41447C">
      <w:pPr>
        <w:spacing w:line="20" w:lineRule="exact"/>
        <w:rPr>
          <w:rFonts w:ascii="Times New Roman" w:hAnsi="Times New Roman" w:eastAsia="宋体" w:cs="Times New Roman"/>
          <w:sz w:val="28"/>
          <w:szCs w:val="36"/>
        </w:rPr>
      </w:pPr>
    </w:p>
    <w:sectPr>
      <w:type w:val="continuous"/>
      <w:pgSz w:w="11910" w:h="16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PMingLiU">
    <w:altName w:val="Microsoft JhengHei UI"/>
    <w:panose1 w:val="02010601000101010101"/>
    <w:charset w:val="88"/>
    <w:family w:val="roman"/>
    <w:pitch w:val="default"/>
    <w:sig w:usb0="00000000" w:usb1="00000000" w:usb2="00000016" w:usb3="00000000" w:csb0="00100001" w:csb1="00000000"/>
  </w:font>
  <w:font w:name="Microsoft JhengHei UI">
    <w:panose1 w:val="020B0604030504040204"/>
    <w:charset w:val="88"/>
    <w:family w:val="auto"/>
    <w:pitch w:val="default"/>
    <w:sig w:usb0="000002A7" w:usb1="28CF4400" w:usb2="00000016" w:usb3="00000000" w:csb0="00100009"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Segoe UI">
    <w:panose1 w:val="020B0502040204020203"/>
    <w:charset w:val="00"/>
    <w:family w:val="auto"/>
    <w:pitch w:val="default"/>
    <w:sig w:usb0="E4002EFF" w:usb1="C000E47F" w:usb2="00000009" w:usb3="00000000" w:csb0="200001FF" w:csb1="00000000"/>
  </w:font>
  <w:font w:name="微软雅黑">
    <w:panose1 w:val="020B0503020204020204"/>
    <w:charset w:val="86"/>
    <w:family w:val="auto"/>
    <w:pitch w:val="default"/>
    <w:sig w:usb0="80000287" w:usb1="2ACF3C50" w:usb2="00000016" w:usb3="00000000" w:csb0="0004001F" w:csb1="00000000"/>
  </w:font>
  <w:font w:name="KSOFA61C387F">
    <w:panose1 w:val="020B0604030504040204"/>
    <w:charset w:val="88"/>
    <w:family w:val="auto"/>
    <w:pitch w:val="default"/>
    <w:sig w:usb0="00000001" w:usb1="00000000" w:usb2="00000000" w:usb3="00000000" w:csb0="001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ViY2JkMjU3NGYzZTEwMzZmMGFkZWViYmNkYWU3NDIifQ=="/>
  </w:docVars>
  <w:rsids>
    <w:rsidRoot w:val="00301D32"/>
    <w:rsid w:val="00026CC3"/>
    <w:rsid w:val="00036089"/>
    <w:rsid w:val="00053CFA"/>
    <w:rsid w:val="000633EC"/>
    <w:rsid w:val="00063804"/>
    <w:rsid w:val="000665A2"/>
    <w:rsid w:val="000877AB"/>
    <w:rsid w:val="000B03E5"/>
    <w:rsid w:val="000B7C08"/>
    <w:rsid w:val="000D12CF"/>
    <w:rsid w:val="000D2D88"/>
    <w:rsid w:val="000E4B20"/>
    <w:rsid w:val="000E706C"/>
    <w:rsid w:val="0011418F"/>
    <w:rsid w:val="00172C24"/>
    <w:rsid w:val="00182B40"/>
    <w:rsid w:val="001E59D1"/>
    <w:rsid w:val="001E5EA4"/>
    <w:rsid w:val="002042A7"/>
    <w:rsid w:val="00205911"/>
    <w:rsid w:val="002146AD"/>
    <w:rsid w:val="00255842"/>
    <w:rsid w:val="00275CB6"/>
    <w:rsid w:val="002800B5"/>
    <w:rsid w:val="00295B29"/>
    <w:rsid w:val="002D4073"/>
    <w:rsid w:val="002E7098"/>
    <w:rsid w:val="00301D32"/>
    <w:rsid w:val="00366FAD"/>
    <w:rsid w:val="0037105B"/>
    <w:rsid w:val="003975BA"/>
    <w:rsid w:val="003A74E6"/>
    <w:rsid w:val="003B73DD"/>
    <w:rsid w:val="003D011C"/>
    <w:rsid w:val="004108C7"/>
    <w:rsid w:val="00412DC2"/>
    <w:rsid w:val="00440041"/>
    <w:rsid w:val="00451268"/>
    <w:rsid w:val="004515AD"/>
    <w:rsid w:val="00451857"/>
    <w:rsid w:val="00453516"/>
    <w:rsid w:val="00457548"/>
    <w:rsid w:val="00470DB2"/>
    <w:rsid w:val="004925E7"/>
    <w:rsid w:val="00495B11"/>
    <w:rsid w:val="004D2778"/>
    <w:rsid w:val="004F6FF3"/>
    <w:rsid w:val="00571B49"/>
    <w:rsid w:val="005743AE"/>
    <w:rsid w:val="005812DE"/>
    <w:rsid w:val="005D64CA"/>
    <w:rsid w:val="005E5717"/>
    <w:rsid w:val="005E6DB2"/>
    <w:rsid w:val="0061433E"/>
    <w:rsid w:val="0062751D"/>
    <w:rsid w:val="006354AA"/>
    <w:rsid w:val="00661AFA"/>
    <w:rsid w:val="0067107D"/>
    <w:rsid w:val="006726BF"/>
    <w:rsid w:val="00677B77"/>
    <w:rsid w:val="0068718A"/>
    <w:rsid w:val="006A2739"/>
    <w:rsid w:val="006B5C95"/>
    <w:rsid w:val="006E14B0"/>
    <w:rsid w:val="006F0108"/>
    <w:rsid w:val="00704AE6"/>
    <w:rsid w:val="007153A2"/>
    <w:rsid w:val="00724A68"/>
    <w:rsid w:val="007271BF"/>
    <w:rsid w:val="00730DD3"/>
    <w:rsid w:val="00733224"/>
    <w:rsid w:val="00764128"/>
    <w:rsid w:val="007824B8"/>
    <w:rsid w:val="007910DD"/>
    <w:rsid w:val="007A1343"/>
    <w:rsid w:val="007A3EC1"/>
    <w:rsid w:val="007B3368"/>
    <w:rsid w:val="007D0A69"/>
    <w:rsid w:val="007D6DC4"/>
    <w:rsid w:val="00853463"/>
    <w:rsid w:val="00893F25"/>
    <w:rsid w:val="00895035"/>
    <w:rsid w:val="008B2B14"/>
    <w:rsid w:val="008C6AED"/>
    <w:rsid w:val="008C7604"/>
    <w:rsid w:val="008E1B27"/>
    <w:rsid w:val="00903379"/>
    <w:rsid w:val="00906975"/>
    <w:rsid w:val="00917F0B"/>
    <w:rsid w:val="00917F8B"/>
    <w:rsid w:val="00960964"/>
    <w:rsid w:val="00965E4D"/>
    <w:rsid w:val="009B1D5C"/>
    <w:rsid w:val="009C2E31"/>
    <w:rsid w:val="009E1955"/>
    <w:rsid w:val="00A527AA"/>
    <w:rsid w:val="00A5684D"/>
    <w:rsid w:val="00A75C61"/>
    <w:rsid w:val="00A9601B"/>
    <w:rsid w:val="00AD100E"/>
    <w:rsid w:val="00AE1E36"/>
    <w:rsid w:val="00AF74AA"/>
    <w:rsid w:val="00B03C2F"/>
    <w:rsid w:val="00B130CF"/>
    <w:rsid w:val="00B15064"/>
    <w:rsid w:val="00B340A3"/>
    <w:rsid w:val="00B410F5"/>
    <w:rsid w:val="00B6280C"/>
    <w:rsid w:val="00B671A4"/>
    <w:rsid w:val="00B72CD4"/>
    <w:rsid w:val="00B85B00"/>
    <w:rsid w:val="00BD5A59"/>
    <w:rsid w:val="00BF132F"/>
    <w:rsid w:val="00C06CD5"/>
    <w:rsid w:val="00C13878"/>
    <w:rsid w:val="00C416AC"/>
    <w:rsid w:val="00CA1705"/>
    <w:rsid w:val="00CE1A54"/>
    <w:rsid w:val="00CF3D56"/>
    <w:rsid w:val="00CF5FB6"/>
    <w:rsid w:val="00D02518"/>
    <w:rsid w:val="00D17454"/>
    <w:rsid w:val="00D33FBC"/>
    <w:rsid w:val="00D6081A"/>
    <w:rsid w:val="00D7535C"/>
    <w:rsid w:val="00D76302"/>
    <w:rsid w:val="00DA5CE2"/>
    <w:rsid w:val="00DD2266"/>
    <w:rsid w:val="00DE10E8"/>
    <w:rsid w:val="00E16FDA"/>
    <w:rsid w:val="00E3459F"/>
    <w:rsid w:val="00E35F58"/>
    <w:rsid w:val="00E45BD9"/>
    <w:rsid w:val="00E66FFC"/>
    <w:rsid w:val="00E759D6"/>
    <w:rsid w:val="00E84A8C"/>
    <w:rsid w:val="00E976DE"/>
    <w:rsid w:val="00EC0F83"/>
    <w:rsid w:val="00EE3187"/>
    <w:rsid w:val="00EF499B"/>
    <w:rsid w:val="00F14977"/>
    <w:rsid w:val="00FB4A08"/>
    <w:rsid w:val="00FC0C2A"/>
    <w:rsid w:val="00FD7F8E"/>
    <w:rsid w:val="00FF11E4"/>
    <w:rsid w:val="020F07EB"/>
    <w:rsid w:val="028440C8"/>
    <w:rsid w:val="02D61DD7"/>
    <w:rsid w:val="048B4A8E"/>
    <w:rsid w:val="04B072D4"/>
    <w:rsid w:val="04D74983"/>
    <w:rsid w:val="05F575D4"/>
    <w:rsid w:val="064249C6"/>
    <w:rsid w:val="0644234F"/>
    <w:rsid w:val="06C614B9"/>
    <w:rsid w:val="077566D6"/>
    <w:rsid w:val="08641132"/>
    <w:rsid w:val="08793F7F"/>
    <w:rsid w:val="09186774"/>
    <w:rsid w:val="0945438F"/>
    <w:rsid w:val="0A2D4BF5"/>
    <w:rsid w:val="0A71587A"/>
    <w:rsid w:val="0B792C38"/>
    <w:rsid w:val="0C28640C"/>
    <w:rsid w:val="0CC81775"/>
    <w:rsid w:val="0D957B0E"/>
    <w:rsid w:val="0E39562B"/>
    <w:rsid w:val="0E90599A"/>
    <w:rsid w:val="0ED720CD"/>
    <w:rsid w:val="0F186DF9"/>
    <w:rsid w:val="0F252E43"/>
    <w:rsid w:val="113E5D8A"/>
    <w:rsid w:val="1142489E"/>
    <w:rsid w:val="115138CD"/>
    <w:rsid w:val="11C566A6"/>
    <w:rsid w:val="12070CAE"/>
    <w:rsid w:val="1274067F"/>
    <w:rsid w:val="145F688C"/>
    <w:rsid w:val="1465286B"/>
    <w:rsid w:val="14D47131"/>
    <w:rsid w:val="1528122B"/>
    <w:rsid w:val="15472B9D"/>
    <w:rsid w:val="15680001"/>
    <w:rsid w:val="15DD2205"/>
    <w:rsid w:val="15DF071D"/>
    <w:rsid w:val="16FC6DF7"/>
    <w:rsid w:val="17072842"/>
    <w:rsid w:val="17A67110"/>
    <w:rsid w:val="17FA2B00"/>
    <w:rsid w:val="182C2DE0"/>
    <w:rsid w:val="1864189B"/>
    <w:rsid w:val="18846A4F"/>
    <w:rsid w:val="18866BBA"/>
    <w:rsid w:val="18B169F7"/>
    <w:rsid w:val="18D029DC"/>
    <w:rsid w:val="18D73A7D"/>
    <w:rsid w:val="19557370"/>
    <w:rsid w:val="196977CD"/>
    <w:rsid w:val="1BD06B6A"/>
    <w:rsid w:val="1C760CDD"/>
    <w:rsid w:val="1CA90EA4"/>
    <w:rsid w:val="1CEC2B3E"/>
    <w:rsid w:val="1DBF722A"/>
    <w:rsid w:val="1DED4DC0"/>
    <w:rsid w:val="1E080A31"/>
    <w:rsid w:val="1E5762D3"/>
    <w:rsid w:val="1F024CF0"/>
    <w:rsid w:val="1F782BDE"/>
    <w:rsid w:val="204A6A53"/>
    <w:rsid w:val="21935D34"/>
    <w:rsid w:val="23317869"/>
    <w:rsid w:val="24287275"/>
    <w:rsid w:val="255D0A7D"/>
    <w:rsid w:val="25650CAE"/>
    <w:rsid w:val="257C76BA"/>
    <w:rsid w:val="26406598"/>
    <w:rsid w:val="26C223AB"/>
    <w:rsid w:val="26C30EAD"/>
    <w:rsid w:val="26E943AB"/>
    <w:rsid w:val="270E54F5"/>
    <w:rsid w:val="28080056"/>
    <w:rsid w:val="280B656E"/>
    <w:rsid w:val="28357F8F"/>
    <w:rsid w:val="28734C1A"/>
    <w:rsid w:val="28C72DDD"/>
    <w:rsid w:val="29EE0E64"/>
    <w:rsid w:val="2B717030"/>
    <w:rsid w:val="2BC4020A"/>
    <w:rsid w:val="2C5E0230"/>
    <w:rsid w:val="2EF90F16"/>
    <w:rsid w:val="2F125C63"/>
    <w:rsid w:val="2F22391E"/>
    <w:rsid w:val="2F3E191F"/>
    <w:rsid w:val="302C3D0A"/>
    <w:rsid w:val="3104598F"/>
    <w:rsid w:val="318F6462"/>
    <w:rsid w:val="33DE31BB"/>
    <w:rsid w:val="33F014E5"/>
    <w:rsid w:val="3509652C"/>
    <w:rsid w:val="358834AE"/>
    <w:rsid w:val="35FB2318"/>
    <w:rsid w:val="389C49C0"/>
    <w:rsid w:val="38FA2537"/>
    <w:rsid w:val="394F29F0"/>
    <w:rsid w:val="396A50BF"/>
    <w:rsid w:val="39BC78F4"/>
    <w:rsid w:val="3A7370E9"/>
    <w:rsid w:val="3B35486F"/>
    <w:rsid w:val="3B911029"/>
    <w:rsid w:val="3DB3252F"/>
    <w:rsid w:val="3DB80AEF"/>
    <w:rsid w:val="3DE05C15"/>
    <w:rsid w:val="3E042050"/>
    <w:rsid w:val="3E0B7A9A"/>
    <w:rsid w:val="3EF1250A"/>
    <w:rsid w:val="404C3770"/>
    <w:rsid w:val="40567DB0"/>
    <w:rsid w:val="40795AB4"/>
    <w:rsid w:val="40FF5CD2"/>
    <w:rsid w:val="426052B1"/>
    <w:rsid w:val="42DB40B0"/>
    <w:rsid w:val="43B71B0A"/>
    <w:rsid w:val="44FA0589"/>
    <w:rsid w:val="45A663E3"/>
    <w:rsid w:val="46215CBC"/>
    <w:rsid w:val="469F09AF"/>
    <w:rsid w:val="46C2653A"/>
    <w:rsid w:val="49FD651A"/>
    <w:rsid w:val="4AAD305D"/>
    <w:rsid w:val="4B2979F3"/>
    <w:rsid w:val="4B756271"/>
    <w:rsid w:val="4C8E1CA8"/>
    <w:rsid w:val="4D6D36A4"/>
    <w:rsid w:val="4E094A4F"/>
    <w:rsid w:val="50854F5A"/>
    <w:rsid w:val="50AB29AE"/>
    <w:rsid w:val="510903EF"/>
    <w:rsid w:val="51DC282E"/>
    <w:rsid w:val="53F137F4"/>
    <w:rsid w:val="543A6906"/>
    <w:rsid w:val="56850CBB"/>
    <w:rsid w:val="59D8738A"/>
    <w:rsid w:val="5A666D76"/>
    <w:rsid w:val="5B2253C2"/>
    <w:rsid w:val="5C2A7E40"/>
    <w:rsid w:val="5CF02E0F"/>
    <w:rsid w:val="5D9D1939"/>
    <w:rsid w:val="5EB36A3D"/>
    <w:rsid w:val="5ECE7F48"/>
    <w:rsid w:val="5FBB0DAE"/>
    <w:rsid w:val="603269D2"/>
    <w:rsid w:val="60AF2B0B"/>
    <w:rsid w:val="61A52BCA"/>
    <w:rsid w:val="620F00ED"/>
    <w:rsid w:val="63F436A7"/>
    <w:rsid w:val="647D032E"/>
    <w:rsid w:val="649A60F2"/>
    <w:rsid w:val="65D775CF"/>
    <w:rsid w:val="66644AC0"/>
    <w:rsid w:val="67095496"/>
    <w:rsid w:val="67ED7463"/>
    <w:rsid w:val="681A546A"/>
    <w:rsid w:val="68507D37"/>
    <w:rsid w:val="694D7A8E"/>
    <w:rsid w:val="69CB37D4"/>
    <w:rsid w:val="69D65CD5"/>
    <w:rsid w:val="6A0D5B9B"/>
    <w:rsid w:val="6A3B23B1"/>
    <w:rsid w:val="6A6205DC"/>
    <w:rsid w:val="6AEA32DC"/>
    <w:rsid w:val="6C2425C4"/>
    <w:rsid w:val="6C4D52BB"/>
    <w:rsid w:val="6CC24AB5"/>
    <w:rsid w:val="6D290801"/>
    <w:rsid w:val="6D9271B2"/>
    <w:rsid w:val="6F134790"/>
    <w:rsid w:val="6FE81F5F"/>
    <w:rsid w:val="6FF3138F"/>
    <w:rsid w:val="70213976"/>
    <w:rsid w:val="708B59A8"/>
    <w:rsid w:val="70A73F27"/>
    <w:rsid w:val="716E2F9F"/>
    <w:rsid w:val="72446028"/>
    <w:rsid w:val="73076EC0"/>
    <w:rsid w:val="73246A69"/>
    <w:rsid w:val="74210CA6"/>
    <w:rsid w:val="746F4E76"/>
    <w:rsid w:val="75935631"/>
    <w:rsid w:val="75BF3AC1"/>
    <w:rsid w:val="75DF55E9"/>
    <w:rsid w:val="7631655C"/>
    <w:rsid w:val="76430096"/>
    <w:rsid w:val="76DD4B47"/>
    <w:rsid w:val="77A5207E"/>
    <w:rsid w:val="78811A07"/>
    <w:rsid w:val="788C25F5"/>
    <w:rsid w:val="78D92593"/>
    <w:rsid w:val="79F72AA9"/>
    <w:rsid w:val="7A144529"/>
    <w:rsid w:val="7A96074E"/>
    <w:rsid w:val="7DB67EA0"/>
    <w:rsid w:val="7DD37FAE"/>
    <w:rsid w:val="7DD847A2"/>
    <w:rsid w:val="7E3314F0"/>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pPr>
    <w:rPr>
      <w:rFonts w:ascii="仿宋" w:hAnsi="仿宋" w:eastAsia="仿宋" w:cs="仿宋"/>
      <w:sz w:val="22"/>
      <w:szCs w:val="22"/>
      <w:lang w:val="zh-CN" w:eastAsia="zh-CN" w:bidi="zh-CN"/>
    </w:rPr>
  </w:style>
  <w:style w:type="paragraph" w:styleId="2">
    <w:name w:val="heading 1"/>
    <w:basedOn w:val="1"/>
    <w:next w:val="1"/>
    <w:qFormat/>
    <w:uiPriority w:val="1"/>
    <w:pPr>
      <w:outlineLvl w:val="0"/>
    </w:pPr>
    <w:rPr>
      <w:rFonts w:ascii="PMingLiU" w:hAnsi="PMingLiU" w:eastAsia="PMingLiU" w:cs="PMingLiU"/>
      <w:sz w:val="44"/>
      <w:szCs w:val="44"/>
    </w:rPr>
  </w:style>
  <w:style w:type="character" w:default="1" w:styleId="11">
    <w:name w:val="Default Paragraph Font"/>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16"/>
    <w:qFormat/>
    <w:uiPriority w:val="0"/>
  </w:style>
  <w:style w:type="paragraph" w:styleId="4">
    <w:name w:val="Body Text"/>
    <w:basedOn w:val="1"/>
    <w:qFormat/>
    <w:uiPriority w:val="1"/>
    <w:pPr>
      <w:ind w:left="220"/>
    </w:pPr>
    <w:rPr>
      <w:sz w:val="32"/>
      <w:szCs w:val="32"/>
    </w:rPr>
  </w:style>
  <w:style w:type="paragraph" w:styleId="5">
    <w:name w:val="Balloon Text"/>
    <w:basedOn w:val="1"/>
    <w:link w:val="18"/>
    <w:qFormat/>
    <w:uiPriority w:val="0"/>
    <w:rPr>
      <w:sz w:val="18"/>
      <w:szCs w:val="18"/>
    </w:rPr>
  </w:style>
  <w:style w:type="paragraph" w:styleId="6">
    <w:name w:val="footer"/>
    <w:basedOn w:val="1"/>
    <w:link w:val="15"/>
    <w:qFormat/>
    <w:uiPriority w:val="0"/>
    <w:pPr>
      <w:tabs>
        <w:tab w:val="center" w:pos="4153"/>
        <w:tab w:val="right" w:pos="8306"/>
      </w:tabs>
      <w:snapToGrid w:val="0"/>
    </w:pPr>
    <w:rPr>
      <w:sz w:val="18"/>
      <w:szCs w:val="18"/>
    </w:rPr>
  </w:style>
  <w:style w:type="paragraph" w:styleId="7">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qFormat/>
    <w:uiPriority w:val="0"/>
    <w:rPr>
      <w:rFonts w:ascii="Times New Roman" w:hAnsi="Times New Roman" w:cs="Times New Roman"/>
      <w:sz w:val="24"/>
      <w:szCs w:val="24"/>
    </w:rPr>
  </w:style>
  <w:style w:type="paragraph" w:styleId="9">
    <w:name w:val="annotation subject"/>
    <w:basedOn w:val="3"/>
    <w:next w:val="3"/>
    <w:link w:val="17"/>
    <w:qFormat/>
    <w:uiPriority w:val="0"/>
    <w:rPr>
      <w:b/>
      <w:bCs/>
    </w:rPr>
  </w:style>
  <w:style w:type="character" w:styleId="12">
    <w:name w:val="annotation reference"/>
    <w:basedOn w:val="11"/>
    <w:qFormat/>
    <w:uiPriority w:val="0"/>
    <w:rPr>
      <w:sz w:val="21"/>
      <w:szCs w:val="21"/>
    </w:rPr>
  </w:style>
  <w:style w:type="paragraph" w:customStyle="1" w:styleId="13">
    <w:name w:val="Table Paragraph"/>
    <w:basedOn w:val="1"/>
    <w:qFormat/>
    <w:uiPriority w:val="1"/>
  </w:style>
  <w:style w:type="character" w:customStyle="1" w:styleId="14">
    <w:name w:val="页眉 字符"/>
    <w:basedOn w:val="11"/>
    <w:link w:val="7"/>
    <w:qFormat/>
    <w:uiPriority w:val="0"/>
    <w:rPr>
      <w:rFonts w:ascii="仿宋" w:hAnsi="仿宋" w:eastAsia="仿宋" w:cs="仿宋"/>
      <w:sz w:val="18"/>
      <w:szCs w:val="18"/>
      <w:lang w:val="zh-CN" w:bidi="zh-CN"/>
    </w:rPr>
  </w:style>
  <w:style w:type="character" w:customStyle="1" w:styleId="15">
    <w:name w:val="页脚 字符"/>
    <w:basedOn w:val="11"/>
    <w:link w:val="6"/>
    <w:qFormat/>
    <w:uiPriority w:val="0"/>
    <w:rPr>
      <w:rFonts w:ascii="仿宋" w:hAnsi="仿宋" w:eastAsia="仿宋" w:cs="仿宋"/>
      <w:sz w:val="18"/>
      <w:szCs w:val="18"/>
      <w:lang w:val="zh-CN" w:bidi="zh-CN"/>
    </w:rPr>
  </w:style>
  <w:style w:type="character" w:customStyle="1" w:styleId="16">
    <w:name w:val="批注文字 字符"/>
    <w:basedOn w:val="11"/>
    <w:link w:val="3"/>
    <w:qFormat/>
    <w:uiPriority w:val="0"/>
    <w:rPr>
      <w:rFonts w:ascii="仿宋" w:hAnsi="仿宋" w:eastAsia="仿宋" w:cs="仿宋"/>
      <w:sz w:val="22"/>
      <w:szCs w:val="22"/>
      <w:lang w:val="zh-CN" w:bidi="zh-CN"/>
    </w:rPr>
  </w:style>
  <w:style w:type="character" w:customStyle="1" w:styleId="17">
    <w:name w:val="批注主题 字符"/>
    <w:basedOn w:val="16"/>
    <w:link w:val="9"/>
    <w:qFormat/>
    <w:uiPriority w:val="0"/>
    <w:rPr>
      <w:rFonts w:ascii="仿宋" w:hAnsi="仿宋" w:eastAsia="仿宋" w:cs="仿宋"/>
      <w:b/>
      <w:bCs/>
      <w:sz w:val="22"/>
      <w:szCs w:val="22"/>
      <w:lang w:val="zh-CN" w:bidi="zh-CN"/>
    </w:rPr>
  </w:style>
  <w:style w:type="character" w:customStyle="1" w:styleId="18">
    <w:name w:val="批注框文本 字符"/>
    <w:basedOn w:val="11"/>
    <w:link w:val="5"/>
    <w:qFormat/>
    <w:uiPriority w:val="0"/>
    <w:rPr>
      <w:rFonts w:ascii="仿宋" w:hAnsi="仿宋" w:eastAsia="仿宋" w:cs="仿宋"/>
      <w:sz w:val="18"/>
      <w:szCs w:val="18"/>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0378F-13CB-4615-9725-4196952AA060}">
  <ds:schemaRefs/>
</ds:datastoreItem>
</file>

<file path=docProps/app.xml><?xml version="1.0" encoding="utf-8"?>
<Properties xmlns="http://schemas.openxmlformats.org/officeDocument/2006/extended-properties" xmlns:vt="http://schemas.openxmlformats.org/officeDocument/2006/docPropsVTypes">
  <Template>Normal</Template>
  <Pages>4</Pages>
  <Words>2988</Words>
  <Characters>3193</Characters>
  <Lines>22</Lines>
  <Paragraphs>6</Paragraphs>
  <TotalTime>5</TotalTime>
  <ScaleCrop>false</ScaleCrop>
  <LinksUpToDate>false</LinksUpToDate>
  <CharactersWithSpaces>3259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2026-07-06T01:18:00Z</dcterms:created>
  <dc:creator>jie.huang</dc:creator>
  <cp:lastModifiedBy>李烨</cp:lastModifiedBy>
  <dcterms:modified xsi:type="dcterms:W3CDTF">2026-07-06T09:31:48Z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25960EC3ED9642E19C24ABBF32BFD053_13</vt:lpwstr>
  </property>
  <property fmtid="{D5CDD505-2E9C-101B-9397-08002B2CF9AE}" pid="4" name="KSOTemplateDocerSaveRecord">
    <vt:lpwstr>eyJoZGlkIjoiNTU1YTZmZWRmMTk1MjczM2U5MTg2NzA5ZmU1YTQ4MzciLCJ1c2VySWQiOiI0NDUxODYxOTIifQ==</vt:lpwstr>
  </property>
</Properties>
</file>