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20"/>
        </w:tabs>
        <w:suppressAutoHyphens/>
        <w:adjustRightInd/>
        <w:snapToGrid/>
        <w:spacing w:line="240" w:lineRule="auto"/>
        <w:ind w:firstLine="0" w:firstLineChars="0"/>
        <w:jc w:val="center"/>
        <w:rPr>
          <w:rFonts w:hint="eastAsia" w:ascii="方正小标宋简体" w:hAnsi="方正小标宋简体" w:eastAsia="方正小标宋简体" w:cs="Times New Roman"/>
          <w:b/>
          <w:color w:val="FF0000"/>
          <w:w w:val="95"/>
          <w:kern w:val="0"/>
          <w:sz w:val="44"/>
          <w:szCs w:val="116"/>
        </w:rPr>
      </w:pPr>
      <w:r>
        <w:rPr>
          <w:rFonts w:hint="eastAsia" w:ascii="方正小标宋简体" w:hAnsi="方正小标宋简体" w:eastAsia="方正小标宋简体" w:cs="黑体"/>
          <w:b/>
          <w:color w:val="FF0000"/>
          <w:w w:val="95"/>
          <w:sz w:val="44"/>
          <w:szCs w:val="72"/>
        </w:rPr>
        <w:t>中国证券监督管理委员会广东监管局</w:t>
      </w:r>
    </w:p>
    <w:p>
      <w:pPr>
        <w:suppressAutoHyphens/>
        <w:adjustRightInd/>
        <w:snapToGrid/>
        <w:spacing w:line="240" w:lineRule="auto"/>
        <w:ind w:firstLine="0" w:firstLineChars="0"/>
        <w:jc w:val="center"/>
        <w:rPr>
          <w:rFonts w:hint="eastAsia" w:ascii="方正小标宋简体" w:hAnsi="方正小标宋简体" w:eastAsia="方正小标宋简体" w:cs="Times New Roman"/>
          <w:snapToGrid w:val="0"/>
          <w:spacing w:val="85"/>
          <w:w w:val="90"/>
          <w:sz w:val="72"/>
          <w:szCs w:val="72"/>
        </w:rPr>
      </w:pPr>
      <w:r>
        <w:rPr>
          <w:rFonts w:hint="eastAsia" w:ascii="方正小标宋简体" w:hAnsi="方正小标宋简体" w:eastAsia="方正小标宋简体" w:cs="Times New Roman"/>
          <w:b/>
          <w:bCs/>
          <w:snapToGrid w:val="0"/>
          <w:color w:val="FF0000"/>
          <w:spacing w:val="85"/>
          <w:w w:val="90"/>
          <w:sz w:val="72"/>
          <w:szCs w:val="72"/>
        </w:rPr>
        <w:t>行政监管措施决定书</w:t>
      </w:r>
    </w:p>
    <w:p>
      <w:pPr>
        <w:suppressAutoHyphens/>
        <w:adjustRightInd/>
        <w:snapToGrid w:val="0"/>
        <w:spacing w:line="240" w:lineRule="auto"/>
        <w:ind w:firstLine="0" w:firstLineChars="0"/>
        <w:jc w:val="center"/>
        <w:rPr>
          <w:rFonts w:hint="eastAsia" w:ascii="仿宋_GB2312" w:hAnsi="仿宋_GB2312" w:eastAsia="仿宋_GB2312" w:cs="宋体"/>
          <w:sz w:val="28"/>
          <w:szCs w:val="28"/>
        </w:rPr>
      </w:pPr>
    </w:p>
    <w:p>
      <w:pPr>
        <w:suppressAutoHyphens/>
        <w:bidi w:val="0"/>
        <w:adjustRightInd/>
        <w:snapToGrid w:val="0"/>
        <w:spacing w:before="156" w:beforeLines="50" w:line="300" w:lineRule="auto"/>
        <w:ind w:firstLine="0" w:firstLineChars="0"/>
        <w:jc w:val="center"/>
        <w:rPr>
          <w:rFonts w:ascii="黑体" w:hAnsi="Times New Roman" w:eastAsia="黑体" w:cs="Times New Roman"/>
          <w:color w:val="000000"/>
          <w:spacing w:val="12"/>
          <w:sz w:val="32"/>
          <w:szCs w:val="20"/>
        </w:rPr>
      </w:pPr>
      <w:bookmarkStart w:id="0" w:name="WH"/>
      <w:bookmarkEnd w:id="0"/>
      <w:r>
        <w:rPr>
          <w:rFonts w:hint="eastAsia" w:ascii="仿宋_GB2312" w:hAnsi="Times New Roman" w:eastAsia="仿宋_GB2312" w:cs="Times New Roman"/>
          <w:color w:val="000000"/>
          <w:spacing w:val="12"/>
          <w:sz w:val="28"/>
          <w:szCs w:val="20"/>
        </w:rPr>
        <w:t>〔20</w:t>
      </w:r>
      <w:r>
        <w:rPr>
          <w:rFonts w:hint="default" w:ascii="仿宋_GB2312" w:hAnsi="Times New Roman" w:eastAsia="仿宋_GB2312" w:cs="Times New Roman"/>
          <w:color w:val="000000"/>
          <w:spacing w:val="12"/>
          <w:sz w:val="28"/>
          <w:szCs w:val="20"/>
          <w:lang w:val="en-US"/>
        </w:rPr>
        <w:t>26</w:t>
      </w:r>
      <w:r>
        <w:rPr>
          <w:rFonts w:hint="eastAsia" w:ascii="仿宋_GB2312" w:hAnsi="Times New Roman" w:eastAsia="仿宋_GB2312" w:cs="Times New Roman"/>
          <w:color w:val="000000"/>
          <w:spacing w:val="12"/>
          <w:sz w:val="28"/>
          <w:szCs w:val="20"/>
        </w:rPr>
        <w:t>〕</w:t>
      </w:r>
      <w:r>
        <w:rPr>
          <w:rFonts w:hint="default" w:ascii="仿宋_GB2312" w:hAnsi="Times New Roman" w:eastAsia="仿宋_GB2312" w:cs="Times New Roman"/>
          <w:color w:val="000000"/>
          <w:spacing w:val="12"/>
          <w:sz w:val="28"/>
          <w:szCs w:val="20"/>
          <w:lang w:val="en-US"/>
        </w:rPr>
        <w:t>94</w:t>
      </w:r>
      <w:r>
        <w:rPr>
          <w:rFonts w:hint="eastAsia" w:ascii="仿宋_GB2312" w:hAnsi="Times New Roman" w:eastAsia="仿宋_GB2312" w:cs="Times New Roman"/>
          <w:color w:val="000000"/>
          <w:spacing w:val="12"/>
          <w:sz w:val="28"/>
          <w:szCs w:val="20"/>
        </w:rPr>
        <w:t>号</w:t>
      </w:r>
    </w:p>
    <w:p>
      <w:pPr>
        <w:suppressAutoHyphens/>
        <w:adjustRightInd/>
        <w:snapToGrid w:val="0"/>
        <w:spacing w:line="240" w:lineRule="auto"/>
        <w:ind w:firstLine="0" w:firstLineChars="0"/>
        <w:jc w:val="center"/>
        <w:rPr>
          <w:rFonts w:hint="eastAsia" w:ascii="仿宋_GB2312" w:hAnsi="仿宋_GB2312" w:eastAsia="仿宋_GB2312" w:cs="Times New Roman"/>
          <w:sz w:val="28"/>
          <w:szCs w:val="28"/>
        </w:rPr>
      </w:pPr>
      <w:r>
        <w:rPr>
          <w:rFonts w:ascii="Times New Roman" w:hAnsi="Times New Roman" w:eastAsia="宋体" w:cs="Times New Roman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80645</wp:posOffset>
                </wp:positionH>
                <wp:positionV relativeFrom="paragraph">
                  <wp:posOffset>128905</wp:posOffset>
                </wp:positionV>
                <wp:extent cx="5551805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1805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.35pt;margin-top:10.15pt;height:0.05pt;width:437.15pt;z-index:251659264;mso-width-relative:page;mso-height-relative:page;" filled="f" stroked="t" coordsize="21600,21600" o:gfxdata="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WAAAAZHJzL1BLAQIU&#10;ABQAAAAIAIdO4kDML7WS1gAAAAgBAAAPAAAAAAAAAAEAIAAAADgAAABkcnMvZG93bnJldi54bWxQ&#10;SwECFAAUAAAACACHTuJAIhmvX+MBAACqAwAADgAAAAAAAAABACAAAAA7AQAAZHJzL2Uyb0RvYy54&#10;bWxQSwUGAAAAAAYABgBZAQAAkAUAAAAA&#10;">
                <v:fill on="f" focussize="0,0"/>
                <v:stroke weight="1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uppressAutoHyphens/>
        <w:adjustRightInd/>
        <w:snapToGrid/>
        <w:spacing w:line="240" w:lineRule="auto"/>
        <w:ind w:firstLine="0" w:firstLineChars="0"/>
        <w:jc w:val="center"/>
        <w:rPr>
          <w:rFonts w:hint="eastAsia" w:ascii="Times New Roman" w:hAnsi="Times New Roman" w:eastAsia="宋体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</w:pPr>
      <w:bookmarkStart w:id="1" w:name="quanwen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关于对广东惠伦晶体科技股份有限公司采取</w:t>
      </w:r>
    </w:p>
    <w:p>
      <w:pPr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责令改正并对赵积清、邢越、潘毅华采取</w:t>
      </w:r>
    </w:p>
    <w:p>
      <w:pPr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出具警示函措施的决定</w:t>
      </w:r>
    </w:p>
    <w:p>
      <w:pPr>
        <w:suppressAutoHyphens/>
        <w:adjustRightInd w:val="0"/>
        <w:snapToGrid w:val="0"/>
        <w:spacing w:line="240" w:lineRule="auto"/>
        <w:ind w:firstLine="0" w:firstLineChars="0"/>
        <w:rPr>
          <w:rFonts w:hint="eastAsia" w:ascii="方正小标宋简体" w:hAnsi="方正小标宋简体" w:eastAsia="方正小标宋简体" w:cs="方正小标宋简体"/>
          <w:color w:val="000000"/>
          <w:kern w:val="0"/>
          <w:sz w:val="24"/>
          <w:szCs w:val="21"/>
          <w:lang w:eastAsia="zh-CN"/>
        </w:rPr>
      </w:pPr>
    </w:p>
    <w:p>
      <w:pPr>
        <w:suppressAutoHyphens/>
        <w:overflowPunct w:val="0"/>
        <w:bidi w:val="0"/>
        <w:adjustRightInd w:val="0"/>
        <w:snapToGrid w:val="0"/>
        <w:spacing w:line="312" w:lineRule="auto"/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  <w:highlight w:val="none"/>
          <w:lang w:val="en-US" w:eastAsia="zh-CN"/>
        </w:rPr>
        <w:t>广东惠伦晶体科技股份有限公司、赵积清、刑越、潘毅华</w:t>
      </w:r>
      <w:r>
        <w:rPr>
          <w:rFonts w:hint="eastAsia" w:ascii="仿宋_GB2312" w:hAnsi="仿宋_GB2312" w:eastAsia="仿宋_GB2312" w:cs="仿宋_GB2312"/>
          <w:sz w:val="32"/>
          <w:szCs w:val="24"/>
        </w:rPr>
        <w:t>：</w:t>
      </w:r>
    </w:p>
    <w:p>
      <w:pPr>
        <w:suppressAutoHyphens/>
        <w:overflowPunct w:val="0"/>
        <w:bidi w:val="0"/>
        <w:adjustRightInd w:val="0"/>
        <w:snapToGrid w:val="0"/>
        <w:spacing w:line="312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24"/>
          <w:highlight w:val="none"/>
        </w:rPr>
        <w:t>经查，</w:t>
      </w:r>
      <w:r>
        <w:rPr>
          <w:rFonts w:hint="eastAsia" w:ascii="仿宋_GB2312" w:hAnsi="仿宋_GB2312" w:eastAsia="仿宋_GB2312" w:cs="仿宋_GB2312"/>
          <w:sz w:val="32"/>
          <w:szCs w:val="24"/>
          <w:highlight w:val="none"/>
          <w:lang w:eastAsia="zh-CN"/>
        </w:rPr>
        <w:t>广东惠伦晶体科技股份有限公司（以下简称惠伦晶体或公司）存在以下信息披露违规行为：</w:t>
      </w:r>
    </w:p>
    <w:p>
      <w:pPr>
        <w:suppressAutoHyphens/>
        <w:overflowPunct w:val="0"/>
        <w:bidi w:val="0"/>
        <w:adjustRightInd w:val="0"/>
        <w:snapToGrid w:val="0"/>
        <w:spacing w:line="312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24"/>
          <w:lang w:val="en-US" w:eastAsia="zh-CN"/>
        </w:rPr>
        <w:t>2025年1月20日，控股股东新疆惠伦股权投资合伙企业（有限合伙，以下简称新疆惠伦）、实际控制人赵积清与广东仟易伟达股权投资合伙企业（有限合伙）签订借款合同，合同对于公司董事长变更、董事会改选、股份转让等未来可能发生的事项安排进行了约定。新疆惠伦、赵积清已将该借款合同事项及内容告知公司，但公司截至目前未披露该借款合同事项及内容。惠伦晶体</w:t>
      </w:r>
      <w:r>
        <w:rPr>
          <w:rFonts w:hint="eastAsia" w:ascii="仿宋_GB2312" w:hAnsi="仿宋_GB2312" w:eastAsia="仿宋_GB2312" w:cs="仿宋_GB2312"/>
          <w:sz w:val="32"/>
          <w:szCs w:val="24"/>
          <w:highlight w:val="none"/>
        </w:rPr>
        <w:t>上述</w:t>
      </w:r>
      <w:r>
        <w:rPr>
          <w:rFonts w:hint="eastAsia" w:ascii="仿宋_GB2312" w:hAnsi="仿宋_GB2312" w:eastAsia="仿宋_GB2312" w:cs="仿宋_GB2312"/>
          <w:sz w:val="32"/>
          <w:szCs w:val="24"/>
          <w:highlight w:val="none"/>
          <w:lang w:eastAsia="zh-CN"/>
        </w:rPr>
        <w:t>行为</w:t>
      </w:r>
      <w:r>
        <w:rPr>
          <w:rFonts w:hint="eastAsia" w:ascii="仿宋_GB2312" w:hAnsi="仿宋_GB2312" w:eastAsia="仿宋_GB2312" w:cs="仿宋_GB2312"/>
          <w:sz w:val="32"/>
          <w:szCs w:val="24"/>
          <w:highlight w:val="none"/>
        </w:rPr>
        <w:t>违反了《上市公司信息披露管理办法》</w:t>
      </w:r>
      <w:r>
        <w:rPr>
          <w:rFonts w:hint="eastAsia" w:ascii="仿宋_GB2312" w:hAnsi="仿宋_GB2312" w:eastAsia="仿宋_GB2312" w:cs="仿宋_GB2312"/>
          <w:sz w:val="32"/>
          <w:szCs w:val="24"/>
          <w:highlight w:val="none"/>
          <w:lang w:eastAsia="zh-CN"/>
        </w:rPr>
        <w:t>（证监会令第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sz w:val="32"/>
          <w:szCs w:val="24"/>
          <w:highlight w:val="none"/>
          <w:lang w:val="en-US" w:eastAsia="zh-CN"/>
        </w:rPr>
        <w:t>182号，下同</w:t>
      </w:r>
      <w:r>
        <w:rPr>
          <w:rFonts w:hint="eastAsia" w:ascii="仿宋_GB2312" w:hAnsi="仿宋_GB2312" w:eastAsia="仿宋_GB2312" w:cs="仿宋_GB2312"/>
          <w:sz w:val="32"/>
          <w:szCs w:val="24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24"/>
          <w:highlight w:val="none"/>
        </w:rPr>
        <w:t>第三条第一款相关规定。</w:t>
      </w:r>
    </w:p>
    <w:p>
      <w:pPr>
        <w:suppressAutoHyphens/>
        <w:overflowPunct w:val="0"/>
        <w:bidi w:val="0"/>
        <w:adjustRightInd w:val="0"/>
        <w:snapToGrid w:val="0"/>
        <w:spacing w:line="312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4"/>
          <w:lang w:val="en-US" w:eastAsia="zh-CN"/>
        </w:rPr>
        <w:t>惠伦晶体时任董事长赵积清、总经理刑越、董事会秘书潘毅华未按照《</w:t>
      </w:r>
      <w:r>
        <w:rPr>
          <w:rFonts w:hint="eastAsia" w:ascii="仿宋_GB2312" w:hAnsi="仿宋_GB2312" w:eastAsia="仿宋_GB2312" w:cs="仿宋_GB2312"/>
          <w:sz w:val="32"/>
          <w:szCs w:val="24"/>
          <w:highlight w:val="none"/>
        </w:rPr>
        <w:t>上市公司信息披露管理办法》</w:t>
      </w:r>
      <w:r>
        <w:rPr>
          <w:rFonts w:hint="eastAsia" w:ascii="仿宋_GB2312" w:hAnsi="仿宋_GB2312" w:eastAsia="仿宋_GB2312" w:cs="仿宋_GB2312"/>
          <w:sz w:val="32"/>
          <w:szCs w:val="24"/>
          <w:lang w:val="en-US" w:eastAsia="zh-CN"/>
        </w:rPr>
        <w:t>第四条的规定履行勤勉尽责义务，对公司上述行为负有主要责任。</w:t>
      </w:r>
    </w:p>
    <w:p>
      <w:pPr>
        <w:suppressAutoHyphens/>
        <w:overflowPunct w:val="0"/>
        <w:bidi w:val="0"/>
        <w:adjustRightInd w:val="0"/>
        <w:snapToGrid w:val="0"/>
        <w:spacing w:line="312" w:lineRule="auto"/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根据《上市公司信息披露管理办法》第五十二条，我局决定对</w:t>
      </w:r>
      <w:r>
        <w:rPr>
          <w:rFonts w:hint="eastAsia" w:ascii="仿宋_GB2312" w:hAnsi="仿宋_GB2312" w:eastAsia="仿宋_GB2312" w:cs="仿宋_GB2312"/>
          <w:sz w:val="32"/>
          <w:szCs w:val="24"/>
          <w:highlight w:val="none"/>
          <w:lang w:val="en-US" w:eastAsia="zh-CN"/>
        </w:rPr>
        <w:t>惠伦晶体采取责令改正，并对赵积清、邢越、潘毅华</w:t>
      </w:r>
      <w:r>
        <w:rPr>
          <w:rFonts w:hint="eastAsia" w:ascii="仿宋_GB2312" w:hAnsi="仿宋_GB2312" w:eastAsia="仿宋_GB2312" w:cs="仿宋_GB2312"/>
          <w:sz w:val="32"/>
          <w:szCs w:val="24"/>
        </w:rPr>
        <w:t>采取出具警示函的行政监管措施。</w:t>
      </w: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公司及相关责任人应</w:t>
      </w:r>
      <w:r>
        <w:rPr>
          <w:rFonts w:hint="eastAsia" w:ascii="仿宋_GB2312" w:hAnsi="仿宋_GB2312" w:eastAsia="仿宋_GB2312" w:cs="仿宋_GB2312"/>
          <w:sz w:val="32"/>
          <w:szCs w:val="24"/>
        </w:rPr>
        <w:t>认真吸取教训，采取有效措施进行</w:t>
      </w: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切实</w:t>
      </w:r>
      <w:r>
        <w:rPr>
          <w:rFonts w:hint="eastAsia" w:ascii="仿宋_GB2312" w:hAnsi="仿宋_GB2312" w:eastAsia="仿宋_GB2312" w:cs="仿宋_GB2312"/>
          <w:sz w:val="32"/>
          <w:szCs w:val="24"/>
        </w:rPr>
        <w:t>整改，加强对证券法律法规的学习，依法真实、准确、完整履行信息披露义务，健全公司内控治理机制，提高规范运作水平</w:t>
      </w: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，杜绝此类违规行为再次发生，并于收到本决定书</w:t>
      </w:r>
      <w:r>
        <w:rPr>
          <w:rFonts w:hint="eastAsia" w:ascii="仿宋_GB2312" w:hAnsi="仿宋_GB2312" w:eastAsia="仿宋_GB2312" w:cs="仿宋_GB2312"/>
          <w:sz w:val="32"/>
          <w:szCs w:val="24"/>
          <w:lang w:val="en-US" w:eastAsia="zh-CN"/>
        </w:rPr>
        <w:t>30日内向我局提交书面报告，并抄报深圳证券交易所。</w:t>
      </w:r>
    </w:p>
    <w:p>
      <w:pPr>
        <w:suppressAutoHyphens/>
        <w:overflowPunct w:val="0"/>
        <w:bidi w:val="0"/>
        <w:adjustRightInd w:val="0"/>
        <w:snapToGrid w:val="0"/>
        <w:spacing w:line="312" w:lineRule="auto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如果对本监督管理措施不服，可以在收到本决定书之日起60日内向中国证券监督管理委员会提出行政复议申请</w:t>
      </w: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24"/>
        </w:rPr>
        <w:t>也可以在收到本决定书之日起6个月内向有管辖权的人民法院提起诉讼。复议与诉讼期间，上述监督管理措施不停止执行。</w:t>
      </w:r>
    </w:p>
    <w:p>
      <w:pPr>
        <w:widowControl w:val="0"/>
        <w:suppressAutoHyphens/>
        <w:overflowPunct w:val="0"/>
        <w:adjustRightInd/>
        <w:snapToGrid w:val="0"/>
        <w:spacing w:line="360" w:lineRule="auto"/>
        <w:ind w:firstLine="0" w:firstLineChars="0"/>
        <w:jc w:val="both"/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ascii="宋体" w:hAnsi="宋体" w:eastAsia="宋体" w:cs="宋体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ascii="宋体" w:hAnsi="宋体" w:eastAsia="宋体" w:cs="宋体"/>
          <w:color w:val="000000"/>
          <w:sz w:val="24"/>
          <w:szCs w:val="24"/>
        </w:rPr>
      </w:pPr>
    </w:p>
    <w:p>
      <w:pPr>
        <w:suppressAutoHyphens/>
        <w:overflowPunct w:val="0"/>
        <w:adjustRightInd w:val="0"/>
        <w:snapToGrid w:val="0"/>
        <w:spacing w:line="360" w:lineRule="auto"/>
        <w:ind w:right="1705" w:firstLine="0" w:firstLineChars="0"/>
        <w:jc w:val="right"/>
        <w:rPr>
          <w:rFonts w:hint="eastAsia" w:ascii="仿宋_GB2312" w:hAnsi="Times New Roman" w:eastAsia="仿宋_GB2312" w:cs="Times New Roman"/>
          <w:color w:val="000000"/>
          <w:sz w:val="32"/>
          <w:szCs w:val="24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24"/>
        </w:rPr>
        <w:t>广东证监局</w:t>
      </w:r>
    </w:p>
    <w:p>
      <w:pPr>
        <w:numPr>
          <w:ilvl w:val="0"/>
          <w:numId w:val="0"/>
        </w:numPr>
        <w:pBdr>
          <w:top w:val="none" w:color="auto" w:sz="0" w:space="0"/>
          <w:bottom w:val="none" w:color="auto" w:sz="0" w:space="0"/>
        </w:pBdr>
        <w:suppressAutoHyphens/>
        <w:overflowPunct w:val="0"/>
        <w:adjustRightInd w:val="0"/>
        <w:snapToGrid w:val="0"/>
        <w:spacing w:beforeLines="0" w:afterLines="0" w:line="360" w:lineRule="auto"/>
        <w:ind w:firstLine="0" w:firstLineChars="0"/>
        <w:jc w:val="center"/>
        <w:outlineLvl w:val="9"/>
        <w:rPr>
          <w:rFonts w:ascii="Calibri" w:hAnsi="Calibri" w:eastAsia="宋体" w:cs="Times New Roman"/>
          <w:sz w:val="21"/>
          <w:szCs w:val="24"/>
        </w:rPr>
      </w:pPr>
      <w:r>
        <w:rPr>
          <w:rFonts w:hint="eastAsia" w:ascii="仿宋_GB2312" w:hAnsi="Times New Roman" w:eastAsia="仿宋_GB2312" w:cs="Times New Roman"/>
          <w:color w:val="000000"/>
          <w:spacing w:val="1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Times New Roman" w:eastAsia="仿宋_GB2312" w:cs="Times New Roman"/>
          <w:color w:val="000000"/>
          <w:spacing w:val="10"/>
          <w:sz w:val="32"/>
          <w:szCs w:val="32"/>
          <w:lang w:val="en-US" w:eastAsia="zh-CN"/>
        </w:rPr>
        <w:t xml:space="preserve">         </w:t>
      </w:r>
      <w:r>
        <w:rPr>
          <w:rFonts w:hint="default" w:ascii="仿宋_GB2312" w:hAnsi="Times New Roman" w:eastAsia="仿宋_GB2312" w:cs="Times New Roman"/>
          <w:color w:val="000000"/>
          <w:spacing w:val="1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Times New Roman" w:eastAsia="仿宋_GB2312" w:cs="Times New Roman"/>
          <w:color w:val="000000"/>
          <w:spacing w:val="1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Times New Roman" w:eastAsia="仿宋_GB2312" w:cs="Times New Roman"/>
          <w:color w:val="000000"/>
          <w:spacing w:val="10"/>
          <w:sz w:val="32"/>
          <w:szCs w:val="32"/>
          <w:lang w:eastAsia="zh-CN"/>
        </w:rPr>
        <w:t>2</w:t>
      </w:r>
      <w:r>
        <w:rPr>
          <w:rFonts w:hint="eastAsia" w:ascii="仿宋_GB2312" w:hAnsi="Times New Roman" w:eastAsia="仿宋_GB2312" w:cs="Times New Roman"/>
          <w:color w:val="000000"/>
          <w:spacing w:val="10"/>
          <w:sz w:val="32"/>
          <w:szCs w:val="32"/>
          <w:lang w:val="en-US" w:eastAsia="zh-CN"/>
        </w:rPr>
        <w:t>02</w:t>
      </w:r>
      <w:r>
        <w:rPr>
          <w:rFonts w:hint="default" w:ascii="仿宋_GB2312" w:hAnsi="Times New Roman" w:eastAsia="仿宋_GB2312" w:cs="Times New Roman"/>
          <w:color w:val="000000"/>
          <w:spacing w:val="10"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 w:cs="Times New Roman"/>
          <w:color w:val="000000"/>
          <w:spacing w:val="10"/>
          <w:sz w:val="32"/>
          <w:szCs w:val="32"/>
        </w:rPr>
        <w:t>年</w:t>
      </w:r>
      <w:r>
        <w:rPr>
          <w:rFonts w:hint="default" w:ascii="仿宋_GB2312" w:hAnsi="Calibri" w:eastAsia="仿宋_GB2312" w:cs="Times New Roman"/>
          <w:color w:val="000000"/>
          <w:spacing w:val="10"/>
          <w:sz w:val="32"/>
          <w:szCs w:val="32"/>
          <w:lang w:val="en-US" w:eastAsia="zh-CN"/>
        </w:rPr>
        <w:t>7</w:t>
      </w:r>
      <w:r>
        <w:rPr>
          <w:rFonts w:hint="eastAsia" w:ascii="仿宋_GB2312" w:hAnsi="Times New Roman" w:eastAsia="仿宋_GB2312" w:cs="Times New Roman"/>
          <w:color w:val="000000"/>
          <w:spacing w:val="10"/>
          <w:sz w:val="32"/>
          <w:szCs w:val="32"/>
        </w:rPr>
        <w:t>月</w:t>
      </w:r>
      <w:r>
        <w:rPr>
          <w:rFonts w:hint="default" w:ascii="仿宋_GB2312" w:hAnsi="Times New Roman" w:eastAsia="仿宋_GB2312" w:cs="Times New Roman"/>
          <w:color w:val="000000"/>
          <w:spacing w:val="10"/>
          <w:sz w:val="32"/>
          <w:szCs w:val="32"/>
          <w:lang w:val="en-US"/>
        </w:rPr>
        <w:t>6</w:t>
      </w:r>
      <w:r>
        <w:rPr>
          <w:rFonts w:hint="eastAsia" w:ascii="仿宋_GB2312" w:hAnsi="Times New Roman" w:eastAsia="仿宋_GB2312" w:cs="Times New Roman"/>
          <w:color w:val="000000"/>
          <w:spacing w:val="10"/>
          <w:sz w:val="32"/>
          <w:szCs w:val="32"/>
        </w:rPr>
        <w:t>日</w:t>
      </w:r>
    </w:p>
    <w:p>
      <w:pPr>
        <w:suppressAutoHyphens/>
        <w:adjustRightInd/>
        <w:snapToGrid w:val="0"/>
        <w:spacing w:beforeLines="0" w:afterLines="0" w:line="360" w:lineRule="auto"/>
        <w:ind w:right="28" w:firstLine="0" w:firstLineChars="0"/>
        <w:jc w:val="left"/>
        <w:rPr>
          <w:rFonts w:hint="eastAsia" w:ascii="黑体" w:hAnsi="Calibri" w:eastAsia="黑体" w:cs="Times New Roman"/>
          <w:spacing w:val="8"/>
          <w:sz w:val="32"/>
          <w:szCs w:val="32"/>
        </w:rPr>
      </w:pPr>
    </w:p>
    <w:p>
      <w:pPr>
        <w:pBdr>
          <w:top w:val="single" w:color="auto" w:sz="8" w:space="6"/>
        </w:pBdr>
        <w:suppressAutoHyphens/>
        <w:adjustRightInd w:val="0"/>
        <w:snapToGrid w:val="0"/>
        <w:spacing w:after="109" w:afterLines="35" w:line="240" w:lineRule="auto"/>
        <w:ind w:firstLine="302" w:firstLineChars="100"/>
        <w:rPr>
          <w:rFonts w:ascii="长城仿宋" w:hAnsi="Calibri" w:eastAsia="长城仿宋" w:cs="Times New Roman"/>
          <w:spacing w:val="11"/>
          <w:sz w:val="28"/>
          <w:szCs w:val="24"/>
        </w:rPr>
      </w:pPr>
      <w:r>
        <w:rPr>
          <w:rFonts w:hint="eastAsia" w:ascii="仿宋_GB2312" w:hAnsi="Calibri" w:eastAsia="仿宋_GB2312" w:cs="Times New Roman"/>
          <w:spacing w:val="11"/>
          <w:sz w:val="28"/>
          <w:szCs w:val="24"/>
        </w:rPr>
        <w:t>抄送：证监会上市司、法治司；深圳证券交易所。</w:t>
      </w:r>
    </w:p>
    <w:p>
      <w:pPr>
        <w:pBdr>
          <w:top w:val="single" w:color="auto" w:sz="4" w:space="6"/>
        </w:pBdr>
        <w:suppressAutoHyphens/>
        <w:adjustRightInd w:val="0"/>
        <w:snapToGrid w:val="0"/>
        <w:spacing w:after="109" w:afterLines="35" w:line="240" w:lineRule="auto"/>
        <w:ind w:firstLine="318" w:firstLineChars="0"/>
        <w:jc w:val="left"/>
        <w:rPr>
          <w:rFonts w:hint="eastAsia" w:ascii="仿宋_GB2312" w:hAnsi="Calibri" w:eastAsia="仿宋_GB2312" w:cs="Times New Roman"/>
          <w:spacing w:val="8"/>
          <w:sz w:val="28"/>
          <w:szCs w:val="24"/>
        </w:rPr>
      </w:pPr>
      <w:r>
        <w:rPr>
          <w:rFonts w:hint="eastAsia" w:ascii="仿宋_GB2312" w:hAnsi="Calibri" w:eastAsia="仿宋_GB2312" w:cs="Times New Roman"/>
          <w:spacing w:val="8"/>
          <w:sz w:val="28"/>
          <w:szCs w:val="24"/>
        </w:rPr>
        <w:t xml:space="preserve">广东证监局办公室        </w:t>
      </w:r>
      <w:r>
        <w:rPr>
          <w:rFonts w:hint="eastAsia" w:ascii="仿宋_GB2312" w:hAnsi="Calibri" w:eastAsia="仿宋_GB2312" w:cs="Times New Roman"/>
          <w:spacing w:val="8"/>
          <w:sz w:val="28"/>
          <w:szCs w:val="24"/>
          <w:lang w:val="en-US" w:eastAsia="zh-CN"/>
        </w:rPr>
        <w:t xml:space="preserve"> </w:t>
      </w:r>
      <w:r>
        <w:rPr>
          <w:rFonts w:hint="default" w:ascii="仿宋_GB2312" w:hAnsi="Calibri" w:eastAsia="仿宋_GB2312" w:cs="Times New Roman"/>
          <w:spacing w:val="8"/>
          <w:sz w:val="28"/>
          <w:szCs w:val="24"/>
          <w:lang w:val="en-US" w:eastAsia="zh-CN"/>
        </w:rPr>
        <w:t xml:space="preserve"> </w:t>
      </w:r>
      <w:r>
        <w:rPr>
          <w:rFonts w:hint="eastAsia" w:ascii="仿宋_GB2312" w:hAnsi="Calibri" w:eastAsia="仿宋_GB2312" w:cs="Times New Roman"/>
          <w:spacing w:val="8"/>
          <w:sz w:val="28"/>
          <w:szCs w:val="24"/>
          <w:lang w:val="en-US" w:eastAsia="zh-CN"/>
        </w:rPr>
        <w:t xml:space="preserve"> </w:t>
      </w:r>
      <w:r>
        <w:rPr>
          <w:rFonts w:hint="eastAsia" w:ascii="仿宋_GB2312" w:hAnsi="Calibri" w:eastAsia="仿宋_GB2312" w:cs="Times New Roman"/>
          <w:spacing w:val="8"/>
          <w:sz w:val="28"/>
          <w:szCs w:val="24"/>
        </w:rPr>
        <w:t xml:space="preserve">   </w:t>
      </w:r>
      <w:r>
        <w:rPr>
          <w:rFonts w:hint="eastAsia" w:ascii="仿宋_GB2312" w:hAnsi="Calibri" w:eastAsia="仿宋_GB2312" w:cs="Times New Roman"/>
          <w:spacing w:val="8"/>
          <w:sz w:val="28"/>
          <w:szCs w:val="24"/>
          <w:lang w:val="en-US" w:eastAsia="zh-CN"/>
        </w:rPr>
        <w:t xml:space="preserve"> </w:t>
      </w:r>
      <w:r>
        <w:rPr>
          <w:rFonts w:hint="default" w:ascii="仿宋_GB2312" w:hAnsi="Calibri" w:eastAsia="仿宋_GB2312" w:cs="Times New Roman"/>
          <w:spacing w:val="8"/>
          <w:sz w:val="28"/>
          <w:szCs w:val="24"/>
          <w:lang w:val="en-US"/>
        </w:rPr>
        <w:t xml:space="preserve">  </w:t>
      </w:r>
      <w:r>
        <w:rPr>
          <w:rFonts w:hint="eastAsia" w:ascii="仿宋_GB2312" w:hAnsi="Calibri" w:eastAsia="仿宋_GB2312" w:cs="Times New Roman"/>
          <w:spacing w:val="8"/>
          <w:sz w:val="28"/>
          <w:szCs w:val="24"/>
          <w:lang w:val="en-US" w:eastAsia="zh-CN"/>
        </w:rPr>
        <w:t xml:space="preserve">   </w:t>
      </w:r>
      <w:r>
        <w:rPr>
          <w:rFonts w:hint="eastAsia" w:ascii="仿宋_GB2312" w:hAnsi="Calibri" w:eastAsia="仿宋_GB2312" w:cs="Times New Roman"/>
          <w:spacing w:val="8"/>
          <w:sz w:val="28"/>
          <w:szCs w:val="24"/>
          <w:lang w:eastAsia="zh-CN"/>
        </w:rPr>
        <w:t>20</w:t>
      </w:r>
      <w:r>
        <w:rPr>
          <w:rFonts w:hint="eastAsia" w:ascii="仿宋_GB2312" w:hAnsi="Calibri" w:eastAsia="仿宋_GB2312" w:cs="Times New Roman"/>
          <w:spacing w:val="8"/>
          <w:sz w:val="28"/>
          <w:szCs w:val="24"/>
          <w:lang w:val="en-US" w:eastAsia="zh-CN"/>
        </w:rPr>
        <w:t>26</w:t>
      </w:r>
      <w:r>
        <w:rPr>
          <w:rFonts w:hint="eastAsia" w:ascii="仿宋_GB2312" w:hAnsi="Calibri" w:eastAsia="仿宋_GB2312" w:cs="Times New Roman"/>
          <w:spacing w:val="8"/>
          <w:sz w:val="28"/>
          <w:szCs w:val="24"/>
        </w:rPr>
        <w:t>年</w:t>
      </w:r>
      <w:r>
        <w:rPr>
          <w:rFonts w:hint="default" w:ascii="仿宋_GB2312" w:hAnsi="Calibri" w:eastAsia="仿宋_GB2312" w:cs="Times New Roman"/>
          <w:spacing w:val="8"/>
          <w:sz w:val="28"/>
          <w:szCs w:val="24"/>
          <w:lang w:val="en-US" w:eastAsia="zh-CN"/>
        </w:rPr>
        <w:t>7</w:t>
      </w:r>
      <w:r>
        <w:rPr>
          <w:rFonts w:hint="eastAsia" w:ascii="仿宋_GB2312" w:hAnsi="Calibri" w:eastAsia="仿宋_GB2312" w:cs="Times New Roman"/>
          <w:spacing w:val="8"/>
          <w:sz w:val="28"/>
          <w:szCs w:val="24"/>
        </w:rPr>
        <w:t>月</w:t>
      </w:r>
      <w:r>
        <w:rPr>
          <w:rFonts w:hint="default" w:ascii="仿宋_GB2312" w:hAnsi="Calibri" w:eastAsia="仿宋_GB2312" w:cs="Times New Roman"/>
          <w:spacing w:val="8"/>
          <w:sz w:val="28"/>
          <w:szCs w:val="24"/>
          <w:lang w:val="en-US"/>
        </w:rPr>
        <w:t>6</w:t>
      </w:r>
      <w:r>
        <w:rPr>
          <w:rFonts w:hint="eastAsia" w:ascii="仿宋_GB2312" w:hAnsi="Calibri" w:eastAsia="仿宋_GB2312" w:cs="Times New Roman"/>
          <w:spacing w:val="8"/>
          <w:sz w:val="28"/>
          <w:szCs w:val="24"/>
        </w:rPr>
        <w:t>日印发</w:t>
      </w:r>
    </w:p>
    <w:bookmarkEnd w:id="1"/>
    <w:p>
      <w:pPr>
        <w:pBdr>
          <w:top w:val="single" w:color="auto" w:sz="8" w:space="7"/>
        </w:pBdr>
        <w:suppressAutoHyphens/>
        <w:overflowPunct w:val="0"/>
        <w:bidi w:val="0"/>
        <w:adjustRightInd w:val="0"/>
        <w:snapToGrid w:val="0"/>
        <w:spacing w:beforeLines="0" w:after="0" w:afterLines="0" w:line="240" w:lineRule="auto"/>
        <w:ind w:firstLine="0" w:firstLineChars="0"/>
        <w:jc w:val="left"/>
        <w:rPr>
          <w:rFonts w:hint="default" w:ascii="仿宋_GB2312" w:hAnsi="Calibri" w:eastAsia="仿宋_GB2312" w:cs="Times New Roman"/>
          <w:spacing w:val="8"/>
          <w:sz w:val="2"/>
          <w:szCs w:val="2"/>
          <w:lang w:val="en-US" w:eastAsia="zh-CN"/>
        </w:rPr>
      </w:pPr>
    </w:p>
    <w:sectPr>
      <w:footerReference r:id="rId5" w:type="default"/>
      <w:pgSz w:w="11906" w:h="16838"/>
      <w:pgMar w:top="2097" w:right="1474" w:bottom="1984" w:left="1587" w:header="851" w:footer="1587" w:gutter="0"/>
      <w:pgNumType w:fmt="numberInDash"/>
      <w:cols w:space="0" w:num="1"/>
      <w:rtlGutter w:val="0"/>
      <w:docGrid w:type="lines" w:linePitch="31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长城仿宋">
    <w:altName w:val="方正仿宋_GBK"/>
    <w:panose1 w:val="02010609000101010101"/>
    <w:charset w:val="00"/>
    <w:family w:val="auto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240" w:lineRule="auto"/>
      <w:rPr>
        <w:rFonts w:hint="eastAsia" w:ascii="宋体" w:hAnsi="宋体" w:eastAsia="宋体" w:cs="宋体"/>
        <w:sz w:val="28"/>
        <w:lang w:val="en-US"/>
      </w:rPr>
    </w:pPr>
    <w:r>
      <w:rPr>
        <w:rFonts w:hint="eastAsia" w:ascii="宋体" w:hAnsi="宋体" w:eastAsia="宋体" w:cs="宋体"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align>top</wp:align>
              </wp:positionV>
              <wp:extent cx="1828800" cy="1828800"/>
              <wp:effectExtent l="4445" t="4445" r="14605" b="14605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height:144pt;width:144pt;mso-position-horizontal:outside;mso-position-horizontal-relative:margin;mso-position-vertical:top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LNJ&#10;WO7QAAAABQEAAA8AAAAAAAAAAQAgAAAAOAAAAGRycy9kb3ducmV2LnhtbFBLAQIUABQAAAAIAIdO&#10;4kCgF26zFQIAABkEAAAOAAAAAAAAAAEAIAAAADU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dit="readOnly" w:enforcement="0"/>
  <w:defaultTabStop w:val="420"/>
  <w:drawingGridHorizontalSpacing w:val="210"/>
  <w:drawingGridVerticalSpacing w:val="159"/>
  <w:displayHorizontalDrawingGridEvery w:val="1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65CA2"/>
    <w:rsid w:val="0B9F7233"/>
    <w:rsid w:val="1F5EF762"/>
    <w:rsid w:val="2EFDEB80"/>
    <w:rsid w:val="2F7FBAC6"/>
    <w:rsid w:val="36B5BA84"/>
    <w:rsid w:val="3BFDA224"/>
    <w:rsid w:val="4E571BAD"/>
    <w:rsid w:val="5FFF1BEB"/>
    <w:rsid w:val="5FFF1BF6"/>
    <w:rsid w:val="6AE5AE20"/>
    <w:rsid w:val="6DDDB4B8"/>
    <w:rsid w:val="6DDFEEBD"/>
    <w:rsid w:val="6F551FEB"/>
    <w:rsid w:val="6FFF3A2C"/>
    <w:rsid w:val="75BF1B23"/>
    <w:rsid w:val="7BDDF42F"/>
    <w:rsid w:val="7BFDA118"/>
    <w:rsid w:val="7EFF3376"/>
    <w:rsid w:val="7EFF3A67"/>
    <w:rsid w:val="7F4E96D5"/>
    <w:rsid w:val="7F73A1AC"/>
    <w:rsid w:val="7FDFD18B"/>
    <w:rsid w:val="7FF65CA2"/>
    <w:rsid w:val="9EFFB73F"/>
    <w:rsid w:val="9FF9FAB1"/>
    <w:rsid w:val="B7FBD2EE"/>
    <w:rsid w:val="BAE72FAD"/>
    <w:rsid w:val="BEA61D1B"/>
    <w:rsid w:val="BEFDFBE8"/>
    <w:rsid w:val="BF7F1F03"/>
    <w:rsid w:val="CFF7A711"/>
    <w:rsid w:val="D7BDDAF8"/>
    <w:rsid w:val="DF7FB0EF"/>
    <w:rsid w:val="DFDF3A1E"/>
    <w:rsid w:val="E2F5F2DD"/>
    <w:rsid w:val="E7F5639D"/>
    <w:rsid w:val="EDD7B083"/>
    <w:rsid w:val="EEF9C722"/>
    <w:rsid w:val="EFBDE6DB"/>
    <w:rsid w:val="EFD3B1F9"/>
    <w:rsid w:val="F6FB2D57"/>
    <w:rsid w:val="FB7FBE6D"/>
    <w:rsid w:val="FBA5DF8E"/>
    <w:rsid w:val="FDCF3405"/>
    <w:rsid w:val="FDFF4E65"/>
    <w:rsid w:val="FEFE26E4"/>
    <w:rsid w:val="FFA34B1E"/>
    <w:rsid w:val="FFFBD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adjustRightInd w:val="0"/>
      <w:snapToGrid w:val="0"/>
      <w:spacing w:line="336" w:lineRule="auto"/>
      <w:ind w:firstLine="560" w:firstLineChars="20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spacing w:beforeAutospacing="0" w:after="0" w:afterAutospacing="0"/>
      <w:jc w:val="center"/>
      <w:outlineLvl w:val="0"/>
    </w:pPr>
    <w:rPr>
      <w:rFonts w:hint="eastAsia" w:ascii="宋体" w:hAnsi="宋体" w:eastAsia="黑体" w:cs="宋体"/>
      <w:bCs/>
      <w:color w:val="000000"/>
      <w:kern w:val="44"/>
      <w:szCs w:val="48"/>
      <w:shd w:val="clear" w:color="auto" w:fill="auto"/>
      <w:lang w:bidi="ar"/>
    </w:rPr>
  </w:style>
  <w:style w:type="paragraph" w:styleId="3">
    <w:name w:val="heading 2"/>
    <w:basedOn w:val="1"/>
    <w:next w:val="1"/>
    <w:link w:val="13"/>
    <w:semiHidden/>
    <w:unhideWhenUsed/>
    <w:qFormat/>
    <w:uiPriority w:val="0"/>
    <w:pPr>
      <w:keepNext/>
      <w:keepLines/>
      <w:spacing w:beforeLines="0" w:beforeAutospacing="0" w:afterAutospacing="0" w:line="336" w:lineRule="auto"/>
      <w:outlineLvl w:val="1"/>
    </w:pPr>
    <w:rPr>
      <w:rFonts w:ascii="Arial" w:hAnsi="Arial" w:eastAsia="楷体_GB2312"/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36" w:lineRule="auto"/>
      <w:outlineLvl w:val="2"/>
    </w:p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36" w:lineRule="auto"/>
      <w:outlineLvl w:val="3"/>
    </w:pPr>
    <w:rPr>
      <w:rFonts w:ascii="仿宋_GB2312" w:hAnsi="仿宋_GB2312" w:eastAsia="黑体"/>
      <w:b/>
      <w:sz w:val="28"/>
    </w:rPr>
  </w:style>
  <w:style w:type="paragraph" w:styleId="6">
    <w:name w:val="heading 6"/>
    <w:basedOn w:val="1"/>
    <w:next w:val="1"/>
    <w:semiHidden/>
    <w:unhideWhenUsed/>
    <w:qFormat/>
    <w:uiPriority w:val="0"/>
    <w:pPr>
      <w:keepNext/>
      <w:keepLines/>
      <w:adjustRightInd w:val="0"/>
      <w:snapToGrid w:val="0"/>
      <w:spacing w:beforeLines="0" w:beforeAutospacing="0" w:afterLines="0" w:afterAutospacing="0" w:line="336" w:lineRule="auto"/>
      <w:outlineLvl w:val="5"/>
    </w:pPr>
    <w:rPr>
      <w:rFonts w:ascii="Arial" w:hAnsi="Arial" w:eastAsia="仿宋_GB2312" w:cs="Times New Roman"/>
      <w:sz w:val="32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2">
    <w:name w:val="标题 1 Char"/>
    <w:link w:val="2"/>
    <w:qFormat/>
    <w:uiPriority w:val="0"/>
    <w:rPr>
      <w:rFonts w:ascii="宋体" w:hAnsi="宋体" w:eastAsia="黑体" w:cs="宋体"/>
      <w:color w:val="000000"/>
      <w:kern w:val="44"/>
      <w:sz w:val="32"/>
    </w:rPr>
  </w:style>
  <w:style w:type="character" w:customStyle="1" w:styleId="13">
    <w:name w:val="标题 2 Char"/>
    <w:link w:val="3"/>
    <w:qFormat/>
    <w:uiPriority w:val="0"/>
    <w:rPr>
      <w:rFonts w:ascii="Arial" w:hAnsi="Arial" w:eastAsia="楷体_GB2312"/>
      <w:b/>
    </w:rPr>
  </w:style>
  <w:style w:type="paragraph" w:customStyle="1" w:styleId="14">
    <w:name w:val="NormalIndent"/>
    <w:basedOn w:val="1"/>
    <w:next w:val="1"/>
    <w:qFormat/>
    <w:uiPriority w:val="0"/>
    <w:pPr>
      <w:spacing w:line="240" w:lineRule="auto"/>
      <w:ind w:firstLine="420"/>
      <w:jc w:val="both"/>
      <w:textAlignment w:val="baseline"/>
    </w:pPr>
    <w:rPr>
      <w:rFonts w:ascii="宋体" w:hAnsi="Calibri"/>
      <w:kern w:val="0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2026-07-04T23:12:00Z</dcterms:created>
  <dc:creator>李嘉：承办人修改</dc:creator>
  <cp:lastModifiedBy>于晓雷</cp:lastModifiedBy>
  <dcterms:modified xsi:type="dcterms:W3CDTF">2026-07-07T14:56:33Z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7B517AE1FC207C09C34F4B6A12C8D529</vt:lpwstr>
  </property>
</Properties>
</file>