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00" w:lineRule="exact"/>
        <w:rPr>
          <w:color w:val="000000"/>
          <w:sz w:val="24"/>
        </w:rPr>
      </w:pPr>
      <w:r>
        <w:rPr>
          <w:rFonts w:hAnsi="宋体"/>
          <w:bCs/>
          <w:iCs/>
          <w:color w:val="000000"/>
          <w:sz w:val="24"/>
        </w:rPr>
        <w:t>证券代码：</w:t>
      </w:r>
      <w:r>
        <w:rPr>
          <w:bCs/>
          <w:iCs/>
          <w:color w:val="000000"/>
          <w:sz w:val="24"/>
        </w:rPr>
        <w:t xml:space="preserve"> </w:t>
      </w:r>
      <w:r>
        <w:rPr>
          <w:color w:val="000000"/>
          <w:sz w:val="24"/>
        </w:rPr>
        <w:t xml:space="preserve">600879                             </w:t>
      </w:r>
      <w:r>
        <w:rPr>
          <w:rFonts w:hAnsi="宋体"/>
          <w:bCs/>
          <w:iCs/>
          <w:color w:val="000000"/>
          <w:sz w:val="24"/>
        </w:rPr>
        <w:t>证券简称：</w:t>
      </w:r>
      <w:r>
        <w:rPr>
          <w:color w:val="000000"/>
          <w:sz w:val="24"/>
        </w:rPr>
        <w:t>航天电子</w:t>
      </w:r>
    </w:p>
    <w:p>
      <w:pPr>
        <w:spacing w:before="156" w:beforeLines="50" w:after="156" w:afterLines="50" w:line="400" w:lineRule="exact"/>
        <w:rPr>
          <w:rFonts w:hint="eastAsia"/>
          <w:color w:val="000000"/>
          <w:sz w:val="24"/>
        </w:rPr>
      </w:pPr>
    </w:p>
    <w:p>
      <w:pPr>
        <w:spacing w:before="156" w:beforeLines="50" w:after="156" w:afterLines="50" w:line="400" w:lineRule="exact"/>
        <w:jc w:val="center"/>
        <w:rPr>
          <w:rFonts w:hint="eastAsia" w:ascii="宋体" w:hAnsi="宋体"/>
          <w:b/>
          <w:bCs/>
          <w:iCs/>
          <w:color w:val="000000"/>
          <w:sz w:val="32"/>
          <w:szCs w:val="32"/>
        </w:rPr>
      </w:pPr>
      <w:r>
        <w:rPr>
          <w:rFonts w:hint="default" w:ascii="宋体" w:hAnsi="宋体"/>
          <w:b/>
          <w:bCs/>
          <w:iCs/>
          <w:color w:val="000000"/>
          <w:sz w:val="32"/>
          <w:szCs w:val="32"/>
        </w:rPr>
        <w:t>航天时代电子技术股份有限公司</w:t>
      </w:r>
      <w:r>
        <w:rPr>
          <w:rFonts w:hint="eastAsia" w:ascii="宋体" w:hAnsi="宋体"/>
          <w:b/>
          <w:bCs/>
          <w:iCs/>
          <w:color w:val="000000"/>
          <w:sz w:val="32"/>
          <w:szCs w:val="32"/>
        </w:rPr>
        <w:t>投资者关系活动记录表</w:t>
      </w:r>
    </w:p>
    <w:p>
      <w:pPr>
        <w:spacing w:line="400" w:lineRule="exact"/>
        <w:rPr>
          <w:bCs/>
          <w:iCs/>
          <w:color w:val="000000"/>
          <w:sz w:val="24"/>
        </w:rPr>
      </w:pPr>
      <w:r>
        <w:rPr>
          <w:rFonts w:hint="eastAsia" w:ascii="宋体" w:hAnsi="宋体"/>
          <w:bCs/>
          <w:iCs/>
          <w:color w:val="000000"/>
          <w:sz w:val="24"/>
        </w:rPr>
        <w:t xml:space="preserve">                                                     </w:t>
      </w:r>
    </w:p>
    <w:tbl>
      <w:tblPr>
        <w:tblStyle w:val="5"/>
        <w:tblW w:w="8723"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55"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投资者关系活动类别</w:t>
            </w:r>
          </w:p>
          <w:p>
            <w:pPr>
              <w:spacing w:line="420" w:lineRule="exact"/>
              <w:rPr>
                <w:bCs/>
                <w:iCs/>
                <w:color w:val="000000"/>
                <w:sz w:val="24"/>
              </w:rPr>
            </w:pPr>
          </w:p>
        </w:tc>
        <w:tc>
          <w:tcPr>
            <w:tcW w:w="696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bCs/>
                <w:iCs/>
                <w:color w:val="000000"/>
                <w:kern w:val="0"/>
                <w:sz w:val="24"/>
              </w:rPr>
              <w:t>□</w:t>
            </w:r>
            <w:r>
              <w:rPr>
                <w:rFonts w:hint="eastAsia"/>
                <w:bCs/>
                <w:iCs/>
                <w:color w:val="000000"/>
                <w:kern w:val="0"/>
                <w:sz w:val="24"/>
                <w:lang w:val="en-US" w:eastAsia="zh-CN"/>
              </w:rPr>
              <w:t xml:space="preserve"> </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3" w:hRule="atLeast"/>
        </w:trPr>
        <w:tc>
          <w:tcPr>
            <w:tcW w:w="1755"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参与单位名称及人员姓名</w:t>
            </w:r>
          </w:p>
        </w:tc>
        <w:tc>
          <w:tcPr>
            <w:tcW w:w="696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eastAsia"/>
                <w:bCs/>
                <w:iCs/>
                <w:color w:val="000000"/>
                <w:sz w:val="24"/>
                <w:lang w:val="en-GB"/>
              </w:rPr>
            </w:pPr>
            <w:r>
              <w:rPr>
                <w:rFonts w:hint="eastAsia"/>
                <w:bCs/>
                <w:iCs/>
                <w:color w:val="000000"/>
                <w:sz w:val="24"/>
                <w:lang w:val="en-GB"/>
              </w:rPr>
              <w:t>投资者网上提问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trPr>
        <w:tc>
          <w:tcPr>
            <w:tcW w:w="1755"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时间</w:t>
            </w:r>
          </w:p>
        </w:tc>
        <w:tc>
          <w:tcPr>
            <w:tcW w:w="696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bCs/>
                <w:iCs/>
                <w:color w:val="000000"/>
                <w:sz w:val="24"/>
              </w:rPr>
              <w:t>2026年7月9日 (周四) 下午 14:30~17:00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1755"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地点</w:t>
            </w:r>
          </w:p>
        </w:tc>
        <w:tc>
          <w:tcPr>
            <w:tcW w:w="696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rFonts w:ascii="宋体" w:hAnsi="宋体"/>
                <w:sz w:val="24"/>
              </w:rPr>
              <w:t>公司通过</w:t>
            </w:r>
            <w:r>
              <w:rPr>
                <w:rFonts w:hint="eastAsia" w:ascii="宋体" w:hAnsi="宋体"/>
                <w:bCs/>
                <w:sz w:val="24"/>
              </w:rPr>
              <w:t>全景网“</w:t>
            </w:r>
            <w:r>
              <w:rPr>
                <w:rFonts w:ascii="宋体" w:hAnsi="宋体" w:eastAsia="宋体" w:cs="宋体"/>
                <w:sz w:val="24"/>
                <w:szCs w:val="24"/>
              </w:rPr>
              <w:t>投资者关系互动平台</w:t>
            </w:r>
            <w:r>
              <w:rPr>
                <w:rFonts w:hint="eastAsia" w:ascii="宋体" w:hAnsi="宋体"/>
                <w:bCs/>
                <w:sz w:val="24"/>
              </w:rPr>
              <w:t>”（http</w:t>
            </w:r>
            <w:r>
              <w:rPr>
                <w:rFonts w:hint="default" w:ascii="宋体" w:hAnsi="宋体"/>
                <w:bCs/>
                <w:sz w:val="24"/>
              </w:rPr>
              <w:t>s</w:t>
            </w:r>
            <w:r>
              <w:rPr>
                <w:rFonts w:hint="eastAsia" w:ascii="宋体" w:hAnsi="宋体"/>
                <w:bCs/>
                <w:sz w:val="24"/>
              </w:rPr>
              <w:t>://</w:t>
            </w:r>
            <w:r>
              <w:rPr>
                <w:rFonts w:hint="eastAsia" w:ascii="宋体" w:hAnsi="宋体"/>
                <w:bCs/>
                <w:sz w:val="24"/>
                <w:lang w:val="en-US" w:eastAsia="zh-CN"/>
              </w:rPr>
              <w:t>ir</w:t>
            </w:r>
            <w:r>
              <w:rPr>
                <w:rFonts w:hint="eastAsia" w:ascii="宋体" w:hAnsi="宋体"/>
                <w:bCs/>
                <w:sz w:val="24"/>
              </w:rPr>
              <w:t>.p5w.net）采用网络远程的方式</w:t>
            </w:r>
            <w:r>
              <w:rPr>
                <w:rFonts w:ascii="宋体" w:hAnsi="宋体"/>
                <w:sz w:val="24"/>
              </w:rPr>
              <w:t>召开</w:t>
            </w:r>
            <w:r>
              <w:rPr>
                <w:rFonts w:hint="eastAsia" w:ascii="宋体" w:hAnsi="宋体"/>
                <w:sz w:val="24"/>
              </w:rPr>
              <w:t>业绩</w:t>
            </w:r>
            <w:r>
              <w:rPr>
                <w:rFonts w:ascii="宋体" w:hAnsi="宋体"/>
                <w:sz w:val="24"/>
              </w:rPr>
              <w:t>说明会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4" w:hRule="atLeast"/>
        </w:trPr>
        <w:tc>
          <w:tcPr>
            <w:tcW w:w="1755"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上市公司接待人员姓名</w:t>
            </w:r>
          </w:p>
        </w:tc>
        <w:tc>
          <w:tcPr>
            <w:tcW w:w="696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宋体" w:hAnsi="宋体"/>
                <w:bCs/>
                <w:sz w:val="24"/>
              </w:rPr>
            </w:pPr>
            <w:r>
              <w:rPr>
                <w:rFonts w:hint="default" w:ascii="宋体" w:hAnsi="宋体"/>
                <w:bCs/>
                <w:sz w:val="24"/>
              </w:rPr>
              <w:t>1、董事长姜梁</w:t>
            </w:r>
          </w:p>
          <w:p>
            <w:pPr>
              <w:spacing w:line="420" w:lineRule="exact"/>
              <w:rPr>
                <w:rFonts w:hint="default" w:ascii="宋体" w:hAnsi="宋体"/>
                <w:bCs/>
                <w:sz w:val="24"/>
              </w:rPr>
            </w:pPr>
            <w:r>
              <w:rPr>
                <w:rFonts w:hint="default" w:ascii="宋体" w:hAnsi="宋体"/>
                <w:bCs/>
                <w:sz w:val="24"/>
              </w:rPr>
              <w:t>2、副总裁兼董事会秘书吕凡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3" w:hRule="atLeast"/>
        </w:trPr>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投资者关系活动主要内容介绍</w:t>
            </w:r>
          </w:p>
          <w:p>
            <w:pPr>
              <w:spacing w:line="420" w:lineRule="exact"/>
              <w:rPr>
                <w:bCs/>
                <w:iCs/>
                <w:color w:val="000000"/>
                <w:sz w:val="24"/>
              </w:rPr>
            </w:pPr>
          </w:p>
        </w:tc>
        <w:tc>
          <w:tcPr>
            <w:tcW w:w="6968" w:type="dxa"/>
            <w:tcBorders>
              <w:top w:val="single" w:color="auto" w:sz="4" w:space="0"/>
              <w:left w:val="single" w:color="auto" w:sz="4" w:space="0"/>
              <w:bottom w:val="single" w:color="auto" w:sz="4" w:space="0"/>
              <w:right w:val="single" w:color="auto" w:sz="4" w:space="0"/>
            </w:tcBorders>
            <w:noWrap w:val="0"/>
            <w:vAlign w:val="top"/>
          </w:tcPr>
          <w:p>
            <w:pPr>
              <w:spacing w:before="156" w:beforeLines="50" w:line="460" w:lineRule="exact"/>
              <w:ind w:firstLine="600" w:firstLineChars="249"/>
              <w:rPr>
                <w:rFonts w:ascii="宋体" w:hAnsi="宋体"/>
                <w:b/>
                <w:sz w:val="24"/>
              </w:rPr>
            </w:pPr>
            <w:r>
              <w:rPr>
                <w:rFonts w:ascii="宋体" w:hAnsi="宋体"/>
                <w:b/>
                <w:sz w:val="24"/>
              </w:rPr>
              <w:t>投资者提出的问题及公司回复情况</w:t>
            </w:r>
          </w:p>
          <w:p>
            <w:pPr>
              <w:spacing w:line="460" w:lineRule="exact"/>
              <w:ind w:firstLine="480" w:firstLineChars="200"/>
              <w:rPr>
                <w:rFonts w:ascii="宋体" w:hAnsi="宋体"/>
                <w:sz w:val="24"/>
              </w:rPr>
            </w:pPr>
            <w:r>
              <w:rPr>
                <w:rFonts w:ascii="宋体" w:hAnsi="宋体"/>
                <w:sz w:val="24"/>
              </w:rPr>
              <w:t xml:space="preserve"> </w:t>
            </w:r>
            <w:r>
              <w:rPr>
                <w:rFonts w:ascii="宋体" w:hAnsi="宋体" w:eastAsia="宋体" w:cs="宋体"/>
                <w:sz w:val="24"/>
              </w:rPr>
              <w:t>公司就投资者在本次说明会中提出的问题进行了回复：</w:t>
            </w:r>
          </w:p>
          <w:p>
            <w:pPr>
              <w:pStyle w:val="7"/>
              <w:numPr>
                <w:ilvl w:val="0"/>
                <w:numId w:val="0"/>
              </w:numPr>
              <w:spacing w:line="460" w:lineRule="exact"/>
              <w:ind w:firstLine="482" w:firstLineChars="200"/>
              <w:jc w:val="both"/>
              <w:rPr>
                <w:rFonts w:ascii="宋体" w:hAnsi="宋体"/>
                <w:b/>
                <w:sz w:val="24"/>
                <w:szCs w:val="24"/>
              </w:rPr>
            </w:pPr>
            <w:r>
              <w:rPr>
                <w:rFonts w:hint="default" w:ascii="宋体" w:hAnsi="宋体"/>
                <w:b/>
                <w:sz w:val="24"/>
                <w:szCs w:val="24"/>
              </w:rPr>
              <w:t>1、军工元器件国产化替代要求提升，公司核心元器件自主可控比例现阶段达到多少？</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答：感谢您对公司的关注。公司作为高科技企业，历来重视技术创新，研发项目严格遵循整体发展规划，保障公司可持续发展及关键产业领域布局的不断完善。</w:t>
            </w:r>
          </w:p>
          <w:p>
            <w:pPr>
              <w:pStyle w:val="7"/>
              <w:spacing w:line="460" w:lineRule="exact"/>
              <w:ind w:left="-2" w:leftChars="-1" w:firstLine="480"/>
              <w:rPr>
                <w:rFonts w:hint="default" w:ascii="宋体" w:hAnsi="宋体"/>
                <w:sz w:val="24"/>
                <w:szCs w:val="24"/>
              </w:rPr>
            </w:pPr>
          </w:p>
          <w:p>
            <w:pPr>
              <w:pStyle w:val="7"/>
              <w:numPr>
                <w:ilvl w:val="0"/>
                <w:numId w:val="0"/>
              </w:numPr>
              <w:spacing w:line="460" w:lineRule="exact"/>
              <w:ind w:firstLine="482" w:firstLineChars="200"/>
              <w:rPr>
                <w:rFonts w:ascii="宋体" w:hAnsi="宋体"/>
                <w:b/>
                <w:sz w:val="24"/>
                <w:szCs w:val="24"/>
              </w:rPr>
            </w:pPr>
            <w:r>
              <w:rPr>
                <w:rFonts w:hint="default" w:ascii="宋体" w:hAnsi="宋体"/>
                <w:b/>
                <w:sz w:val="24"/>
                <w:szCs w:val="24"/>
              </w:rPr>
              <w:t>2、高端智能装备板块面向工业客户，该板块市场化拓展的难点及后续突破方向是什么？</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公司销售高端智能装备是在综合考虑用户领域、场景、功能等需求特点，以市场为导向，统筹自身特点，扎实推进已有型号的改造升级、背景型号的论证、研制、竞标工作，来扩大市场份额，形成订单。</w:t>
            </w:r>
          </w:p>
          <w:p>
            <w:pPr>
              <w:pStyle w:val="7"/>
              <w:spacing w:line="460" w:lineRule="exact"/>
              <w:ind w:left="-2" w:leftChars="-1" w:firstLine="480"/>
              <w:rPr>
                <w:rFonts w:hint="default" w:ascii="宋体" w:hAnsi="宋体"/>
                <w:sz w:val="24"/>
                <w:szCs w:val="24"/>
              </w:rPr>
            </w:pPr>
          </w:p>
          <w:p>
            <w:pPr>
              <w:pStyle w:val="7"/>
              <w:numPr>
                <w:ilvl w:val="0"/>
                <w:numId w:val="0"/>
              </w:numPr>
              <w:spacing w:line="460" w:lineRule="exact"/>
              <w:ind w:firstLine="482" w:firstLineChars="200"/>
              <w:rPr>
                <w:rFonts w:ascii="宋体" w:hAnsi="宋体"/>
                <w:b/>
                <w:sz w:val="24"/>
                <w:szCs w:val="24"/>
              </w:rPr>
            </w:pPr>
            <w:r>
              <w:rPr>
                <w:rFonts w:hint="default" w:ascii="宋体" w:hAnsi="宋体"/>
                <w:b/>
                <w:sz w:val="24"/>
                <w:szCs w:val="24"/>
              </w:rPr>
              <w:t>3、公司军用航天电子产品为核心，现阶段军工行业订货节奏回暖，在手订单覆盖周期多久？</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答：感谢您对公司的关注。根据公司近年统计情况，在手订单覆盖周期为一至三年。</w:t>
            </w:r>
          </w:p>
          <w:p>
            <w:pPr>
              <w:pStyle w:val="7"/>
              <w:spacing w:line="460" w:lineRule="exact"/>
              <w:ind w:left="-2" w:leftChars="-1" w:firstLine="480"/>
              <w:rPr>
                <w:rFonts w:hint="default" w:ascii="宋体" w:hAnsi="宋体"/>
                <w:sz w:val="24"/>
                <w:szCs w:val="24"/>
              </w:rPr>
            </w:pP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4、请公司讲讲竞争格局与技术壁垒</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公司稳步推动研发工作，加速完善专业技术体系，持续开展核心技术攻关，打造原创技术的策源地，在航天电子信息、无人系统装备等方面技术均取得突破。2025年，公司申请专利343件，授权专利232件。公司本级和多家子公司具有承担各类航天及型号产品配套生产任务资格和能力，拥有完善的研发、生产和试验等保障条件，能够及时有效满足用户需求，是公司核心竞争力的重要基础。</w:t>
            </w:r>
          </w:p>
          <w:p>
            <w:pPr>
              <w:pStyle w:val="7"/>
              <w:spacing w:line="460" w:lineRule="exact"/>
              <w:ind w:left="-2" w:leftChars="-1" w:firstLine="480"/>
              <w:rPr>
                <w:rFonts w:hint="default" w:ascii="宋体" w:hAnsi="宋体"/>
                <w:sz w:val="24"/>
                <w:szCs w:val="24"/>
              </w:rPr>
            </w:pPr>
          </w:p>
          <w:p>
            <w:pPr>
              <w:pStyle w:val="7"/>
              <w:numPr>
                <w:ilvl w:val="0"/>
                <w:numId w:val="0"/>
              </w:numPr>
              <w:spacing w:line="460" w:lineRule="exact"/>
              <w:ind w:firstLine="482" w:firstLineChars="200"/>
              <w:rPr>
                <w:rFonts w:ascii="宋体" w:hAnsi="宋体"/>
                <w:b/>
                <w:sz w:val="24"/>
                <w:szCs w:val="24"/>
              </w:rPr>
            </w:pPr>
            <w:r>
              <w:rPr>
                <w:rFonts w:hint="default" w:ascii="宋体" w:hAnsi="宋体"/>
                <w:b/>
                <w:sz w:val="24"/>
                <w:szCs w:val="24"/>
              </w:rPr>
              <w:t>5、无人机业务是核心增长板块，军用、民用无人机目前营收占比，民用场景落地订单规模如何？</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答：感谢您对公司的关注。公司无人系统装备产品业务为无人系统装备的研发、设计、制造、销售，主要包括无人机系统、精确制导产品等无人系统装备，主要应用于国防装备、部分产品也可用于国民经济领域。</w:t>
            </w:r>
          </w:p>
          <w:p>
            <w:pPr>
              <w:pStyle w:val="7"/>
              <w:spacing w:line="460" w:lineRule="exact"/>
              <w:ind w:left="-2" w:leftChars="-1" w:firstLine="480"/>
              <w:rPr>
                <w:rFonts w:hint="default" w:ascii="宋体" w:hAnsi="宋体"/>
                <w:sz w:val="24"/>
                <w:szCs w:val="24"/>
              </w:rPr>
            </w:pPr>
          </w:p>
          <w:p>
            <w:pPr>
              <w:pStyle w:val="7"/>
              <w:numPr>
                <w:ilvl w:val="0"/>
                <w:numId w:val="0"/>
              </w:numPr>
              <w:spacing w:line="460" w:lineRule="exact"/>
              <w:ind w:firstLine="482" w:firstLineChars="200"/>
              <w:rPr>
                <w:rFonts w:ascii="宋体" w:hAnsi="宋体"/>
                <w:b/>
                <w:sz w:val="24"/>
                <w:szCs w:val="24"/>
              </w:rPr>
            </w:pPr>
            <w:r>
              <w:rPr>
                <w:rFonts w:hint="default" w:ascii="宋体" w:hAnsi="宋体"/>
                <w:b/>
                <w:sz w:val="24"/>
                <w:szCs w:val="24"/>
              </w:rPr>
              <w:t>6、火箭发射、商业航天配套业务推进中，公司参与商业卫星产业链的产品供货进度如何？</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答：感谢您对公司的关注。公司主营业务为航天电子信息、无人系统产品的研发生产，具体应用场景由最终用户决定。</w:t>
            </w:r>
          </w:p>
          <w:p>
            <w:pPr>
              <w:pStyle w:val="7"/>
              <w:spacing w:line="460" w:lineRule="exact"/>
              <w:ind w:left="-2" w:leftChars="-1" w:firstLine="480"/>
              <w:rPr>
                <w:rFonts w:hint="default" w:ascii="宋体" w:hAnsi="宋体"/>
                <w:sz w:val="24"/>
                <w:szCs w:val="24"/>
              </w:rPr>
            </w:pPr>
          </w:p>
          <w:p>
            <w:pPr>
              <w:pStyle w:val="7"/>
              <w:spacing w:line="460" w:lineRule="exact"/>
              <w:ind w:left="-2" w:leftChars="-1" w:firstLine="480"/>
              <w:rPr>
                <w:rFonts w:hint="default" w:ascii="宋体" w:hAnsi="宋体"/>
                <w:sz w:val="24"/>
                <w:szCs w:val="24"/>
              </w:rPr>
            </w:pPr>
            <w:bookmarkStart w:id="0" w:name="_GoBack"/>
            <w:bookmarkEnd w:id="0"/>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7、你好，公司主营业务在航天中占比多少</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答：感谢您对公司的关注。公司2025年实现营业收入139.10亿元，其中系统装备产品收入23.02亿元，航天配套产品收入92.76亿元，航天机电组件产品收入12.93亿元，航天技术应用产品收入9.42亿元。</w:t>
            </w:r>
          </w:p>
          <w:p>
            <w:pPr>
              <w:pStyle w:val="7"/>
              <w:spacing w:line="460" w:lineRule="exact"/>
              <w:ind w:left="-2" w:leftChars="-1" w:firstLine="480"/>
              <w:rPr>
                <w:rFonts w:hint="default" w:ascii="宋体" w:hAnsi="宋体"/>
                <w:sz w:val="24"/>
                <w:szCs w:val="24"/>
              </w:rPr>
            </w:pPr>
          </w:p>
          <w:p>
            <w:pPr>
              <w:pStyle w:val="7"/>
              <w:numPr>
                <w:ilvl w:val="0"/>
                <w:numId w:val="0"/>
              </w:numPr>
              <w:spacing w:line="460" w:lineRule="exact"/>
              <w:ind w:firstLine="482" w:firstLineChars="200"/>
              <w:rPr>
                <w:rFonts w:ascii="宋体" w:hAnsi="宋体"/>
                <w:b/>
                <w:sz w:val="24"/>
                <w:szCs w:val="24"/>
              </w:rPr>
            </w:pPr>
            <w:r>
              <w:rPr>
                <w:rFonts w:hint="default" w:ascii="宋体" w:hAnsi="宋体"/>
                <w:b/>
                <w:sz w:val="24"/>
                <w:szCs w:val="24"/>
              </w:rPr>
              <w:t>8、军工项目交付周期长，公司如何优化生产排产与回款节奏，改善经营性现金流？</w:t>
            </w:r>
          </w:p>
          <w:p>
            <w:pPr>
              <w:pStyle w:val="7"/>
              <w:spacing w:line="460" w:lineRule="exact"/>
              <w:ind w:left="-2" w:leftChars="-1" w:firstLine="480"/>
              <w:rPr>
                <w:rFonts w:hint="default" w:ascii="宋体" w:hAnsi="宋体"/>
                <w:sz w:val="24"/>
                <w:szCs w:val="24"/>
              </w:rPr>
            </w:pPr>
            <w:r>
              <w:rPr>
                <w:rFonts w:hint="default" w:ascii="宋体" w:hAnsi="宋体"/>
                <w:sz w:val="24"/>
                <w:szCs w:val="24"/>
              </w:rPr>
              <w:t>答：感谢您对公司的关注。军工项目交付存在周期较长的特点，公司正在加强与用户沟通协调力度，对于已预投产项目尽快落实为手持合同，推进手持合同的结算，加速回款，减少存货，从而改善经营性现金流情况。</w:t>
            </w:r>
          </w:p>
          <w:p>
            <w:pPr>
              <w:pStyle w:val="7"/>
              <w:spacing w:line="460" w:lineRule="exact"/>
              <w:ind w:left="-2" w:leftChars="-1" w:firstLine="48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日期</w:t>
            </w:r>
          </w:p>
        </w:tc>
        <w:tc>
          <w:tcPr>
            <w:tcW w:w="696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eastAsia"/>
                <w:bCs/>
                <w:iCs/>
                <w:color w:val="000000"/>
                <w:sz w:val="24"/>
              </w:rPr>
            </w:pPr>
            <w:r>
              <w:rPr>
                <w:bCs/>
                <w:iCs/>
                <w:color w:val="000000"/>
                <w:sz w:val="24"/>
              </w:rPr>
              <w:t>2026-07-09 17:00:33</w:t>
            </w:r>
          </w:p>
        </w:tc>
      </w:tr>
    </w:tbl>
    <w:p/>
    <w:sectPr>
      <w:headerReference r:id="rId3" w:type="default"/>
      <w:footerReference r:id="rId4" w:type="default"/>
      <w:pgSz w:w="11906" w:h="16838"/>
      <w:pgMar w:top="1157" w:right="1800" w:bottom="110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hint="eastAsia" w:ascii="仿宋" w:hAnsi="仿宋" w:eastAsia="仿宋"/>
        <w:sz w:val="24"/>
        <w:szCs w:val="24"/>
        <w:lang w:val="en-US" w:eastAsia="zh-Hans"/>
      </w:rPr>
      <w:t>深圳市全景网络有限公司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left"/>
    </w:pPr>
    <w:r>
      <w:drawing>
        <wp:inline distT="0" distB="0" distL="114300" distR="114300">
          <wp:extent cx="674370" cy="328295"/>
          <wp:effectExtent l="0" t="0" r="11430" b="1905"/>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674370" cy="328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1C7"/>
    <w:rsid w:val="000268C0"/>
    <w:rsid w:val="000363B5"/>
    <w:rsid w:val="000375D7"/>
    <w:rsid w:val="00043015"/>
    <w:rsid w:val="00046DDE"/>
    <w:rsid w:val="00047EB9"/>
    <w:rsid w:val="00060A74"/>
    <w:rsid w:val="00067110"/>
    <w:rsid w:val="0009298A"/>
    <w:rsid w:val="000A2808"/>
    <w:rsid w:val="000A3BAC"/>
    <w:rsid w:val="000C26FD"/>
    <w:rsid w:val="000C2D85"/>
    <w:rsid w:val="000E5700"/>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6BC5"/>
    <w:rsid w:val="006D61A2"/>
    <w:rsid w:val="006E1DB4"/>
    <w:rsid w:val="00753DB6"/>
    <w:rsid w:val="00763847"/>
    <w:rsid w:val="00771FE3"/>
    <w:rsid w:val="00776BDE"/>
    <w:rsid w:val="00786870"/>
    <w:rsid w:val="00792237"/>
    <w:rsid w:val="0079272A"/>
    <w:rsid w:val="007A1DA9"/>
    <w:rsid w:val="007B2252"/>
    <w:rsid w:val="007B79D9"/>
    <w:rsid w:val="007C67B1"/>
    <w:rsid w:val="007E354A"/>
    <w:rsid w:val="007E69C8"/>
    <w:rsid w:val="0080525B"/>
    <w:rsid w:val="008062C5"/>
    <w:rsid w:val="0080741A"/>
    <w:rsid w:val="00814B5B"/>
    <w:rsid w:val="00836F34"/>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67DD"/>
    <w:rsid w:val="00977AF2"/>
    <w:rsid w:val="00985FC5"/>
    <w:rsid w:val="00993BDD"/>
    <w:rsid w:val="009A6DFB"/>
    <w:rsid w:val="009B6EC0"/>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5AC0"/>
    <w:rsid w:val="00C26030"/>
    <w:rsid w:val="00C41091"/>
    <w:rsid w:val="00C63056"/>
    <w:rsid w:val="00C661D1"/>
    <w:rsid w:val="00C775BA"/>
    <w:rsid w:val="00C85331"/>
    <w:rsid w:val="00C85A50"/>
    <w:rsid w:val="00C94D46"/>
    <w:rsid w:val="00CA443A"/>
    <w:rsid w:val="00CB2461"/>
    <w:rsid w:val="00CB37FD"/>
    <w:rsid w:val="00CC4D65"/>
    <w:rsid w:val="00CC61E7"/>
    <w:rsid w:val="00CD25AD"/>
    <w:rsid w:val="00CD3FFC"/>
    <w:rsid w:val="00CF565C"/>
    <w:rsid w:val="00D016A3"/>
    <w:rsid w:val="00D512E3"/>
    <w:rsid w:val="00D602C9"/>
    <w:rsid w:val="00DA26A9"/>
    <w:rsid w:val="00DB01FF"/>
    <w:rsid w:val="00DC7778"/>
    <w:rsid w:val="00DE7391"/>
    <w:rsid w:val="00DF2DB5"/>
    <w:rsid w:val="00DF6560"/>
    <w:rsid w:val="00E04CC0"/>
    <w:rsid w:val="00E136FF"/>
    <w:rsid w:val="00E32528"/>
    <w:rsid w:val="00E35F26"/>
    <w:rsid w:val="00E53165"/>
    <w:rsid w:val="00E61EF7"/>
    <w:rsid w:val="00E663B4"/>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6884"/>
    <w:rsid w:val="00FE62F3"/>
    <w:rsid w:val="00FF71D2"/>
    <w:rsid w:val="1B2418A5"/>
    <w:rsid w:val="1FBFC074"/>
    <w:rsid w:val="36FB9E1F"/>
    <w:rsid w:val="3BFA3B96"/>
    <w:rsid w:val="3CEF3472"/>
    <w:rsid w:val="3EFF16E9"/>
    <w:rsid w:val="4E7D4A5C"/>
    <w:rsid w:val="77CF73AC"/>
    <w:rsid w:val="78FF0116"/>
    <w:rsid w:val="B7DDD54D"/>
    <w:rsid w:val="E3FFE6ED"/>
    <w:rsid w:val="F5DB8A63"/>
    <w:rsid w:val="F797912E"/>
    <w:rsid w:val="FE7B48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7">
    <w:name w:val="_Style 6"/>
    <w:basedOn w:val="1"/>
    <w:qFormat/>
    <w:uiPriority w:val="34"/>
    <w:pPr>
      <w:ind w:firstLine="420" w:firstLineChars="200"/>
    </w:pPr>
    <w:rPr>
      <w:rFonts w:ascii="Calibri" w:hAnsi="Calibri" w:eastAsia="宋体" w:cs="Times New Roman"/>
      <w:szCs w:val="22"/>
    </w:rPr>
  </w:style>
  <w:style w:type="paragraph" w:customStyle="1" w:styleId="8">
    <w:name w:val="Char Char Char"/>
    <w:basedOn w:val="1"/>
    <w:qFormat/>
    <w:uiPriority w:val="0"/>
    <w:rPr>
      <w:szCs w:val="21"/>
    </w:rPr>
  </w:style>
  <w:style w:type="paragraph" w:customStyle="1" w:styleId="9">
    <w:name w:val="Char Char Char Char Char Char Char Char Char Char Char Char Char Char Char Char"/>
    <w:basedOn w:val="1"/>
    <w:qFormat/>
    <w:uiPriority w:val="0"/>
  </w:style>
  <w:style w:type="paragraph" w:customStyle="1" w:styleId="10">
    <w:name w:val=" Char Char Char"/>
    <w:basedOn w:val="1"/>
    <w:qFormat/>
    <w:uiPriority w:val="0"/>
  </w:style>
  <w:style w:type="character" w:customStyle="1" w:styleId="11">
    <w:name w:val="页脚 Char"/>
    <w:basedOn w:val="6"/>
    <w:link w:val="2"/>
    <w:qFormat/>
    <w:uiPriority w:val="0"/>
    <w:rPr>
      <w:kern w:val="2"/>
      <w:sz w:val="18"/>
      <w:szCs w:val="18"/>
    </w:rPr>
  </w:style>
  <w:style w:type="character" w:customStyle="1" w:styleId="12">
    <w:name w:val="页眉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189</Words>
  <Characters>389</Characters>
  <Lines>60</Lines>
  <Paragraphs>17</Paragraphs>
  <TotalTime>1</TotalTime>
  <ScaleCrop>false</ScaleCrop>
  <LinksUpToDate>false</LinksUpToDate>
  <CharactersWithSpaces>513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2012-09-09T08:59:00Z</dcterms:created>
  <dc:creator>微软用户</dc:creator>
  <cp:lastModifiedBy>11</cp:lastModifiedBy>
  <cp:lastPrinted>2026-07-09T09:05:54Z</cp:lastPrinted>
  <dcterms:modified xsi:type="dcterms:W3CDTF">2026-07-09T09:06:07Z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3378DF92D5494EA79182626F58817F75</vt:lpwstr>
  </property>
</Properties>
</file>