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DE33D">
      <w:pPr>
        <w:widowControl/>
        <w:jc w:val="center"/>
        <w:rPr>
          <w:rFonts w:hint="eastAsia" w:ascii="宋体" w:hAnsi="宋体"/>
          <w:bCs/>
          <w:iCs/>
          <w:color w:val="000000"/>
          <w:sz w:val="24"/>
        </w:rPr>
      </w:pPr>
      <w:bookmarkStart w:id="0" w:name="_Toc515462335"/>
      <w:r>
        <w:rPr>
          <w:rFonts w:hint="eastAsia" w:ascii="宋体" w:hAnsi="宋体"/>
          <w:bCs/>
          <w:iCs/>
          <w:color w:val="000000"/>
          <w:sz w:val="24"/>
        </w:rPr>
        <w:t xml:space="preserve">证券代码：600392  </w:t>
      </w:r>
      <w:r>
        <w:rPr>
          <w:rFonts w:ascii="宋体" w:hAnsi="宋体"/>
          <w:bCs/>
          <w:iCs/>
          <w:color w:val="000000"/>
          <w:sz w:val="24"/>
        </w:rPr>
        <w:t xml:space="preserve">         </w:t>
      </w:r>
      <w:r>
        <w:rPr>
          <w:rFonts w:hint="eastAsia" w:ascii="宋体" w:hAnsi="宋体"/>
          <w:bCs/>
          <w:iCs/>
          <w:color w:val="000000"/>
          <w:sz w:val="24"/>
        </w:rPr>
        <w:t xml:space="preserve">           证券简称：盛和资源</w:t>
      </w:r>
    </w:p>
    <w:p w14:paraId="28F34A71">
      <w:pPr>
        <w:widowControl/>
        <w:jc w:val="center"/>
        <w:rPr>
          <w:rFonts w:hint="eastAsia" w:ascii="宋体" w:hAnsi="宋体"/>
          <w:bCs/>
          <w:iCs/>
          <w:color w:val="000000"/>
          <w:sz w:val="24"/>
        </w:rPr>
      </w:pPr>
    </w:p>
    <w:p w14:paraId="187B9C22">
      <w:pPr>
        <w:widowControl/>
        <w:spacing w:before="312" w:beforeLines="100"/>
        <w:jc w:val="center"/>
        <w:rPr>
          <w:rFonts w:hint="eastAsia" w:ascii="宋体" w:hAnsi="宋体"/>
          <w:bCs/>
          <w:iCs/>
          <w:color w:val="000000"/>
          <w:sz w:val="36"/>
          <w:szCs w:val="36"/>
        </w:rPr>
      </w:pPr>
      <w:r>
        <w:rPr>
          <w:rFonts w:hint="eastAsia" w:ascii="宋体" w:hAnsi="宋体"/>
          <w:bCs/>
          <w:iCs/>
          <w:color w:val="000000"/>
          <w:sz w:val="36"/>
          <w:szCs w:val="36"/>
        </w:rPr>
        <w:t>盛和资源控股股份有限公司</w:t>
      </w:r>
    </w:p>
    <w:p w14:paraId="592177FA">
      <w:pPr>
        <w:widowControl/>
        <w:spacing w:after="312" w:afterLines="100"/>
        <w:jc w:val="center"/>
        <w:rPr>
          <w:rFonts w:hint="eastAsia" w:ascii="宋体" w:hAnsi="宋体"/>
          <w:color w:val="000000"/>
          <w:sz w:val="36"/>
          <w:szCs w:val="36"/>
        </w:rPr>
      </w:pPr>
      <w:r>
        <w:rPr>
          <w:rFonts w:hint="eastAsia" w:ascii="宋体" w:hAnsi="宋体"/>
          <w:bCs/>
          <w:iCs/>
          <w:color w:val="000000"/>
          <w:sz w:val="36"/>
          <w:szCs w:val="36"/>
        </w:rPr>
        <w:t>投资者关系活动记录表</w:t>
      </w:r>
    </w:p>
    <w:p w14:paraId="7404916D">
      <w:pPr>
        <w:spacing w:line="360" w:lineRule="auto"/>
        <w:rPr>
          <w:rFonts w:hint="default" w:ascii="宋体" w:hAnsi="宋体" w:eastAsia="宋体"/>
          <w:bCs/>
          <w:iCs/>
          <w:color w:val="000000"/>
          <w:szCs w:val="21"/>
          <w:highlight w:val="none"/>
          <w:lang w:val="en-US" w:eastAsia="zh-CN"/>
        </w:rPr>
      </w:pPr>
      <w:r>
        <w:rPr>
          <w:rFonts w:ascii="宋体" w:hAnsi="宋体"/>
          <w:bCs/>
          <w:iCs/>
          <w:color w:val="000000"/>
          <w:szCs w:val="21"/>
        </w:rPr>
        <w:t xml:space="preserve">                                                     </w:t>
      </w:r>
      <w:r>
        <w:rPr>
          <w:rFonts w:hint="eastAsia" w:ascii="宋体" w:hAnsi="宋体"/>
          <w:bCs/>
          <w:iCs/>
          <w:color w:val="000000"/>
          <w:szCs w:val="21"/>
        </w:rPr>
        <w:t xml:space="preserve">            </w:t>
      </w:r>
      <w:r>
        <w:rPr>
          <w:rFonts w:ascii="宋体" w:hAnsi="宋体"/>
          <w:bCs/>
          <w:iCs/>
          <w:color w:val="000000"/>
          <w:szCs w:val="21"/>
        </w:rPr>
        <w:t>编号：</w:t>
      </w:r>
      <w:r>
        <w:rPr>
          <w:rFonts w:hint="eastAsia" w:ascii="宋体" w:hAnsi="宋体"/>
          <w:bCs/>
          <w:iCs/>
          <w:color w:val="000000"/>
          <w:szCs w:val="21"/>
        </w:rPr>
        <w:t>2</w:t>
      </w:r>
      <w:r>
        <w:rPr>
          <w:rFonts w:ascii="宋体" w:hAnsi="宋体"/>
          <w:bCs/>
          <w:iCs/>
          <w:color w:val="000000"/>
          <w:szCs w:val="21"/>
        </w:rPr>
        <w:t>02</w:t>
      </w:r>
      <w:r>
        <w:rPr>
          <w:rFonts w:hint="eastAsia" w:ascii="宋体" w:hAnsi="宋体"/>
          <w:bCs/>
          <w:iCs/>
          <w:color w:val="000000"/>
          <w:szCs w:val="21"/>
          <w:lang w:val="en-US" w:eastAsia="zh-CN"/>
        </w:rPr>
        <w:t>6</w:t>
      </w:r>
      <w:r>
        <w:rPr>
          <w:rFonts w:ascii="宋体" w:hAnsi="宋体"/>
          <w:bCs/>
          <w:iCs/>
          <w:color w:val="000000"/>
          <w:szCs w:val="21"/>
        </w:rPr>
        <w:t>-</w:t>
      </w:r>
      <w:r>
        <w:rPr>
          <w:rFonts w:hint="eastAsia" w:ascii="宋体" w:hAnsi="宋体"/>
          <w:bCs/>
          <w:iCs/>
          <w:color w:val="000000"/>
          <w:szCs w:val="21"/>
          <w:highlight w:val="none"/>
          <w:lang w:val="en-US" w:eastAsia="zh-CN"/>
        </w:rPr>
        <w:t>03</w:t>
      </w:r>
    </w:p>
    <w:tbl>
      <w:tblPr>
        <w:tblStyle w:val="10"/>
        <w:tblW w:w="96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7088"/>
      </w:tblGrid>
      <w:tr w14:paraId="2DA1F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Align w:val="center"/>
          </w:tcPr>
          <w:p w14:paraId="6E4BFA1B">
            <w:pPr>
              <w:spacing w:line="360" w:lineRule="auto"/>
              <w:rPr>
                <w:rFonts w:hint="eastAsia" w:ascii="宋体" w:hAnsi="宋体"/>
                <w:b/>
                <w:bCs/>
                <w:iCs/>
                <w:color w:val="000000"/>
                <w:szCs w:val="21"/>
              </w:rPr>
            </w:pPr>
            <w:r>
              <w:rPr>
                <w:rFonts w:ascii="宋体" w:hAnsi="宋体"/>
                <w:b/>
                <w:bCs/>
                <w:iCs/>
                <w:color w:val="000000"/>
                <w:szCs w:val="21"/>
              </w:rPr>
              <w:t>投资者关系活动类别</w:t>
            </w:r>
            <w:r>
              <w:rPr>
                <w:rFonts w:hint="eastAsia" w:ascii="宋体" w:hAnsi="宋体"/>
                <w:b/>
                <w:bCs/>
                <w:iCs/>
                <w:color w:val="000000"/>
                <w:szCs w:val="21"/>
              </w:rPr>
              <w:t>“选中项请打√”</w:t>
            </w:r>
          </w:p>
        </w:tc>
        <w:tc>
          <w:tcPr>
            <w:tcW w:w="7088" w:type="dxa"/>
          </w:tcPr>
          <w:p w14:paraId="73C6D338">
            <w:pPr>
              <w:spacing w:line="360" w:lineRule="auto"/>
              <w:jc w:val="left"/>
              <w:rPr>
                <w:rFonts w:hint="eastAsia" w:ascii="宋体" w:hAnsi="宋体"/>
                <w:bCs/>
                <w:i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Cs w:val="21"/>
                <w:lang w:eastAsia="zh-CN"/>
              </w:rPr>
              <w:t>☑</w:t>
            </w:r>
            <w:r>
              <w:rPr>
                <w:rFonts w:ascii="宋体" w:hAnsi="宋体"/>
                <w:color w:val="000000"/>
                <w:szCs w:val="21"/>
              </w:rPr>
              <w:t xml:space="preserve">特定对象调研   </w:t>
            </w:r>
            <w:r>
              <w:rPr>
                <w:rFonts w:ascii="宋体" w:hAnsi="宋体"/>
                <w:bCs/>
                <w:iCs/>
                <w:color w:val="000000"/>
                <w:szCs w:val="21"/>
              </w:rPr>
              <w:sym w:font="Wingdings 2" w:char="00A3"/>
            </w:r>
            <w:r>
              <w:rPr>
                <w:rFonts w:ascii="宋体" w:hAnsi="宋体"/>
                <w:color w:val="000000"/>
                <w:szCs w:val="21"/>
              </w:rPr>
              <w:t>分析师会议</w:t>
            </w:r>
            <w:r>
              <w:rPr>
                <w:rFonts w:hint="eastAsia" w:ascii="宋体" w:hAnsi="宋体"/>
                <w:bCs/>
                <w:iCs/>
                <w:color w:val="000000"/>
                <w:szCs w:val="21"/>
              </w:rPr>
              <w:t xml:space="preserve">    </w:t>
            </w:r>
            <w:bookmarkStart w:id="1" w:name="OLE_LINK1"/>
            <w:r>
              <w:rPr>
                <w:rFonts w:ascii="宋体" w:hAnsi="宋体"/>
                <w:bCs/>
                <w:iCs/>
                <w:color w:val="000000"/>
                <w:szCs w:val="21"/>
              </w:rPr>
              <w:t>□</w:t>
            </w:r>
            <w:bookmarkEnd w:id="1"/>
            <w:r>
              <w:rPr>
                <w:rFonts w:ascii="宋体" w:hAnsi="宋体"/>
                <w:color w:val="000000"/>
                <w:szCs w:val="21"/>
              </w:rPr>
              <w:t xml:space="preserve">媒体采访 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□</w:t>
            </w:r>
            <w:r>
              <w:rPr>
                <w:rFonts w:ascii="宋体" w:hAnsi="宋体"/>
                <w:color w:val="000000"/>
                <w:szCs w:val="21"/>
              </w:rPr>
              <w:t>业绩说明会</w:t>
            </w:r>
            <w:r>
              <w:rPr>
                <w:rFonts w:hint="eastAsia" w:ascii="宋体" w:hAnsi="宋体"/>
                <w:bCs/>
                <w:iCs/>
                <w:color w:val="000000"/>
                <w:szCs w:val="21"/>
              </w:rPr>
              <w:t xml:space="preserve">          </w:t>
            </w:r>
            <w:r>
              <w:rPr>
                <w:rFonts w:ascii="宋体" w:hAnsi="宋体"/>
                <w:bCs/>
                <w:iCs/>
                <w:color w:val="000000"/>
                <w:szCs w:val="21"/>
              </w:rPr>
              <w:t>□</w:t>
            </w:r>
            <w:r>
              <w:rPr>
                <w:rFonts w:ascii="宋体" w:hAnsi="宋体"/>
                <w:color w:val="000000"/>
                <w:szCs w:val="21"/>
              </w:rPr>
              <w:t xml:space="preserve">新闻发布会     </w:t>
            </w:r>
            <w:r>
              <w:rPr>
                <w:rFonts w:ascii="宋体" w:hAnsi="宋体"/>
                <w:bCs/>
                <w:iCs/>
                <w:color w:val="000000"/>
                <w:szCs w:val="21"/>
              </w:rPr>
              <w:t>□</w:t>
            </w:r>
            <w:r>
              <w:rPr>
                <w:rFonts w:ascii="宋体" w:hAnsi="宋体"/>
                <w:color w:val="000000"/>
                <w:szCs w:val="21"/>
              </w:rPr>
              <w:t>路演活动</w:t>
            </w:r>
            <w:r>
              <w:rPr>
                <w:rFonts w:hint="eastAsia" w:ascii="宋体" w:hAnsi="宋体"/>
                <w:bCs/>
                <w:iCs/>
                <w:color w:val="000000"/>
                <w:szCs w:val="21"/>
              </w:rPr>
              <w:t xml:space="preserve">      </w:t>
            </w:r>
            <w:r>
              <w:rPr>
                <w:rFonts w:ascii="宋体" w:hAnsi="宋体"/>
                <w:bCs/>
                <w:iCs/>
                <w:color w:val="000000"/>
                <w:szCs w:val="21"/>
              </w:rPr>
              <w:t>□</w:t>
            </w:r>
            <w:r>
              <w:rPr>
                <w:rFonts w:ascii="宋体" w:hAnsi="宋体"/>
                <w:color w:val="000000"/>
                <w:szCs w:val="21"/>
              </w:rPr>
              <w:t>现场参观</w:t>
            </w:r>
            <w:r>
              <w:rPr>
                <w:rFonts w:ascii="宋体" w:hAnsi="宋体"/>
                <w:bCs/>
                <w:iCs/>
                <w:color w:val="000000"/>
                <w:szCs w:val="21"/>
              </w:rPr>
              <w:tab/>
            </w:r>
            <w:r>
              <w:rPr>
                <w:rFonts w:hint="eastAsia" w:ascii="宋体" w:hAnsi="宋体"/>
                <w:bCs/>
                <w:iCs/>
                <w:color w:val="000000"/>
                <w:szCs w:val="21"/>
              </w:rPr>
              <w:t xml:space="preserve">   </w:t>
            </w:r>
            <w:r>
              <w:rPr>
                <w:rFonts w:ascii="宋体" w:hAnsi="宋体"/>
                <w:bCs/>
                <w:iCs/>
                <w:color w:val="000000"/>
                <w:szCs w:val="21"/>
              </w:rPr>
              <w:sym w:font="Wingdings 2" w:char="00A3"/>
            </w:r>
            <w:r>
              <w:rPr>
                <w:rFonts w:ascii="宋体" w:hAnsi="宋体"/>
                <w:color w:val="000000"/>
                <w:szCs w:val="21"/>
              </w:rPr>
              <w:t>其他</w:t>
            </w:r>
            <w:r>
              <w:rPr>
                <w:rFonts w:hint="eastAsia" w:ascii="宋体" w:hAnsi="宋体"/>
                <w:color w:val="000000"/>
                <w:szCs w:val="21"/>
              </w:rPr>
              <w:t>（电话</w:t>
            </w:r>
            <w:r>
              <w:rPr>
                <w:rFonts w:ascii="宋体" w:hAnsi="宋体"/>
                <w:color w:val="000000"/>
                <w:szCs w:val="21"/>
              </w:rPr>
              <w:t>会议</w:t>
            </w:r>
            <w:r>
              <w:rPr>
                <w:rFonts w:hint="eastAsia" w:ascii="宋体" w:hAnsi="宋体"/>
                <w:color w:val="000000"/>
                <w:szCs w:val="21"/>
              </w:rPr>
              <w:t>）</w:t>
            </w:r>
          </w:p>
        </w:tc>
      </w:tr>
      <w:tr w14:paraId="69FC5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547" w:type="dxa"/>
            <w:vAlign w:val="center"/>
          </w:tcPr>
          <w:p w14:paraId="3A8563EC"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iCs/>
                <w:color w:val="000000"/>
                <w:szCs w:val="21"/>
              </w:rPr>
            </w:pPr>
            <w:r>
              <w:rPr>
                <w:rFonts w:ascii="宋体" w:hAnsi="宋体"/>
                <w:b/>
                <w:bCs/>
                <w:iCs/>
                <w:color w:val="000000"/>
                <w:szCs w:val="21"/>
              </w:rPr>
              <w:t>参与单位名称</w:t>
            </w:r>
          </w:p>
        </w:tc>
        <w:tc>
          <w:tcPr>
            <w:tcW w:w="7088" w:type="dxa"/>
            <w:vAlign w:val="center"/>
          </w:tcPr>
          <w:p w14:paraId="7BD554DA">
            <w:pPr>
              <w:spacing w:line="276" w:lineRule="auto"/>
              <w:rPr>
                <w:rFonts w:hint="default" w:ascii="宋体" w:hAnsi="宋体"/>
                <w:bCs/>
                <w:i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Cs w:val="21"/>
                <w:lang w:val="en-US" w:eastAsia="zh-CN"/>
              </w:rPr>
              <w:t>华源证券、广发证券、华创证券、长江证券、国盛证券、长城证券、国开证券、浙商证券、东方财富证券、麦高证券、国联民生证券、银河证券、中泰证券、泰康资产、南方基金、汇添富基金、平安基金、华夏基金、易方达基金、华安基金、长城基金、上善如是基金、飞马投资、百年保险、博道基金、国联基金、星石投资、融通基金、华能贵诚信托、旭日盛德、紫金保险、伟星资本、百泉汇中、广东金能资本、尚善资产、宽裕资产</w:t>
            </w:r>
          </w:p>
        </w:tc>
      </w:tr>
      <w:tr w14:paraId="3EED0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Align w:val="center"/>
          </w:tcPr>
          <w:p w14:paraId="10F336D4"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iCs/>
                <w:color w:val="000000"/>
                <w:szCs w:val="21"/>
              </w:rPr>
            </w:pPr>
            <w:r>
              <w:rPr>
                <w:rFonts w:ascii="宋体" w:hAnsi="宋体"/>
                <w:b/>
                <w:bCs/>
                <w:iCs/>
                <w:color w:val="000000"/>
                <w:szCs w:val="21"/>
              </w:rPr>
              <w:t>时间</w:t>
            </w:r>
          </w:p>
        </w:tc>
        <w:tc>
          <w:tcPr>
            <w:tcW w:w="7088" w:type="dxa"/>
            <w:vAlign w:val="center"/>
          </w:tcPr>
          <w:p w14:paraId="5D8B2A92">
            <w:pPr>
              <w:spacing w:line="276" w:lineRule="auto"/>
              <w:rPr>
                <w:rFonts w:hint="default" w:ascii="宋体" w:hAnsi="宋体" w:eastAsia="宋体"/>
                <w:bCs/>
                <w:iCs/>
                <w:color w:val="000000"/>
                <w:szCs w:val="21"/>
                <w:lang w:val="en-US" w:eastAsia="zh-CN"/>
              </w:rPr>
            </w:pPr>
            <w:r>
              <w:rPr>
                <w:rFonts w:ascii="宋体" w:hAnsi="宋体"/>
                <w:bCs/>
                <w:iCs/>
                <w:color w:val="000000"/>
                <w:szCs w:val="21"/>
              </w:rPr>
              <w:t>202</w:t>
            </w:r>
            <w:r>
              <w:rPr>
                <w:rFonts w:hint="eastAsia" w:ascii="宋体" w:hAnsi="宋体"/>
                <w:bCs/>
                <w:iCs/>
                <w:color w:val="000000"/>
                <w:szCs w:val="21"/>
                <w:lang w:val="en-US" w:eastAsia="zh-CN"/>
              </w:rPr>
              <w:t>6年6月</w:t>
            </w:r>
          </w:p>
        </w:tc>
      </w:tr>
      <w:tr w14:paraId="440FD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Align w:val="center"/>
          </w:tcPr>
          <w:p w14:paraId="275D1681"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i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iCs/>
                <w:color w:val="000000"/>
                <w:szCs w:val="21"/>
              </w:rPr>
              <w:t>地点</w:t>
            </w:r>
          </w:p>
        </w:tc>
        <w:tc>
          <w:tcPr>
            <w:tcW w:w="7088" w:type="dxa"/>
            <w:vAlign w:val="center"/>
          </w:tcPr>
          <w:p w14:paraId="39351267">
            <w:pPr>
              <w:spacing w:line="276" w:lineRule="auto"/>
              <w:rPr>
                <w:rFonts w:hint="default" w:ascii="宋体" w:hAnsi="宋体" w:eastAsia="宋体"/>
                <w:bCs/>
                <w:i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Cs w:val="21"/>
                <w:lang w:val="en-US" w:eastAsia="zh-CN"/>
              </w:rPr>
              <w:t>公司会议室</w:t>
            </w:r>
          </w:p>
        </w:tc>
      </w:tr>
      <w:tr w14:paraId="73B2E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Align w:val="center"/>
          </w:tcPr>
          <w:p w14:paraId="2E565A95"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iCs/>
                <w:color w:val="000000"/>
                <w:szCs w:val="21"/>
              </w:rPr>
            </w:pPr>
            <w:r>
              <w:rPr>
                <w:rFonts w:ascii="宋体" w:hAnsi="宋体"/>
                <w:b/>
                <w:bCs/>
                <w:iCs/>
                <w:color w:val="000000"/>
                <w:szCs w:val="21"/>
              </w:rPr>
              <w:t>上市公司接待人员姓名</w:t>
            </w:r>
          </w:p>
        </w:tc>
        <w:tc>
          <w:tcPr>
            <w:tcW w:w="7088" w:type="dxa"/>
            <w:vAlign w:val="center"/>
          </w:tcPr>
          <w:p w14:paraId="697FFD06">
            <w:pPr>
              <w:spacing w:line="276" w:lineRule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董事、副总经理、董事会秘书：郭晓雷 </w:t>
            </w:r>
          </w:p>
          <w:p w14:paraId="0E5F3186">
            <w:pPr>
              <w:spacing w:line="276" w:lineRule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投资者关系总监：孙宇翔</w:t>
            </w:r>
          </w:p>
          <w:p w14:paraId="41DDC3F2">
            <w:pPr>
              <w:spacing w:line="276" w:lineRule="auto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证券部经理、证券事务代表：陈冬梅</w:t>
            </w:r>
          </w:p>
          <w:p w14:paraId="03078682">
            <w:pPr>
              <w:spacing w:line="276" w:lineRule="auto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证券部副经理：王尧</w:t>
            </w:r>
          </w:p>
        </w:tc>
      </w:tr>
      <w:tr w14:paraId="2D415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Align w:val="center"/>
          </w:tcPr>
          <w:p w14:paraId="328CCB7C">
            <w:pPr>
              <w:spacing w:before="156" w:beforeLines="50"/>
              <w:ind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调研</w:t>
            </w:r>
            <w:r>
              <w:rPr>
                <w:rFonts w:ascii="宋体" w:hAnsi="宋体"/>
              </w:rPr>
              <w:t>主要内容介绍</w:t>
            </w:r>
          </w:p>
          <w:p w14:paraId="5E672FAF">
            <w:pPr>
              <w:spacing w:before="156" w:beforeLines="50"/>
              <w:ind w:firstLine="420" w:firstLineChars="200"/>
              <w:rPr>
                <w:rFonts w:hint="eastAsia" w:ascii="宋体" w:hAnsi="宋体"/>
              </w:rPr>
            </w:pPr>
          </w:p>
        </w:tc>
        <w:tc>
          <w:tcPr>
            <w:tcW w:w="7088" w:type="dxa"/>
          </w:tcPr>
          <w:p w14:paraId="2DD5B5AE">
            <w:pPr>
              <w:spacing w:before="156" w:beforeLines="50"/>
              <w:ind w:firstLine="420" w:firstLineChars="200"/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1、如何看待稀土产业政策的新变化？</w:t>
            </w:r>
          </w:p>
          <w:p w14:paraId="2DB9768E">
            <w:pPr>
              <w:spacing w:before="156" w:beforeLines="50"/>
              <w:ind w:firstLine="420" w:firstLineChars="200"/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答：随着《稀土管理条例》和《稀土开采和稀土冶炼分离总量调控管理办法》等配套制度生效实施，我国稀土行业进入了全口径管控和全流程追溯的精细化调控新阶段。严格的稀土开采和冶炼分离总量调控制度，以及首次将进口稀土矿冶炼分离纳入总量调控体系的制度安排，使得国内稀土产业的供给端更加有序、规范、刚性，并助推稀土及相关产业链高质量、可持续发展。</w:t>
            </w:r>
          </w:p>
          <w:p w14:paraId="6DD49164">
            <w:pPr>
              <w:spacing w:before="156" w:beforeLines="50"/>
              <w:ind w:firstLine="420" w:firstLineChars="200"/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2、</w:t>
            </w:r>
            <w:r>
              <w:rPr>
                <w:rFonts w:hint="eastAsia" w:ascii="宋体" w:hAnsi="宋体" w:cs="宋体"/>
                <w:b w:val="0"/>
                <w:bCs w:val="0"/>
                <w:lang w:val="en-US" w:eastAsia="zh-CN"/>
              </w:rPr>
              <w:t>公司稀土产品在战略新兴领域的应用情况</w:t>
            </w: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？</w:t>
            </w:r>
          </w:p>
          <w:p w14:paraId="07FD94C0">
            <w:pPr>
              <w:spacing w:before="156" w:beforeLines="50"/>
              <w:ind w:firstLine="420" w:firstLineChars="200"/>
              <w:rPr>
                <w:rFonts w:hint="default" w:ascii="宋体" w:hAnsi="宋体" w:cs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答：</w:t>
            </w:r>
            <w:r>
              <w:rPr>
                <w:rFonts w:hint="eastAsia" w:ascii="宋体" w:hAnsi="宋体" w:cs="宋体"/>
                <w:b w:val="0"/>
                <w:bCs w:val="0"/>
                <w:lang w:val="en-US" w:eastAsia="zh-CN"/>
              </w:rPr>
              <w:t>稀土是重要的战略矿产资源，稀土功能材料是列入国家《战略性新兴产业重点产品和服务指导目录（2016年版）》的战略性新兴行业。因稀土元素具有丰富的磁、光、电等特性，可用于永磁、催化、储氢、抛光、精密陶瓷、荧光、激光、光导纤维等新材料，稀土在新能源、新材料、节能环保、航空航天、军工、电子信息等领域的应用日益广泛。公司具备生产多种规格单一稀土氧化物、稀土化合物及稀土金属产品的能力，并根据市场需求开发、供应个性化产品。</w:t>
            </w:r>
          </w:p>
          <w:p w14:paraId="3F02432D">
            <w:pPr>
              <w:spacing w:before="156" w:beforeLines="50"/>
              <w:ind w:firstLine="420" w:firstLineChars="200"/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、</w:t>
            </w:r>
            <w:r>
              <w:rPr>
                <w:rFonts w:hint="eastAsia" w:ascii="宋体" w:hAnsi="宋体" w:cs="宋体"/>
                <w:b w:val="0"/>
                <w:bCs w:val="0"/>
                <w:lang w:val="en-US" w:eastAsia="zh-CN"/>
              </w:rPr>
              <w:t>坦桑尼亚Fungoni锆钛矿项目的资源禀赋及运行情况</w:t>
            </w: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？</w:t>
            </w:r>
          </w:p>
          <w:p w14:paraId="67348576">
            <w:pPr>
              <w:spacing w:before="156" w:beforeLines="50"/>
              <w:ind w:firstLine="420" w:firstLineChars="200"/>
              <w:rPr>
                <w:rFonts w:hint="eastAsia" w:ascii="宋体" w:hAnsi="宋体" w:cs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答：</w:t>
            </w:r>
            <w:r>
              <w:rPr>
                <w:rFonts w:hint="eastAsia" w:ascii="宋体" w:hAnsi="宋体" w:cs="宋体"/>
                <w:b w:val="0"/>
                <w:bCs w:val="0"/>
                <w:lang w:val="en-US" w:eastAsia="zh-CN"/>
              </w:rPr>
              <w:t>Fungoni锆钛矿项目保有矿石资源量2200万吨，矿石储量1230万吨、重矿物平均品位3.9%；经过建设，该项目运行产能已提升至15万吨重矿物/年，重砂矿已实现稳定产出。</w:t>
            </w:r>
          </w:p>
          <w:p w14:paraId="5F2059EF">
            <w:pPr>
              <w:spacing w:before="156" w:beforeLines="50"/>
              <w:ind w:firstLine="420" w:firstLineChars="200"/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、</w:t>
            </w:r>
            <w:r>
              <w:rPr>
                <w:rFonts w:hint="eastAsia" w:ascii="宋体" w:hAnsi="宋体" w:cs="宋体"/>
                <w:b w:val="0"/>
                <w:bCs w:val="0"/>
                <w:lang w:val="en-US" w:eastAsia="zh-CN"/>
              </w:rPr>
              <w:t>锆英砂产品的市场行情如何</w:t>
            </w: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？</w:t>
            </w:r>
          </w:p>
          <w:p w14:paraId="0A8034D6">
            <w:pPr>
              <w:spacing w:before="156" w:beforeLines="50"/>
              <w:ind w:firstLine="420" w:firstLineChars="200"/>
              <w:rPr>
                <w:rFonts w:hint="default" w:ascii="宋体" w:hAnsi="宋体" w:cs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答：</w:t>
            </w:r>
            <w:r>
              <w:rPr>
                <w:rFonts w:hint="eastAsia" w:ascii="宋体" w:hAnsi="宋体" w:cs="宋体"/>
                <w:b w:val="0"/>
                <w:bCs w:val="0"/>
                <w:lang w:val="en-US" w:eastAsia="zh-CN"/>
              </w:rPr>
              <w:t>今年以来，受供需格局边际改善等积极因素影响，锆英砂价格运行呈现底部企稳回升特征（根据亚洲金属网统计数据，截至6月末，锆英砂(Zr(Hf)O</w:t>
            </w:r>
            <w:r>
              <w:rPr>
                <w:rFonts w:hint="eastAsia" w:ascii="宋体" w:hAnsi="宋体" w:cs="宋体"/>
                <w:b w:val="0"/>
                <w:bCs w:val="0"/>
                <w:vertAlign w:val="sub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 w:val="0"/>
                <w:bCs w:val="0"/>
                <w:lang w:val="en-US" w:eastAsia="zh-CN"/>
              </w:rPr>
              <w:t xml:space="preserve"> 60%)国内出厂价较年初上涨8.4%、较上半年低点上涨11.0%，预计将对公司业绩产生一定的积极影响。</w:t>
            </w:r>
          </w:p>
          <w:p w14:paraId="39932515">
            <w:pPr>
              <w:spacing w:before="156" w:beforeLines="50"/>
              <w:ind w:firstLine="420" w:firstLineChars="200"/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、公司</w:t>
            </w:r>
            <w:r>
              <w:rPr>
                <w:rFonts w:hint="eastAsia" w:ascii="宋体" w:hAnsi="宋体" w:cs="宋体"/>
                <w:b w:val="0"/>
                <w:bCs w:val="0"/>
                <w:lang w:val="en-US" w:eastAsia="zh-CN"/>
              </w:rPr>
              <w:t>锆钛业务的后续发展规划</w:t>
            </w: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？</w:t>
            </w:r>
          </w:p>
          <w:p w14:paraId="018A032F">
            <w:pPr>
              <w:spacing w:before="156" w:beforeLines="50"/>
              <w:ind w:firstLine="420" w:firstLineChars="200"/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答：根据公司发布的《2026-2028年发展规划》，锆钛业务板块作为第二大核心业务，将坚持“国内提质、海外拓量、下游延伸”发展战略。海外重点推进两大项目：坦桑尼亚尼亚提重砂矿项目，2026年扩产至30万吨/年重矿物精矿产能，2028年达到50万吨/年重矿物精矿产能；马达加斯加重砂矿，2026年完成首采区建设准备，2027年实现首批重矿物精矿出产，2028年达到100万吨/年重矿物精矿产能。此外，探索锆钛深加工，拓展国内外销售渠道，下游聚焦陶瓷、核电、新能源等场景，重点布局核级海绵锆、锆基合金，挖掘航空航天、新能源电池等新兴应用潜力，培育增长新动力。</w:t>
            </w:r>
          </w:p>
          <w:p w14:paraId="44A793D4">
            <w:pPr>
              <w:spacing w:before="156" w:beforeLines="50"/>
              <w:ind w:firstLine="420" w:firstLineChars="200"/>
              <w:rPr>
                <w:rFonts w:hint="eastAsia" w:ascii="宋体" w:hAnsi="宋体" w:cs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lang w:val="en-US" w:eastAsia="zh-CN"/>
              </w:rPr>
              <w:t>6、公司后续对于创新研发的规划是怎样的？</w:t>
            </w:r>
          </w:p>
          <w:p w14:paraId="6F757416">
            <w:pPr>
              <w:spacing w:before="156" w:beforeLines="50"/>
              <w:ind w:firstLine="420" w:firstLineChars="200"/>
              <w:rPr>
                <w:rFonts w:hint="default" w:cs="Times New Roman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lang w:val="en-US" w:eastAsia="zh-CN"/>
              </w:rPr>
              <w:t>答：</w:t>
            </w: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根据公司发布的《2026-2028年发展规划》，</w:t>
            </w:r>
            <w:r>
              <w:rPr>
                <w:rFonts w:hint="eastAsia" w:ascii="宋体" w:hAnsi="宋体" w:cs="宋体"/>
                <w:b w:val="0"/>
                <w:bCs w:val="0"/>
                <w:lang w:val="en-US" w:eastAsia="zh-CN"/>
              </w:rPr>
              <w:t>公司将以技术突破引领产业升级，构建高端化、高纯化、绿色化、智能化的科技创新体系。聚焦6N级超高纯氧化钇等超高纯稀土及纳米级材料研发，突破高端超高纯稀土氧化物制备“卡脖子”关键技术，实现高纯稀土材料规模化生产。攻坚传统稀土冶炼工艺难题，研发并形成新一代轻稀土混合精矿绿色高效冶炼技术，大幅降低能耗与污染物排放，显著提升稀土及伴生非稀土资源综合回收率，实现绿色低碳与经济效益双赢。推进智能制造与数字化升级，在冶炼分离、选矿、深加工环节推广智能装备与在线管控系统，提升生产稳定性、产品一致性与运营效率。通过全链条技术赋能，推动公司从资源型企业向技术引领型资源企业转型</w:t>
            </w: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。</w:t>
            </w:r>
          </w:p>
        </w:tc>
      </w:tr>
      <w:tr w14:paraId="63FA0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Align w:val="center"/>
          </w:tcPr>
          <w:p w14:paraId="3E908EEA"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i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iCs/>
                <w:color w:val="000000"/>
                <w:szCs w:val="21"/>
              </w:rPr>
              <w:t xml:space="preserve"> </w:t>
            </w:r>
            <w:r>
              <w:rPr>
                <w:rFonts w:ascii="宋体" w:hAnsi="宋体"/>
                <w:b/>
                <w:bCs/>
                <w:iCs/>
                <w:color w:val="000000"/>
                <w:szCs w:val="21"/>
              </w:rPr>
              <w:t>附件清单（如有）</w:t>
            </w:r>
          </w:p>
        </w:tc>
        <w:tc>
          <w:tcPr>
            <w:tcW w:w="7088" w:type="dxa"/>
          </w:tcPr>
          <w:p w14:paraId="4AC789B0">
            <w:pPr>
              <w:spacing w:line="360" w:lineRule="auto"/>
              <w:ind w:firstLine="105" w:firstLineChars="50"/>
              <w:jc w:val="center"/>
              <w:rPr>
                <w:rFonts w:hint="eastAsia" w:ascii="宋体" w:hAnsi="宋体"/>
                <w:bCs/>
                <w:i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Cs w:val="21"/>
              </w:rPr>
              <w:t>无</w:t>
            </w:r>
          </w:p>
        </w:tc>
      </w:tr>
      <w:tr w14:paraId="5FCF1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Align w:val="center"/>
          </w:tcPr>
          <w:p w14:paraId="09F4BB5B"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iCs/>
                <w:color w:val="000000"/>
                <w:szCs w:val="21"/>
              </w:rPr>
            </w:pPr>
            <w:r>
              <w:rPr>
                <w:rFonts w:ascii="宋体" w:hAnsi="宋体"/>
                <w:b/>
                <w:bCs/>
                <w:iCs/>
                <w:color w:val="000000"/>
                <w:szCs w:val="21"/>
              </w:rPr>
              <w:t>日期</w:t>
            </w:r>
          </w:p>
        </w:tc>
        <w:tc>
          <w:tcPr>
            <w:tcW w:w="7088" w:type="dxa"/>
          </w:tcPr>
          <w:p w14:paraId="0CC43FC5">
            <w:pPr>
              <w:spacing w:line="360" w:lineRule="auto"/>
              <w:jc w:val="center"/>
              <w:rPr>
                <w:rFonts w:hint="eastAsia" w:ascii="宋体" w:hAnsi="宋体"/>
                <w:bCs/>
                <w:iCs/>
                <w:color w:val="000000"/>
                <w:szCs w:val="21"/>
              </w:rPr>
            </w:pPr>
            <w:r>
              <w:rPr>
                <w:rFonts w:ascii="宋体" w:hAnsi="宋体"/>
                <w:bCs/>
                <w:iCs/>
                <w:color w:val="000000"/>
                <w:szCs w:val="21"/>
              </w:rPr>
              <w:t>202</w:t>
            </w:r>
            <w:r>
              <w:rPr>
                <w:rFonts w:hint="eastAsia" w:ascii="宋体" w:hAnsi="宋体"/>
                <w:bCs/>
                <w:iCs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bCs/>
                <w:iCs/>
                <w:color w:val="000000"/>
                <w:szCs w:val="21"/>
              </w:rPr>
              <w:t>年</w:t>
            </w:r>
            <w:r>
              <w:rPr>
                <w:rFonts w:hint="eastAsia" w:ascii="宋体" w:hAnsi="宋体"/>
                <w:bCs/>
                <w:iCs/>
                <w:color w:val="00000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/>
                <w:bCs/>
                <w:iCs/>
                <w:color w:val="000000"/>
                <w:szCs w:val="21"/>
              </w:rPr>
              <w:t>月</w:t>
            </w:r>
            <w:r>
              <w:rPr>
                <w:rFonts w:hint="eastAsia" w:ascii="宋体" w:hAnsi="宋体"/>
                <w:bCs/>
                <w:iCs/>
                <w:color w:val="000000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/>
                <w:bCs/>
                <w:iCs/>
                <w:color w:val="000000"/>
                <w:szCs w:val="21"/>
              </w:rPr>
              <w:t>日</w:t>
            </w:r>
          </w:p>
        </w:tc>
      </w:tr>
      <w:bookmarkEnd w:id="0"/>
    </w:tbl>
    <w:p w14:paraId="264E70DC">
      <w:pPr>
        <w:widowControl/>
        <w:jc w:val="left"/>
        <w:rPr>
          <w:rFonts w:hint="eastAsia" w:ascii="仿宋" w:hAnsi="仿宋" w:eastAsia="仿宋"/>
          <w:sz w:val="28"/>
          <w:szCs w:val="28"/>
        </w:rPr>
      </w:pPr>
      <w:bookmarkStart w:id="2" w:name="_GoBack"/>
      <w:bookmarkEnd w:id="2"/>
    </w:p>
    <w:sectPr>
      <w:footerReference r:id="rId5" w:type="default"/>
      <w:footerReference r:id="rId6" w:type="even"/>
      <w:pgSz w:w="11906" w:h="16838"/>
      <w:pgMar w:top="1701" w:right="1797" w:bottom="1134" w:left="1797" w:header="851" w:footer="992" w:gutter="0"/>
      <w:cols w:space="720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7E2BE8">
    <w:pPr>
      <w:pStyle w:val="7"/>
      <w:framePr w:wrap="around" w:vAnchor="text" w:hAnchor="margin" w:xAlign="center" w:y="1"/>
      <w:rPr>
        <w:rStyle w:val="14"/>
        <w:rFonts w:hint="eastAsia" w:ascii="宋体" w:hAnsi="宋体"/>
        <w:sz w:val="28"/>
        <w:szCs w:val="28"/>
      </w:rPr>
    </w:pPr>
    <w:r>
      <w:rPr>
        <w:rStyle w:val="14"/>
        <w:rFonts w:hint="eastAsia" w:ascii="宋体" w:hAnsi="宋体"/>
        <w:sz w:val="28"/>
        <w:szCs w:val="28"/>
      </w:rPr>
      <w:t>—</w:t>
    </w:r>
    <w:r>
      <w:rPr>
        <w:rFonts w:hint="eastAsia" w:ascii="宋体" w:hAnsi="宋体"/>
        <w:sz w:val="28"/>
        <w:szCs w:val="28"/>
      </w:rPr>
      <w:fldChar w:fldCharType="begin"/>
    </w:r>
    <w:r>
      <w:rPr>
        <w:rStyle w:val="14"/>
        <w:rFonts w:hint="eastAsia" w:ascii="宋体" w:hAnsi="宋体"/>
        <w:sz w:val="28"/>
        <w:szCs w:val="28"/>
      </w:rPr>
      <w:instrText xml:space="preserve">PAGE  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Style w:val="14"/>
        <w:rFonts w:ascii="宋体" w:hAnsi="宋体"/>
        <w:sz w:val="28"/>
        <w:szCs w:val="28"/>
      </w:rPr>
      <w:t>2</w:t>
    </w:r>
    <w:r>
      <w:rPr>
        <w:rFonts w:hint="eastAsia" w:ascii="宋体" w:hAnsi="宋体"/>
        <w:sz w:val="28"/>
        <w:szCs w:val="28"/>
      </w:rPr>
      <w:fldChar w:fldCharType="end"/>
    </w:r>
    <w:r>
      <w:rPr>
        <w:rStyle w:val="14"/>
        <w:rFonts w:hint="eastAsia" w:ascii="宋体" w:hAnsi="宋体"/>
        <w:sz w:val="28"/>
        <w:szCs w:val="28"/>
      </w:rPr>
      <w:t>—</w:t>
    </w:r>
  </w:p>
  <w:p w14:paraId="16671FD4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628579">
    <w:pPr>
      <w:pStyle w:val="7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 w14:paraId="7FA730D8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5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3YWU0ODljM2NmZjU5OGNmMjFkOGY5YmJkOTk2ODUifQ=="/>
  </w:docVars>
  <w:rsids>
    <w:rsidRoot w:val="00953981"/>
    <w:rsid w:val="0001203A"/>
    <w:rsid w:val="00013509"/>
    <w:rsid w:val="00036947"/>
    <w:rsid w:val="000532C1"/>
    <w:rsid w:val="000550EB"/>
    <w:rsid w:val="0007285A"/>
    <w:rsid w:val="000731BB"/>
    <w:rsid w:val="00081574"/>
    <w:rsid w:val="000A4871"/>
    <w:rsid w:val="000A6FEC"/>
    <w:rsid w:val="000B37B1"/>
    <w:rsid w:val="000B620F"/>
    <w:rsid w:val="000B7E1C"/>
    <w:rsid w:val="000D7761"/>
    <w:rsid w:val="00126512"/>
    <w:rsid w:val="00176F31"/>
    <w:rsid w:val="00177EC3"/>
    <w:rsid w:val="00180568"/>
    <w:rsid w:val="001A04B5"/>
    <w:rsid w:val="001A09A4"/>
    <w:rsid w:val="001C1D99"/>
    <w:rsid w:val="001F4540"/>
    <w:rsid w:val="002001C1"/>
    <w:rsid w:val="00214702"/>
    <w:rsid w:val="0023626F"/>
    <w:rsid w:val="00273F00"/>
    <w:rsid w:val="00295305"/>
    <w:rsid w:val="002B7B99"/>
    <w:rsid w:val="002E1978"/>
    <w:rsid w:val="002F790C"/>
    <w:rsid w:val="0031359B"/>
    <w:rsid w:val="003543E6"/>
    <w:rsid w:val="003635FB"/>
    <w:rsid w:val="003751F0"/>
    <w:rsid w:val="003E0D6D"/>
    <w:rsid w:val="003F075D"/>
    <w:rsid w:val="00431FFB"/>
    <w:rsid w:val="004460E0"/>
    <w:rsid w:val="004C55DA"/>
    <w:rsid w:val="004D4ECC"/>
    <w:rsid w:val="004E149C"/>
    <w:rsid w:val="004E7079"/>
    <w:rsid w:val="004F5FC7"/>
    <w:rsid w:val="00503F30"/>
    <w:rsid w:val="00593A9B"/>
    <w:rsid w:val="005B097F"/>
    <w:rsid w:val="005B151D"/>
    <w:rsid w:val="005C1E93"/>
    <w:rsid w:val="005F33F1"/>
    <w:rsid w:val="0060780A"/>
    <w:rsid w:val="00621A53"/>
    <w:rsid w:val="006401DD"/>
    <w:rsid w:val="00650410"/>
    <w:rsid w:val="00656C48"/>
    <w:rsid w:val="00676A4E"/>
    <w:rsid w:val="00681D44"/>
    <w:rsid w:val="006924FD"/>
    <w:rsid w:val="006D761D"/>
    <w:rsid w:val="007549ED"/>
    <w:rsid w:val="0077568A"/>
    <w:rsid w:val="007A7D5B"/>
    <w:rsid w:val="007C2390"/>
    <w:rsid w:val="007C5823"/>
    <w:rsid w:val="007D4949"/>
    <w:rsid w:val="007E1E56"/>
    <w:rsid w:val="007E4551"/>
    <w:rsid w:val="007E7F4E"/>
    <w:rsid w:val="007F5049"/>
    <w:rsid w:val="007F51F0"/>
    <w:rsid w:val="00814133"/>
    <w:rsid w:val="008359E8"/>
    <w:rsid w:val="00836509"/>
    <w:rsid w:val="00871D04"/>
    <w:rsid w:val="0089239A"/>
    <w:rsid w:val="008C3B4A"/>
    <w:rsid w:val="008C44AA"/>
    <w:rsid w:val="008D5F92"/>
    <w:rsid w:val="008F346F"/>
    <w:rsid w:val="00905BC4"/>
    <w:rsid w:val="009456A9"/>
    <w:rsid w:val="00953981"/>
    <w:rsid w:val="009628D4"/>
    <w:rsid w:val="00992AD5"/>
    <w:rsid w:val="009B0861"/>
    <w:rsid w:val="009F4110"/>
    <w:rsid w:val="009F45A2"/>
    <w:rsid w:val="00A05D19"/>
    <w:rsid w:val="00A103B1"/>
    <w:rsid w:val="00A130E2"/>
    <w:rsid w:val="00A30EA4"/>
    <w:rsid w:val="00A46045"/>
    <w:rsid w:val="00A540D5"/>
    <w:rsid w:val="00A903B2"/>
    <w:rsid w:val="00AA3A2F"/>
    <w:rsid w:val="00AB65AE"/>
    <w:rsid w:val="00AC431B"/>
    <w:rsid w:val="00AE0CFB"/>
    <w:rsid w:val="00AE58F2"/>
    <w:rsid w:val="00AF6245"/>
    <w:rsid w:val="00B0411F"/>
    <w:rsid w:val="00B10F99"/>
    <w:rsid w:val="00B22C28"/>
    <w:rsid w:val="00B23358"/>
    <w:rsid w:val="00B34641"/>
    <w:rsid w:val="00B61496"/>
    <w:rsid w:val="00B61558"/>
    <w:rsid w:val="00B943F5"/>
    <w:rsid w:val="00BB0618"/>
    <w:rsid w:val="00BC283B"/>
    <w:rsid w:val="00BE138D"/>
    <w:rsid w:val="00BF20BB"/>
    <w:rsid w:val="00C00ED0"/>
    <w:rsid w:val="00C037C8"/>
    <w:rsid w:val="00C125C5"/>
    <w:rsid w:val="00C3495A"/>
    <w:rsid w:val="00C40C24"/>
    <w:rsid w:val="00C655A8"/>
    <w:rsid w:val="00C73011"/>
    <w:rsid w:val="00C74CFE"/>
    <w:rsid w:val="00C8030F"/>
    <w:rsid w:val="00CC0983"/>
    <w:rsid w:val="00CE0A43"/>
    <w:rsid w:val="00CE6605"/>
    <w:rsid w:val="00D03E6A"/>
    <w:rsid w:val="00D0557B"/>
    <w:rsid w:val="00D15A3A"/>
    <w:rsid w:val="00D16C08"/>
    <w:rsid w:val="00D23B76"/>
    <w:rsid w:val="00D346BD"/>
    <w:rsid w:val="00D35C68"/>
    <w:rsid w:val="00D41450"/>
    <w:rsid w:val="00D53AA6"/>
    <w:rsid w:val="00D5647D"/>
    <w:rsid w:val="00D70AE6"/>
    <w:rsid w:val="00D74D49"/>
    <w:rsid w:val="00DA7E5B"/>
    <w:rsid w:val="00DB45D0"/>
    <w:rsid w:val="00DE22B5"/>
    <w:rsid w:val="00E62C0E"/>
    <w:rsid w:val="00E877F5"/>
    <w:rsid w:val="00E91845"/>
    <w:rsid w:val="00E92BDF"/>
    <w:rsid w:val="00EA062D"/>
    <w:rsid w:val="00EC0E1C"/>
    <w:rsid w:val="00EC289B"/>
    <w:rsid w:val="00ED31BF"/>
    <w:rsid w:val="00F273B8"/>
    <w:rsid w:val="00F4436E"/>
    <w:rsid w:val="00F536E6"/>
    <w:rsid w:val="00F619A6"/>
    <w:rsid w:val="00F72C4E"/>
    <w:rsid w:val="00F958D0"/>
    <w:rsid w:val="00FA38A8"/>
    <w:rsid w:val="00FA7A09"/>
    <w:rsid w:val="00FB5270"/>
    <w:rsid w:val="00FD2C33"/>
    <w:rsid w:val="035E62A9"/>
    <w:rsid w:val="0C1C4875"/>
    <w:rsid w:val="0E9771F2"/>
    <w:rsid w:val="0ECB5A9B"/>
    <w:rsid w:val="115D3D0D"/>
    <w:rsid w:val="1E38504E"/>
    <w:rsid w:val="222A111F"/>
    <w:rsid w:val="28A91541"/>
    <w:rsid w:val="2C0B44D1"/>
    <w:rsid w:val="2DD8111C"/>
    <w:rsid w:val="31B04883"/>
    <w:rsid w:val="36C22E36"/>
    <w:rsid w:val="3878105D"/>
    <w:rsid w:val="3A8638A8"/>
    <w:rsid w:val="3ED65E91"/>
    <w:rsid w:val="40075FB4"/>
    <w:rsid w:val="40692574"/>
    <w:rsid w:val="41C10393"/>
    <w:rsid w:val="43422C72"/>
    <w:rsid w:val="4599357F"/>
    <w:rsid w:val="4F432B74"/>
    <w:rsid w:val="5539593A"/>
    <w:rsid w:val="58535244"/>
    <w:rsid w:val="5CC34FC4"/>
    <w:rsid w:val="5D864CC7"/>
    <w:rsid w:val="5E0F28E8"/>
    <w:rsid w:val="5FE86BB1"/>
    <w:rsid w:val="60F224FB"/>
    <w:rsid w:val="62EC076F"/>
    <w:rsid w:val="63133F4E"/>
    <w:rsid w:val="658E7179"/>
    <w:rsid w:val="6AC94A9A"/>
    <w:rsid w:val="B8DF46EA"/>
    <w:rsid w:val="BB77B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9"/>
    <w:qFormat/>
    <w:uiPriority w:val="0"/>
    <w:rPr>
      <w:sz w:val="28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link w:val="20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rPr>
      <w:rFonts w:ascii="Calibri" w:hAnsi="Calibri"/>
      <w:sz w:val="24"/>
    </w:rPr>
  </w:style>
  <w:style w:type="table" w:styleId="11">
    <w:name w:val="Table Grid"/>
    <w:basedOn w:val="10"/>
    <w:qFormat/>
    <w:uiPriority w:val="59"/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qFormat/>
    <w:uiPriority w:val="0"/>
  </w:style>
  <w:style w:type="character" w:styleId="15">
    <w:name w:val="Emphasis"/>
    <w:qFormat/>
    <w:uiPriority w:val="0"/>
    <w:rPr>
      <w:i/>
    </w:rPr>
  </w:style>
  <w:style w:type="character" w:styleId="16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7">
    <w:name w:val="标题 1 字符"/>
    <w:link w:val="2"/>
    <w:qFormat/>
    <w:uiPriority w:val="9"/>
    <w:rPr>
      <w:rFonts w:ascii="Calibri" w:hAnsi="Calibri"/>
      <w:b/>
      <w:bCs/>
      <w:kern w:val="44"/>
      <w:sz w:val="44"/>
      <w:szCs w:val="44"/>
    </w:rPr>
  </w:style>
  <w:style w:type="character" w:customStyle="1" w:styleId="18">
    <w:name w:val="标题 2 字符"/>
    <w:link w:val="3"/>
    <w:qFormat/>
    <w:uiPriority w:val="9"/>
    <w:rPr>
      <w:rFonts w:ascii="Calibri Light" w:hAnsi="Calibri Light"/>
      <w:b/>
      <w:bCs/>
      <w:kern w:val="2"/>
      <w:sz w:val="32"/>
      <w:szCs w:val="32"/>
    </w:rPr>
  </w:style>
  <w:style w:type="character" w:customStyle="1" w:styleId="19">
    <w:name w:val="正文文本 字符"/>
    <w:link w:val="4"/>
    <w:qFormat/>
    <w:uiPriority w:val="0"/>
    <w:rPr>
      <w:kern w:val="2"/>
      <w:sz w:val="28"/>
      <w:szCs w:val="24"/>
    </w:rPr>
  </w:style>
  <w:style w:type="character" w:customStyle="1" w:styleId="20">
    <w:name w:val="批注框文本 字符"/>
    <w:link w:val="6"/>
    <w:qFormat/>
    <w:uiPriority w:val="0"/>
    <w:rPr>
      <w:kern w:val="2"/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List Paragraph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23">
    <w:name w:val="msolistparagraph"/>
    <w:basedOn w:val="1"/>
    <w:qFormat/>
    <w:uiPriority w:val="0"/>
    <w:pPr>
      <w:ind w:firstLine="420" w:firstLineChars="200"/>
    </w:pPr>
    <w:rPr>
      <w:rFonts w:ascii="Calibri" w:hAnsi="Calibri"/>
      <w:szCs w:val="21"/>
    </w:rPr>
  </w:style>
  <w:style w:type="paragraph" w:customStyle="1" w:styleId="24">
    <w:name w:val="Revision"/>
    <w:hidden/>
    <w:unhideWhenUsed/>
    <w:qFormat/>
    <w:uiPriority w:val="99"/>
    <w:pPr>
      <w:spacing w:after="0" w:line="24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SC</Company>
  <Pages>3</Pages>
  <Words>1615</Words>
  <Characters>1709</Characters>
  <Lines>74</Lines>
  <Paragraphs>53</Paragraphs>
  <TotalTime>6</TotalTime>
  <ScaleCrop>false</ScaleCrop>
  <LinksUpToDate>false</LinksUpToDate>
  <CharactersWithSpaces>1835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2025-05-08T01:01:00Z</dcterms:created>
  <dc:creator>Li</dc:creator>
  <cp:lastModifiedBy>chendm</cp:lastModifiedBy>
  <cp:lastPrinted>2010-08-04T22:50:00Z</cp:lastPrinted>
  <dcterms:modified xsi:type="dcterms:W3CDTF">2026-07-10T08:53:23Z</dcterms:modified>
  <dc:title>四川省上市公司协会文件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731E735C225D464ABBA3BEAB15A89F06_13</vt:lpwstr>
  </property>
  <property fmtid="{D5CDD505-2E9C-101B-9397-08002B2CF9AE}" pid="4" name="KSOTemplateDocerSaveRecord">
    <vt:lpwstr>eyJoZGlkIjoiY2YwZWVjYmM2OTViOTQzMTVkZDU5ZGY3ZjQyZWJmZmIiLCJ1c2VySWQiOiI3OTU5OTU1OTgifQ==</vt:lpwstr>
  </property>
</Properties>
</file>