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7B17B">
      <w:pPr>
        <w:spacing w:before="31" w:beforeLines="10" w:line="360" w:lineRule="auto"/>
        <w:rPr>
          <w:rFonts w:hint="eastAsia" w:ascii="宋体" w:hAnsi="宋体" w:cs="宋体"/>
          <w:b/>
          <w:w w:val="95"/>
          <w:sz w:val="24"/>
        </w:rPr>
      </w:pPr>
      <w:r>
        <w:rPr>
          <w:rFonts w:hint="eastAsia" w:ascii="宋体" w:hAnsi="宋体" w:cs="宋体"/>
          <w:b/>
          <w:w w:val="95"/>
          <w:sz w:val="24"/>
        </w:rPr>
        <w:t>证券简称：金帝股份                                       证券代码：603270</w:t>
      </w:r>
    </w:p>
    <w:p w14:paraId="68156EFE">
      <w:pPr>
        <w:jc w:val="center"/>
        <w:rPr>
          <w:rFonts w:hint="eastAsia" w:ascii="宋体" w:hAnsi="宋体" w:cs="宋体"/>
          <w:b/>
          <w:w w:val="95"/>
          <w:sz w:val="32"/>
          <w:szCs w:val="32"/>
        </w:rPr>
      </w:pPr>
    </w:p>
    <w:p w14:paraId="7093D949">
      <w:pPr>
        <w:spacing w:before="31" w:beforeLines="10" w:line="360" w:lineRule="auto"/>
        <w:jc w:val="center"/>
        <w:rPr>
          <w:rFonts w:hint="eastAsia" w:ascii="宋体" w:hAnsi="宋体" w:cs="宋体"/>
          <w:b/>
          <w:w w:val="95"/>
          <w:sz w:val="36"/>
          <w:szCs w:val="36"/>
        </w:rPr>
      </w:pPr>
      <w:r>
        <w:rPr>
          <w:rFonts w:hint="eastAsia" w:ascii="宋体" w:hAnsi="宋体" w:cs="宋体"/>
          <w:b/>
          <w:w w:val="95"/>
          <w:sz w:val="36"/>
          <w:szCs w:val="36"/>
        </w:rPr>
        <w:t>山东金帝精密机械科技股份有限公司</w:t>
      </w:r>
    </w:p>
    <w:p w14:paraId="6734F0E5">
      <w:pPr>
        <w:spacing w:line="360" w:lineRule="auto"/>
        <w:jc w:val="center"/>
        <w:rPr>
          <w:rFonts w:hint="eastAsia" w:ascii="宋体" w:hAnsi="宋体" w:cs="宋体"/>
          <w:b/>
          <w:w w:val="95"/>
          <w:kern w:val="0"/>
          <w:sz w:val="36"/>
          <w:szCs w:val="36"/>
        </w:rPr>
      </w:pPr>
      <w:r>
        <w:rPr>
          <w:rFonts w:hint="eastAsia" w:ascii="宋体" w:hAnsi="宋体" w:cs="宋体"/>
          <w:b/>
          <w:w w:val="95"/>
          <w:kern w:val="0"/>
          <w:sz w:val="36"/>
          <w:szCs w:val="36"/>
        </w:rPr>
        <w:t>投资者关系活动记录表</w:t>
      </w:r>
    </w:p>
    <w:p w14:paraId="075EA852">
      <w:pPr>
        <w:tabs>
          <w:tab w:val="left" w:pos="6106"/>
        </w:tabs>
        <w:spacing w:before="156" w:beforeLines="50" w:after="156" w:afterLines="50"/>
        <w:ind w:firstLine="240" w:firstLineChars="100"/>
        <w:jc w:val="right"/>
        <w:rPr>
          <w:rFonts w:hint="eastAsia" w:ascii="宋体" w:hAnsi="宋体" w:eastAsia="宋体" w:cs="宋体"/>
          <w:sz w:val="24"/>
          <w:lang w:val="en-US" w:eastAsia="zh-CN"/>
        </w:rPr>
      </w:pPr>
      <w:r>
        <w:rPr>
          <w:rFonts w:hint="eastAsia" w:ascii="宋体" w:hAnsi="宋体" w:cs="宋体"/>
          <w:sz w:val="24"/>
        </w:rPr>
        <w:t>编号：2026-00</w:t>
      </w:r>
      <w:r>
        <w:rPr>
          <w:rFonts w:hint="eastAsia" w:ascii="宋体" w:hAnsi="宋体" w:cs="宋体"/>
          <w:sz w:val="24"/>
          <w:lang w:val="en-US" w:eastAsia="zh-CN"/>
        </w:rPr>
        <w:t>3</w:t>
      </w:r>
    </w:p>
    <w:tbl>
      <w:tblPr>
        <w:tblStyle w:val="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7022"/>
      </w:tblGrid>
      <w:tr w14:paraId="0B5FE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tcBorders>
              <w:top w:val="single" w:color="auto" w:sz="12" w:space="0"/>
              <w:left w:val="single" w:color="auto" w:sz="12" w:space="0"/>
              <w:bottom w:val="single" w:color="auto" w:sz="4" w:space="0"/>
              <w:right w:val="single" w:color="auto" w:sz="4" w:space="0"/>
            </w:tcBorders>
            <w:vAlign w:val="center"/>
          </w:tcPr>
          <w:p w14:paraId="61A8189F">
            <w:pPr>
              <w:jc w:val="center"/>
              <w:rPr>
                <w:rFonts w:hint="eastAsia" w:ascii="宋体" w:hAnsi="宋体" w:cs="宋体"/>
                <w:bCs/>
                <w:sz w:val="24"/>
              </w:rPr>
            </w:pPr>
            <w:r>
              <w:rPr>
                <w:rFonts w:hint="eastAsia" w:ascii="宋体" w:hAnsi="宋体" w:cs="宋体"/>
                <w:b/>
                <w:bCs/>
                <w:sz w:val="24"/>
              </w:rPr>
              <w:t>投资者关系活动类别</w:t>
            </w:r>
          </w:p>
        </w:tc>
        <w:tc>
          <w:tcPr>
            <w:tcW w:w="7022" w:type="dxa"/>
            <w:tcBorders>
              <w:top w:val="single" w:color="auto" w:sz="12" w:space="0"/>
              <w:left w:val="single" w:color="auto" w:sz="4" w:space="0"/>
              <w:bottom w:val="single" w:color="auto" w:sz="4" w:space="0"/>
              <w:right w:val="single" w:color="auto" w:sz="12" w:space="0"/>
            </w:tcBorders>
            <w:vAlign w:val="center"/>
          </w:tcPr>
          <w:p w14:paraId="17069F61">
            <w:pPr>
              <w:widowControl/>
              <w:tabs>
                <w:tab w:val="left" w:pos="3480"/>
              </w:tabs>
              <w:spacing w:line="360" w:lineRule="auto"/>
              <w:rPr>
                <w:rFonts w:hint="eastAsia" w:ascii="宋体" w:hAnsi="宋体" w:cs="宋体"/>
                <w:bCs/>
                <w:sz w:val="24"/>
              </w:rPr>
            </w:pPr>
            <w:r>
              <w:rPr>
                <w:rFonts w:hint="eastAsia" w:ascii="宋体" w:hAnsi="宋体" w:cs="宋体"/>
                <w:bCs/>
                <w:sz w:val="24"/>
              </w:rPr>
              <w:t>☑特定对象调研   □分析师会议      □媒体采访</w:t>
            </w:r>
          </w:p>
          <w:p w14:paraId="7C3374B0">
            <w:pPr>
              <w:widowControl/>
              <w:tabs>
                <w:tab w:val="left" w:pos="2040"/>
                <w:tab w:val="left" w:pos="3480"/>
              </w:tabs>
              <w:spacing w:line="360" w:lineRule="auto"/>
              <w:rPr>
                <w:rFonts w:hint="eastAsia" w:ascii="宋体" w:hAnsi="宋体" w:cs="宋体"/>
                <w:bCs/>
                <w:sz w:val="24"/>
              </w:rPr>
            </w:pPr>
            <w:r>
              <w:rPr>
                <w:rFonts w:hint="eastAsia" w:ascii="宋体" w:hAnsi="宋体" w:cs="宋体"/>
                <w:bCs/>
                <w:sz w:val="24"/>
              </w:rPr>
              <w:t>□业绩说明会     □新闻发布会      □路演活动</w:t>
            </w:r>
          </w:p>
          <w:p w14:paraId="1103B995">
            <w:pPr>
              <w:spacing w:line="360" w:lineRule="auto"/>
              <w:rPr>
                <w:rFonts w:hint="eastAsia" w:ascii="宋体" w:hAnsi="宋体" w:cs="宋体"/>
                <w:bCs/>
                <w:sz w:val="24"/>
              </w:rPr>
            </w:pPr>
            <w:r>
              <w:rPr>
                <w:rFonts w:hint="eastAsia" w:ascii="宋体" w:hAnsi="宋体" w:cs="宋体"/>
                <w:bCs/>
                <w:sz w:val="24"/>
                <w:lang w:eastAsia="zh-CN"/>
              </w:rPr>
              <w:t>☑</w:t>
            </w:r>
            <w:r>
              <w:rPr>
                <w:rFonts w:hint="eastAsia" w:ascii="宋体" w:hAnsi="宋体" w:cs="宋体"/>
                <w:bCs/>
                <w:sz w:val="24"/>
              </w:rPr>
              <w:t>现场参观       □一对一沟通      ☑其他（电话会议）</w:t>
            </w:r>
          </w:p>
        </w:tc>
      </w:tr>
      <w:tr w14:paraId="01E65C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617" w:type="dxa"/>
            <w:tcBorders>
              <w:top w:val="single" w:color="auto" w:sz="4" w:space="0"/>
              <w:left w:val="single" w:color="auto" w:sz="12" w:space="0"/>
              <w:bottom w:val="single" w:color="auto" w:sz="4" w:space="0"/>
              <w:right w:val="single" w:color="auto" w:sz="4" w:space="0"/>
            </w:tcBorders>
            <w:vAlign w:val="center"/>
          </w:tcPr>
          <w:p w14:paraId="36E3EB3A">
            <w:pPr>
              <w:jc w:val="center"/>
              <w:rPr>
                <w:rFonts w:hint="eastAsia" w:ascii="宋体" w:hAnsi="宋体" w:cs="宋体"/>
                <w:b/>
                <w:bCs/>
                <w:sz w:val="24"/>
              </w:rPr>
            </w:pPr>
            <w:r>
              <w:rPr>
                <w:rFonts w:hint="eastAsia" w:ascii="宋体" w:hAnsi="宋体" w:cs="宋体"/>
                <w:b/>
                <w:bCs/>
                <w:sz w:val="24"/>
              </w:rPr>
              <w:t>参与单位及人员名称</w:t>
            </w:r>
          </w:p>
        </w:tc>
        <w:tc>
          <w:tcPr>
            <w:tcW w:w="7022" w:type="dxa"/>
            <w:tcBorders>
              <w:top w:val="single" w:color="auto" w:sz="4" w:space="0"/>
              <w:left w:val="single" w:color="auto" w:sz="4" w:space="0"/>
              <w:bottom w:val="single" w:color="auto" w:sz="4" w:space="0"/>
              <w:right w:val="single" w:color="auto" w:sz="12" w:space="0"/>
            </w:tcBorders>
            <w:vAlign w:val="center"/>
          </w:tcPr>
          <w:p w14:paraId="42009361">
            <w:pPr>
              <w:rPr>
                <w:rFonts w:hint="eastAsia" w:ascii="宋体" w:hAnsi="宋体" w:eastAsia="宋体" w:cs="宋体"/>
                <w:sz w:val="24"/>
                <w:lang w:eastAsia="zh-CN"/>
              </w:rPr>
            </w:pPr>
            <w:r>
              <w:rPr>
                <w:rFonts w:hint="eastAsia" w:ascii="宋体" w:hAnsi="宋体" w:cs="宋体"/>
                <w:sz w:val="24"/>
              </w:rPr>
              <w:t>国泰海通证券</w:t>
            </w:r>
            <w:r>
              <w:rPr>
                <w:rFonts w:hint="eastAsia" w:ascii="宋体" w:hAnsi="宋体" w:cs="宋体"/>
                <w:sz w:val="24"/>
                <w:lang w:eastAsia="zh-CN"/>
              </w:rPr>
              <w:t>、国海富兰克林基金、中银证券资管、上银基金、浙商证券资管、合晟资产、粤开证券自营、太平洋保险资产、平安养老保险、鹏扬基金、易方达、招商基金、东方红、摩根士丹利基金、华泰资产、博时基金、泰信基金、华宝基金、华泰保兴、安信基金、建信基金、南方基金、</w:t>
            </w:r>
            <w:r>
              <w:rPr>
                <w:rFonts w:hint="eastAsia" w:ascii="宋体" w:hAnsi="宋体" w:cs="宋体"/>
                <w:sz w:val="24"/>
                <w:lang w:val="en-US" w:eastAsia="zh-CN"/>
              </w:rPr>
              <w:t>西部证券</w:t>
            </w:r>
            <w:r>
              <w:rPr>
                <w:rFonts w:hint="eastAsia" w:ascii="宋体" w:hAnsi="宋体" w:cs="宋体"/>
                <w:sz w:val="24"/>
                <w:lang w:eastAsia="zh-CN"/>
              </w:rPr>
              <w:t>、</w:t>
            </w:r>
            <w:r>
              <w:rPr>
                <w:rFonts w:hint="eastAsia" w:ascii="宋体" w:hAnsi="宋体" w:cs="宋体"/>
                <w:sz w:val="24"/>
                <w:lang w:val="en-US" w:eastAsia="zh-CN"/>
              </w:rPr>
              <w:t>东方证券</w:t>
            </w:r>
            <w:r>
              <w:rPr>
                <w:rFonts w:hint="eastAsia" w:ascii="宋体" w:hAnsi="宋体" w:cs="宋体"/>
                <w:sz w:val="24"/>
                <w:lang w:eastAsia="zh-CN"/>
              </w:rPr>
              <w:t>、</w:t>
            </w:r>
            <w:r>
              <w:rPr>
                <w:rFonts w:hint="eastAsia" w:ascii="宋体" w:hAnsi="宋体" w:cs="宋体"/>
                <w:sz w:val="24"/>
                <w:lang w:val="en-US" w:eastAsia="zh-CN"/>
              </w:rPr>
              <w:t>上海巨创私募基金</w:t>
            </w:r>
            <w:r>
              <w:rPr>
                <w:rFonts w:hint="eastAsia" w:ascii="宋体" w:hAnsi="宋体" w:cs="宋体"/>
                <w:sz w:val="24"/>
                <w:lang w:eastAsia="zh-CN"/>
              </w:rPr>
              <w:t>、嘉实基金、华商基金、光大保德信基金、财通证券（</w:t>
            </w:r>
            <w:r>
              <w:rPr>
                <w:rFonts w:hint="eastAsia" w:ascii="宋体" w:hAnsi="宋体" w:cs="宋体"/>
                <w:sz w:val="24"/>
                <w:lang w:val="en-US" w:eastAsia="zh-CN"/>
              </w:rPr>
              <w:t>排名不分先后</w:t>
            </w:r>
            <w:r>
              <w:rPr>
                <w:rFonts w:hint="eastAsia" w:ascii="宋体" w:hAnsi="宋体" w:cs="宋体"/>
                <w:sz w:val="24"/>
                <w:lang w:eastAsia="zh-CN"/>
              </w:rPr>
              <w:t>）</w:t>
            </w:r>
          </w:p>
        </w:tc>
      </w:tr>
      <w:tr w14:paraId="29E188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17" w:type="dxa"/>
            <w:tcBorders>
              <w:top w:val="single" w:color="auto" w:sz="4" w:space="0"/>
              <w:left w:val="single" w:color="auto" w:sz="12" w:space="0"/>
              <w:bottom w:val="single" w:color="auto" w:sz="4" w:space="0"/>
              <w:right w:val="single" w:color="auto" w:sz="4" w:space="0"/>
            </w:tcBorders>
            <w:vAlign w:val="center"/>
          </w:tcPr>
          <w:p w14:paraId="56592977">
            <w:pPr>
              <w:jc w:val="center"/>
              <w:rPr>
                <w:rFonts w:hint="eastAsia" w:ascii="宋体" w:hAnsi="宋体" w:cs="宋体"/>
                <w:b/>
                <w:bCs/>
                <w:sz w:val="24"/>
              </w:rPr>
            </w:pPr>
            <w:r>
              <w:rPr>
                <w:rFonts w:hint="eastAsia" w:ascii="宋体" w:hAnsi="宋体" w:cs="宋体"/>
                <w:b/>
                <w:bCs/>
                <w:sz w:val="24"/>
              </w:rPr>
              <w:t>时间</w:t>
            </w:r>
          </w:p>
        </w:tc>
        <w:tc>
          <w:tcPr>
            <w:tcW w:w="7022" w:type="dxa"/>
            <w:tcBorders>
              <w:top w:val="single" w:color="auto" w:sz="4" w:space="0"/>
              <w:left w:val="single" w:color="auto" w:sz="4" w:space="0"/>
              <w:bottom w:val="single" w:color="auto" w:sz="4" w:space="0"/>
              <w:right w:val="single" w:color="auto" w:sz="12" w:space="0"/>
            </w:tcBorders>
            <w:vAlign w:val="center"/>
          </w:tcPr>
          <w:p w14:paraId="4D3AEDB3">
            <w:pPr>
              <w:rPr>
                <w:rFonts w:hint="default" w:ascii="宋体" w:hAnsi="宋体" w:eastAsia="宋体" w:cs="宋体"/>
                <w:sz w:val="24"/>
                <w:lang w:val="en-US" w:eastAsia="zh-CN"/>
              </w:rPr>
            </w:pPr>
            <w:r>
              <w:rPr>
                <w:rFonts w:hint="eastAsia" w:ascii="宋体" w:hAnsi="宋体" w:cs="宋体"/>
                <w:sz w:val="24"/>
                <w:lang w:val="en-US" w:eastAsia="zh-CN"/>
              </w:rPr>
              <w:t>7月16日、7月17日</w:t>
            </w:r>
          </w:p>
        </w:tc>
      </w:tr>
      <w:tr w14:paraId="63CD1D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617" w:type="dxa"/>
            <w:tcBorders>
              <w:top w:val="single" w:color="auto" w:sz="4" w:space="0"/>
              <w:left w:val="single" w:color="auto" w:sz="12" w:space="0"/>
              <w:bottom w:val="single" w:color="auto" w:sz="4" w:space="0"/>
              <w:right w:val="single" w:color="auto" w:sz="4" w:space="0"/>
            </w:tcBorders>
            <w:vAlign w:val="center"/>
          </w:tcPr>
          <w:p w14:paraId="7FBAF4C7">
            <w:pPr>
              <w:jc w:val="center"/>
              <w:rPr>
                <w:rFonts w:hint="eastAsia" w:ascii="宋体" w:hAnsi="宋体" w:cs="宋体"/>
                <w:b/>
                <w:bCs/>
                <w:sz w:val="24"/>
              </w:rPr>
            </w:pPr>
            <w:r>
              <w:rPr>
                <w:rFonts w:hint="eastAsia" w:ascii="宋体" w:hAnsi="宋体" w:cs="宋体"/>
                <w:b/>
                <w:bCs/>
                <w:sz w:val="24"/>
              </w:rPr>
              <w:t>地点</w:t>
            </w:r>
          </w:p>
        </w:tc>
        <w:tc>
          <w:tcPr>
            <w:tcW w:w="7022" w:type="dxa"/>
            <w:tcBorders>
              <w:top w:val="single" w:color="auto" w:sz="4" w:space="0"/>
              <w:left w:val="single" w:color="auto" w:sz="4" w:space="0"/>
              <w:bottom w:val="single" w:color="auto" w:sz="4" w:space="0"/>
              <w:right w:val="single" w:color="auto" w:sz="12" w:space="0"/>
            </w:tcBorders>
            <w:vAlign w:val="center"/>
          </w:tcPr>
          <w:p w14:paraId="13ABF2BC">
            <w:pPr>
              <w:spacing w:before="156" w:beforeLines="50" w:after="156" w:afterLines="50"/>
              <w:rPr>
                <w:rFonts w:hint="eastAsia" w:ascii="宋体" w:hAnsi="宋体" w:cs="宋体"/>
                <w:sz w:val="24"/>
              </w:rPr>
            </w:pPr>
            <w:r>
              <w:rPr>
                <w:rFonts w:hint="eastAsia" w:ascii="宋体" w:hAnsi="宋体" w:cs="宋体"/>
                <w:sz w:val="24"/>
              </w:rPr>
              <w:t>腾讯会议、现场调研</w:t>
            </w:r>
          </w:p>
        </w:tc>
      </w:tr>
      <w:tr w14:paraId="57B953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17" w:type="dxa"/>
            <w:tcBorders>
              <w:top w:val="single" w:color="auto" w:sz="4" w:space="0"/>
              <w:left w:val="single" w:color="auto" w:sz="12" w:space="0"/>
              <w:bottom w:val="single" w:color="auto" w:sz="4" w:space="0"/>
              <w:right w:val="single" w:color="auto" w:sz="4" w:space="0"/>
            </w:tcBorders>
            <w:vAlign w:val="center"/>
          </w:tcPr>
          <w:p w14:paraId="2157BE52">
            <w:pPr>
              <w:jc w:val="center"/>
              <w:rPr>
                <w:rFonts w:hint="eastAsia" w:ascii="宋体" w:hAnsi="宋体" w:cs="宋体"/>
                <w:b/>
                <w:bCs/>
                <w:sz w:val="24"/>
              </w:rPr>
            </w:pPr>
            <w:r>
              <w:rPr>
                <w:rFonts w:hint="eastAsia" w:ascii="宋体" w:hAnsi="宋体" w:cs="宋体"/>
                <w:b/>
                <w:bCs/>
                <w:sz w:val="24"/>
              </w:rPr>
              <w:t>公司接待人员姓名</w:t>
            </w:r>
          </w:p>
        </w:tc>
        <w:tc>
          <w:tcPr>
            <w:tcW w:w="7022" w:type="dxa"/>
            <w:tcBorders>
              <w:top w:val="single" w:color="auto" w:sz="4" w:space="0"/>
              <w:left w:val="single" w:color="auto" w:sz="4" w:space="0"/>
              <w:bottom w:val="single" w:color="auto" w:sz="4" w:space="0"/>
              <w:right w:val="single" w:color="auto" w:sz="12" w:space="0"/>
            </w:tcBorders>
            <w:vAlign w:val="center"/>
          </w:tcPr>
          <w:p w14:paraId="4C0B57AB">
            <w:pPr>
              <w:spacing w:before="156" w:beforeLines="50" w:after="156" w:afterLines="50"/>
              <w:rPr>
                <w:rFonts w:hint="eastAsia" w:ascii="宋体" w:hAnsi="宋体" w:cs="宋体"/>
                <w:sz w:val="24"/>
              </w:rPr>
            </w:pPr>
            <w:r>
              <w:rPr>
                <w:rFonts w:hint="eastAsia" w:ascii="宋体" w:hAnsi="宋体" w:cs="宋体"/>
                <w:sz w:val="24"/>
              </w:rPr>
              <w:t>董事会秘书：薛泰尧</w:t>
            </w:r>
          </w:p>
          <w:p w14:paraId="0D038D8E">
            <w:pPr>
              <w:spacing w:before="156" w:beforeLines="50" w:after="156" w:afterLines="50"/>
              <w:rPr>
                <w:rFonts w:hint="eastAsia" w:ascii="宋体" w:hAnsi="宋体" w:cs="宋体"/>
                <w:sz w:val="24"/>
              </w:rPr>
            </w:pPr>
            <w:r>
              <w:rPr>
                <w:rFonts w:hint="eastAsia" w:ascii="宋体" w:hAnsi="宋体" w:cs="宋体"/>
                <w:sz w:val="24"/>
              </w:rPr>
              <w:t>证券事务代表：赵海军</w:t>
            </w:r>
          </w:p>
        </w:tc>
      </w:tr>
      <w:tr w14:paraId="57B7C5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617" w:type="dxa"/>
            <w:tcBorders>
              <w:top w:val="single" w:color="auto" w:sz="4" w:space="0"/>
              <w:left w:val="single" w:color="auto" w:sz="12" w:space="0"/>
              <w:bottom w:val="single" w:color="auto" w:sz="4" w:space="0"/>
              <w:right w:val="single" w:color="auto" w:sz="4" w:space="0"/>
            </w:tcBorders>
            <w:vAlign w:val="center"/>
          </w:tcPr>
          <w:p w14:paraId="1D0FAC2E">
            <w:pPr>
              <w:jc w:val="center"/>
              <w:rPr>
                <w:rFonts w:hint="eastAsia" w:ascii="宋体" w:hAnsi="宋体" w:cs="宋体"/>
                <w:b/>
                <w:bCs/>
                <w:sz w:val="24"/>
              </w:rPr>
            </w:pPr>
            <w:r>
              <w:rPr>
                <w:rFonts w:hint="eastAsia" w:ascii="宋体" w:hAnsi="宋体" w:cs="宋体"/>
                <w:b/>
                <w:bCs/>
                <w:sz w:val="24"/>
              </w:rPr>
              <w:t>投资者关系活动主要内容介绍</w:t>
            </w:r>
          </w:p>
        </w:tc>
        <w:tc>
          <w:tcPr>
            <w:tcW w:w="7022" w:type="dxa"/>
            <w:tcBorders>
              <w:top w:val="single" w:color="auto" w:sz="4" w:space="0"/>
              <w:left w:val="single" w:color="auto" w:sz="4" w:space="0"/>
              <w:bottom w:val="single" w:color="auto" w:sz="4" w:space="0"/>
              <w:right w:val="single" w:color="auto" w:sz="12" w:space="0"/>
            </w:tcBorders>
          </w:tcPr>
          <w:p w14:paraId="57FDC0CB">
            <w:pPr>
              <w:pStyle w:val="17"/>
              <w:tabs>
                <w:tab w:val="left" w:pos="788"/>
              </w:tabs>
              <w:spacing w:line="360" w:lineRule="auto"/>
              <w:ind w:firstLine="0" w:firstLineChars="0"/>
              <w:rPr>
                <w:rFonts w:hint="eastAsia" w:ascii="宋体" w:hAnsi="宋体" w:eastAsia="宋体" w:cs="宋体"/>
                <w:b/>
                <w:bCs/>
                <w:szCs w:val="21"/>
                <w:lang w:val="en-US" w:eastAsia="zh-CN"/>
              </w:rPr>
            </w:pPr>
            <w:r>
              <w:rPr>
                <w:rFonts w:hint="eastAsia" w:ascii="宋体" w:hAnsi="宋体" w:cs="宋体"/>
                <w:b/>
                <w:bCs/>
                <w:szCs w:val="21"/>
              </w:rPr>
              <w:t>1、介绍一下公司近期的营收及利润情况</w:t>
            </w:r>
          </w:p>
          <w:p w14:paraId="15C45CAE">
            <w:pPr>
              <w:pStyle w:val="17"/>
              <w:tabs>
                <w:tab w:val="left" w:pos="788"/>
              </w:tabs>
              <w:spacing w:line="360" w:lineRule="auto"/>
              <w:rPr>
                <w:rFonts w:hint="eastAsia" w:ascii="宋体" w:hAnsi="宋体" w:eastAsia="宋体" w:cs="宋体"/>
                <w:szCs w:val="21"/>
                <w:lang w:eastAsia="zh-CN"/>
              </w:rPr>
            </w:pPr>
            <w:r>
              <w:rPr>
                <w:rFonts w:hint="eastAsia" w:ascii="宋体" w:hAnsi="宋体" w:eastAsia="宋体" w:cs="宋体"/>
                <w:szCs w:val="21"/>
                <w:lang w:eastAsia="zh-CN"/>
              </w:rPr>
              <w:t>2025年公司实现营业收入20.20亿元，同比增长49.07%</w:t>
            </w:r>
            <w:r>
              <w:rPr>
                <w:rFonts w:hint="eastAsia" w:ascii="宋体" w:hAnsi="宋体" w:cs="宋体"/>
                <w:szCs w:val="21"/>
                <w:lang w:eastAsia="zh-CN"/>
              </w:rPr>
              <w:t>，</w:t>
            </w:r>
            <w:r>
              <w:rPr>
                <w:rFonts w:hint="eastAsia" w:ascii="宋体" w:hAnsi="宋体" w:eastAsia="宋体" w:cs="宋体"/>
                <w:szCs w:val="21"/>
                <w:lang w:eastAsia="zh-CN"/>
              </w:rPr>
              <w:t>归属于上市公司股东的净利润1.47亿元，同比增加47.86%；归属于上市公司股东的扣除非经常性损益的净利润1.34亿元，同比增加60.60%。2026年一季度实现营业收入5.27亿元，同比增长38.16%，归属于上市公司股东的净利润0.42亿元，同比增长8.19%；归属于上市公司股东的扣除非经常性损益的净利润0.40亿元，同比增长12.95%。公司将于8月2</w:t>
            </w:r>
            <w:r>
              <w:rPr>
                <w:rFonts w:hint="eastAsia" w:ascii="宋体" w:hAnsi="宋体" w:cs="宋体"/>
                <w:szCs w:val="21"/>
                <w:lang w:val="en-US" w:eastAsia="zh-CN"/>
              </w:rPr>
              <w:t>9</w:t>
            </w:r>
            <w:r>
              <w:rPr>
                <w:rFonts w:hint="eastAsia" w:ascii="宋体" w:hAnsi="宋体" w:eastAsia="宋体" w:cs="宋体"/>
                <w:szCs w:val="21"/>
                <w:lang w:eastAsia="zh-CN"/>
              </w:rPr>
              <w:t>日披露2026年半年度报告。</w:t>
            </w:r>
          </w:p>
          <w:p w14:paraId="3FAF9F0C">
            <w:pPr>
              <w:pStyle w:val="17"/>
              <w:tabs>
                <w:tab w:val="left" w:pos="788"/>
              </w:tabs>
              <w:spacing w:line="360" w:lineRule="auto"/>
              <w:ind w:firstLine="0" w:firstLineChars="0"/>
              <w:rPr>
                <w:rFonts w:hint="default" w:ascii="宋体" w:hAnsi="宋体" w:eastAsia="宋体" w:cs="宋体"/>
                <w:b/>
                <w:bCs/>
                <w:szCs w:val="21"/>
                <w:lang w:val="en-US" w:eastAsia="zh-CN"/>
              </w:rPr>
            </w:pPr>
            <w:r>
              <w:rPr>
                <w:rFonts w:hint="eastAsia" w:ascii="宋体" w:hAnsi="宋体" w:cs="宋体"/>
                <w:b/>
                <w:bCs/>
                <w:szCs w:val="21"/>
              </w:rPr>
              <w:t>2、</w:t>
            </w:r>
            <w:r>
              <w:rPr>
                <w:rFonts w:hint="eastAsia" w:ascii="宋体" w:hAnsi="宋体" w:cs="宋体"/>
                <w:b/>
                <w:bCs/>
                <w:szCs w:val="21"/>
                <w:lang w:val="en-US" w:eastAsia="zh-CN"/>
              </w:rPr>
              <w:t>风电行业的发展情况</w:t>
            </w:r>
          </w:p>
          <w:p w14:paraId="387BC1DD">
            <w:pPr>
              <w:pStyle w:val="17"/>
              <w:tabs>
                <w:tab w:val="left" w:pos="788"/>
              </w:tabs>
              <w:spacing w:line="360" w:lineRule="auto"/>
              <w:rPr>
                <w:rFonts w:hint="eastAsia" w:ascii="宋体" w:hAnsi="宋体" w:eastAsia="宋体" w:cs="宋体"/>
                <w:szCs w:val="21"/>
                <w:lang w:eastAsia="zh-CN"/>
              </w:rPr>
            </w:pPr>
            <w:r>
              <w:rPr>
                <w:rFonts w:hint="eastAsia" w:ascii="宋体" w:hAnsi="宋体" w:cs="宋体"/>
                <w:szCs w:val="21"/>
                <w:lang w:val="en-US" w:eastAsia="zh-CN"/>
              </w:rPr>
              <w:t>公司</w:t>
            </w:r>
            <w:r>
              <w:rPr>
                <w:rFonts w:hint="eastAsia" w:ascii="宋体" w:hAnsi="宋体" w:cs="宋体"/>
                <w:szCs w:val="21"/>
              </w:rPr>
              <w:t>风电领域系列产品</w:t>
            </w:r>
            <w:r>
              <w:rPr>
                <w:rFonts w:hint="eastAsia" w:ascii="宋体" w:hAnsi="宋体" w:cs="宋体"/>
                <w:szCs w:val="21"/>
                <w:lang w:val="en-US" w:eastAsia="zh-CN"/>
              </w:rPr>
              <w:t>2025年</w:t>
            </w:r>
            <w:r>
              <w:rPr>
                <w:rFonts w:hint="eastAsia" w:ascii="宋体" w:hAnsi="宋体" w:cs="宋体"/>
                <w:szCs w:val="21"/>
              </w:rPr>
              <w:t>实现收入39,101.07万元，同比增长 61.02%</w:t>
            </w:r>
            <w:r>
              <w:rPr>
                <w:rFonts w:hint="eastAsia" w:ascii="宋体" w:hAnsi="宋体" w:cs="宋体"/>
                <w:szCs w:val="21"/>
                <w:lang w:eastAsia="zh-CN"/>
              </w:rPr>
              <w:t>。公司风电产品的未来发展主要取决于风电新增项目的招标以及公司新产品、新客户的持续拓展，从而带动市场份额的提升。</w:t>
            </w:r>
            <w:r>
              <w:rPr>
                <w:rFonts w:hint="eastAsia" w:ascii="宋体" w:hAnsi="宋体" w:cs="宋体"/>
                <w:szCs w:val="21"/>
              </w:rPr>
              <w:t>根据中国风电新闻网发布的2025年1-12 月中国风电整机商中标统计，项目总规模为207.408GW（含国际项目、整机商自建项目，不含集采框架招标项目），较2024年的中标统计220GW同比微减6%。从核准数据看，2025年全国新增核准风电项目超1150个，规模共计184.6GW+，较2024年的153.7GW同比增加20%，为上游轴承保持架增加了较为显著的市场容量</w:t>
            </w:r>
            <w:r>
              <w:rPr>
                <w:rFonts w:hint="eastAsia" w:ascii="宋体" w:hAnsi="宋体" w:cs="宋体"/>
                <w:szCs w:val="21"/>
                <w:lang w:eastAsia="zh-CN"/>
              </w:rPr>
              <w:t>。</w:t>
            </w:r>
          </w:p>
          <w:p w14:paraId="2A521B18">
            <w:pPr>
              <w:pStyle w:val="17"/>
              <w:tabs>
                <w:tab w:val="left" w:pos="788"/>
              </w:tabs>
              <w:spacing w:line="360" w:lineRule="auto"/>
              <w:ind w:firstLine="0" w:firstLineChars="0"/>
              <w:rPr>
                <w:rFonts w:hint="default" w:ascii="宋体" w:hAnsi="宋体" w:eastAsia="宋体" w:cs="宋体"/>
                <w:b/>
                <w:bCs/>
                <w:szCs w:val="21"/>
                <w:lang w:val="en-US" w:eastAsia="zh-CN"/>
              </w:rPr>
            </w:pPr>
            <w:r>
              <w:rPr>
                <w:rFonts w:hint="eastAsia" w:ascii="宋体" w:hAnsi="宋体" w:cs="宋体"/>
                <w:b/>
                <w:bCs/>
                <w:szCs w:val="21"/>
              </w:rPr>
              <w:t>3、</w:t>
            </w:r>
            <w:r>
              <w:rPr>
                <w:rFonts w:hint="eastAsia" w:ascii="宋体" w:hAnsi="宋体" w:cs="宋体"/>
                <w:b/>
                <w:bCs/>
                <w:szCs w:val="21"/>
                <w:lang w:val="en-US" w:eastAsia="zh-CN"/>
              </w:rPr>
              <w:t>介绍一下定转子系列产品及应用</w:t>
            </w:r>
            <w:bookmarkStart w:id="0" w:name="_GoBack"/>
            <w:bookmarkEnd w:id="0"/>
          </w:p>
          <w:p w14:paraId="35BEDBFD">
            <w:pPr>
              <w:pStyle w:val="17"/>
              <w:tabs>
                <w:tab w:val="left" w:pos="788"/>
              </w:tabs>
              <w:spacing w:line="360" w:lineRule="auto"/>
              <w:rPr>
                <w:rFonts w:hint="eastAsia" w:ascii="宋体" w:hAnsi="宋体" w:cs="宋体"/>
                <w:szCs w:val="21"/>
              </w:rPr>
            </w:pPr>
            <w:r>
              <w:rPr>
                <w:rFonts w:hint="eastAsia" w:ascii="宋体" w:hAnsi="宋体" w:cs="宋体"/>
                <w:szCs w:val="21"/>
              </w:rPr>
              <w:t>在新能源汽车驱动电机细分领域，公司陆续投资建设异步感应电机定转子、永磁同步电机定转子总成生产线，构建可持续成本优势的垂直整合体系，通过自主研制关键工位的生产设备，自主设计制造模具工装，自制定转子铁芯、busbar、平衡板、压环等关键零部件，满足对生产工艺的快速迭代优化，提升供应链的管控能力与响应速度。铸铝转子具有重量轻、制造成本低、高速耗电少等显著优势，且已经在辰致、比亚迪、吉利、奇瑞、蔚来、小鹏、北汽、奥迪、沃尔沃、宝马等汽车品牌的主要车型上装配量产。公司深耕新能源汽车电机定转子领域，在异步电机铸铝转子领域具有先发优势，同时进一步根据客户需求和行业发展趋势拓展至定子和同步电机定转子领域，满足客户一站式需求。</w:t>
            </w:r>
          </w:p>
          <w:p w14:paraId="627E6242">
            <w:pPr>
              <w:pStyle w:val="17"/>
              <w:numPr>
                <w:ilvl w:val="0"/>
                <w:numId w:val="0"/>
              </w:numPr>
              <w:tabs>
                <w:tab w:val="left" w:pos="788"/>
              </w:tabs>
              <w:spacing w:line="360" w:lineRule="auto"/>
              <w:ind w:left="0" w:leftChars="0" w:firstLine="0" w:firstLineChars="0"/>
              <w:rPr>
                <w:rFonts w:hint="eastAsia" w:ascii="宋体" w:hAnsi="宋体" w:cs="宋体"/>
                <w:b/>
                <w:bCs/>
                <w:szCs w:val="21"/>
                <w:lang w:val="en-US" w:eastAsia="zh-CN"/>
              </w:rPr>
            </w:pPr>
            <w:r>
              <w:rPr>
                <w:rFonts w:hint="eastAsia" w:ascii="宋体" w:hAnsi="宋体" w:eastAsia="宋体" w:cs="宋体"/>
                <w:b/>
                <w:bCs/>
                <w:kern w:val="2"/>
                <w:sz w:val="21"/>
                <w:szCs w:val="21"/>
                <w:lang w:val="en-US" w:eastAsia="zh-CN" w:bidi="ar-SA"/>
              </w:rPr>
              <w:t>4、</w:t>
            </w:r>
            <w:r>
              <w:rPr>
                <w:rFonts w:hint="eastAsia" w:ascii="宋体" w:hAnsi="宋体" w:cs="宋体"/>
                <w:b/>
                <w:bCs/>
                <w:szCs w:val="21"/>
                <w:lang w:val="en-US" w:eastAsia="zh-CN"/>
              </w:rPr>
              <w:t>海外工厂的建设及生产情况</w:t>
            </w:r>
          </w:p>
          <w:p w14:paraId="465E6DD3">
            <w:pPr>
              <w:pStyle w:val="17"/>
              <w:numPr>
                <w:ilvl w:val="0"/>
                <w:numId w:val="0"/>
              </w:numPr>
              <w:tabs>
                <w:tab w:val="left" w:pos="788"/>
              </w:tabs>
              <w:spacing w:line="360" w:lineRule="auto"/>
              <w:ind w:leftChars="0" w:firstLine="420" w:firstLineChars="200"/>
              <w:rPr>
                <w:rFonts w:hint="default" w:ascii="宋体" w:hAnsi="宋体" w:cs="宋体"/>
                <w:b/>
                <w:bCs/>
                <w:szCs w:val="21"/>
                <w:lang w:val="en-US" w:eastAsia="zh-CN"/>
              </w:rPr>
            </w:pPr>
            <w:r>
              <w:rPr>
                <w:rFonts w:hint="default" w:ascii="宋体" w:hAnsi="宋体" w:cs="宋体"/>
                <w:b w:val="0"/>
                <w:bCs w:val="0"/>
                <w:szCs w:val="21"/>
                <w:lang w:val="en-US" w:eastAsia="zh-CN"/>
              </w:rPr>
              <w:t>海外基地建设与市场拓展同步推进公司“走出去”战略取得实质性进展，提升全球供应链的韧性与响应速度。墨西哥生产基地电驱动项目已完成土建及设备调试，并交付样品；塞尔维亚生产基地正处于建设前期阶段；日本、德国研发销售中心正式运营。</w:t>
            </w:r>
          </w:p>
          <w:p w14:paraId="7C2A0AC5">
            <w:pPr>
              <w:pStyle w:val="17"/>
              <w:numPr>
                <w:ilvl w:val="0"/>
                <w:numId w:val="0"/>
              </w:numPr>
              <w:tabs>
                <w:tab w:val="left" w:pos="788"/>
              </w:tabs>
              <w:spacing w:line="360" w:lineRule="auto"/>
              <w:ind w:left="0" w:leftChars="0" w:firstLine="0" w:firstLineChars="0"/>
              <w:rPr>
                <w:rFonts w:hint="eastAsia" w:ascii="宋体" w:hAnsi="宋体" w:cs="宋体"/>
                <w:szCs w:val="21"/>
                <w:lang w:val="en-US" w:eastAsia="zh-CN"/>
              </w:rPr>
            </w:pPr>
            <w:r>
              <w:rPr>
                <w:rFonts w:hint="eastAsia" w:ascii="宋体" w:hAnsi="宋体" w:eastAsia="宋体" w:cs="宋体"/>
                <w:b/>
                <w:bCs/>
                <w:kern w:val="2"/>
                <w:sz w:val="21"/>
                <w:szCs w:val="21"/>
                <w:lang w:val="en-US" w:eastAsia="zh-CN" w:bidi="ar-SA"/>
              </w:rPr>
              <w:t>5、</w:t>
            </w:r>
            <w:r>
              <w:rPr>
                <w:rFonts w:hint="eastAsia" w:ascii="宋体" w:hAnsi="宋体" w:cs="宋体"/>
                <w:b/>
                <w:bCs/>
                <w:szCs w:val="21"/>
                <w:lang w:val="en-US" w:eastAsia="zh-CN"/>
              </w:rPr>
              <w:t>现场参观</w:t>
            </w:r>
          </w:p>
          <w:p w14:paraId="702C5D0C">
            <w:pPr>
              <w:pStyle w:val="17"/>
              <w:numPr>
                <w:ilvl w:val="0"/>
                <w:numId w:val="0"/>
              </w:numPr>
              <w:tabs>
                <w:tab w:val="left" w:pos="788"/>
              </w:tabs>
              <w:spacing w:line="360" w:lineRule="auto"/>
              <w:ind w:leftChars="0" w:firstLine="420" w:firstLineChars="200"/>
              <w:rPr>
                <w:rFonts w:hint="default" w:ascii="宋体" w:hAnsi="宋体" w:cs="宋体"/>
                <w:szCs w:val="21"/>
                <w:lang w:val="en-US" w:eastAsia="zh-CN"/>
              </w:rPr>
            </w:pPr>
            <w:r>
              <w:rPr>
                <w:rFonts w:hint="eastAsia" w:ascii="宋体" w:hAnsi="宋体" w:cs="宋体"/>
                <w:szCs w:val="21"/>
                <w:lang w:val="en-US" w:eastAsia="zh-CN"/>
              </w:rPr>
              <w:t>参观机加定转子生产车间。</w:t>
            </w:r>
          </w:p>
        </w:tc>
      </w:tr>
      <w:tr w14:paraId="6E4A1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617" w:type="dxa"/>
            <w:tcBorders>
              <w:top w:val="single" w:color="auto" w:sz="4" w:space="0"/>
              <w:left w:val="single" w:color="auto" w:sz="12" w:space="0"/>
              <w:bottom w:val="single" w:color="auto" w:sz="4" w:space="0"/>
              <w:right w:val="single" w:color="auto" w:sz="4" w:space="0"/>
            </w:tcBorders>
            <w:vAlign w:val="center"/>
          </w:tcPr>
          <w:p w14:paraId="3757BE4B">
            <w:pPr>
              <w:jc w:val="center"/>
              <w:rPr>
                <w:rFonts w:hint="eastAsia" w:ascii="宋体" w:hAnsi="宋体" w:cs="宋体"/>
                <w:b/>
                <w:bCs/>
                <w:sz w:val="24"/>
              </w:rPr>
            </w:pPr>
            <w:r>
              <w:rPr>
                <w:rFonts w:hint="eastAsia" w:ascii="宋体" w:hAnsi="宋体" w:cs="宋体"/>
                <w:b/>
                <w:bCs/>
                <w:sz w:val="24"/>
              </w:rPr>
              <w:t>附件清单（如有）</w:t>
            </w:r>
          </w:p>
        </w:tc>
        <w:tc>
          <w:tcPr>
            <w:tcW w:w="7022" w:type="dxa"/>
            <w:tcBorders>
              <w:top w:val="single" w:color="auto" w:sz="4" w:space="0"/>
              <w:left w:val="single" w:color="auto" w:sz="4" w:space="0"/>
              <w:bottom w:val="single" w:color="auto" w:sz="4" w:space="0"/>
              <w:right w:val="single" w:color="auto" w:sz="12" w:space="0"/>
            </w:tcBorders>
            <w:vAlign w:val="center"/>
          </w:tcPr>
          <w:p w14:paraId="59290502">
            <w:pPr>
              <w:rPr>
                <w:rFonts w:hint="eastAsia" w:ascii="宋体" w:hAnsi="宋体" w:cs="宋体"/>
                <w:sz w:val="24"/>
              </w:rPr>
            </w:pPr>
            <w:r>
              <w:rPr>
                <w:rFonts w:hint="eastAsia" w:ascii="宋体" w:hAnsi="宋体" w:cs="宋体"/>
                <w:sz w:val="24"/>
              </w:rPr>
              <w:t>无</w:t>
            </w:r>
          </w:p>
        </w:tc>
      </w:tr>
    </w:tbl>
    <w:p w14:paraId="06569A5F">
      <w:pPr>
        <w:widowControl/>
        <w:jc w:val="left"/>
        <w:rPr>
          <w:rFonts w:hint="eastAsia" w:ascii="宋体" w:hAnsi="宋体" w:cs="宋体"/>
        </w:rPr>
      </w:pPr>
    </w:p>
    <w:sectPr>
      <w:headerReference r:id="rId3" w:type="default"/>
      <w:pgSz w:w="12240" w:h="15840"/>
      <w:pgMar w:top="1100" w:right="1800" w:bottom="1043"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799F1">
    <w:pPr>
      <w:pStyle w:val="5"/>
      <w:rPr>
        <w:rFonts w:hint="eastAsia" w:ascii="楷体" w:hAnsi="楷体" w:eastAsia="楷体"/>
      </w:rPr>
    </w:pPr>
    <w:r>
      <w:rPr>
        <w:rFonts w:hint="eastAsia" w:ascii="楷体" w:hAnsi="楷体" w:eastAsia="楷体"/>
      </w:rPr>
      <w:t xml:space="preserve">山东金帝精密机械科技股份有限公司 </w:t>
    </w:r>
    <w:r>
      <w:rPr>
        <w:rFonts w:ascii="楷体" w:hAnsi="楷体" w:eastAsia="楷体"/>
      </w:rPr>
      <w:t xml:space="preserve">                                          </w:t>
    </w:r>
    <w:r>
      <w:rPr>
        <w:rFonts w:hint="eastAsia" w:ascii="楷体" w:hAnsi="楷体" w:eastAsia="楷体"/>
      </w:rPr>
      <w:t>投资者关系活动记录表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iZGQxNmMzYTcwYjk0ZmU1Y2E2MWRhMzUyNWU5ZWQifQ=="/>
  </w:docVars>
  <w:rsids>
    <w:rsidRoot w:val="00172A27"/>
    <w:rsid w:val="00000D18"/>
    <w:rsid w:val="000076A8"/>
    <w:rsid w:val="00013B2C"/>
    <w:rsid w:val="000251BC"/>
    <w:rsid w:val="00031EDC"/>
    <w:rsid w:val="00032FBF"/>
    <w:rsid w:val="0004190F"/>
    <w:rsid w:val="0006665D"/>
    <w:rsid w:val="000752AD"/>
    <w:rsid w:val="000B7145"/>
    <w:rsid w:val="000C0917"/>
    <w:rsid w:val="000C646D"/>
    <w:rsid w:val="000D1EEA"/>
    <w:rsid w:val="000E0A29"/>
    <w:rsid w:val="000E4A02"/>
    <w:rsid w:val="000E4CDF"/>
    <w:rsid w:val="000F7A15"/>
    <w:rsid w:val="00106CE5"/>
    <w:rsid w:val="00110AC1"/>
    <w:rsid w:val="00110FC0"/>
    <w:rsid w:val="00114B26"/>
    <w:rsid w:val="00121DE3"/>
    <w:rsid w:val="00127A0C"/>
    <w:rsid w:val="00135DE9"/>
    <w:rsid w:val="00136571"/>
    <w:rsid w:val="0014063C"/>
    <w:rsid w:val="001716C9"/>
    <w:rsid w:val="00172A27"/>
    <w:rsid w:val="001764CF"/>
    <w:rsid w:val="00180E8C"/>
    <w:rsid w:val="001C3E04"/>
    <w:rsid w:val="001C65A5"/>
    <w:rsid w:val="001D76A0"/>
    <w:rsid w:val="001F217D"/>
    <w:rsid w:val="002051B0"/>
    <w:rsid w:val="0021568D"/>
    <w:rsid w:val="002421F3"/>
    <w:rsid w:val="0025795E"/>
    <w:rsid w:val="002A590A"/>
    <w:rsid w:val="002A5DDA"/>
    <w:rsid w:val="002B1EA1"/>
    <w:rsid w:val="002B2792"/>
    <w:rsid w:val="002B5738"/>
    <w:rsid w:val="002C7C5F"/>
    <w:rsid w:val="003046C0"/>
    <w:rsid w:val="003146EB"/>
    <w:rsid w:val="003168B2"/>
    <w:rsid w:val="00325AE8"/>
    <w:rsid w:val="00342805"/>
    <w:rsid w:val="00356C12"/>
    <w:rsid w:val="0036096D"/>
    <w:rsid w:val="003712F0"/>
    <w:rsid w:val="00372B7B"/>
    <w:rsid w:val="00381E56"/>
    <w:rsid w:val="00382BB7"/>
    <w:rsid w:val="00385F42"/>
    <w:rsid w:val="00394720"/>
    <w:rsid w:val="003A22AA"/>
    <w:rsid w:val="003C56D1"/>
    <w:rsid w:val="003D2184"/>
    <w:rsid w:val="003E6473"/>
    <w:rsid w:val="003E682F"/>
    <w:rsid w:val="003F6DC0"/>
    <w:rsid w:val="00402082"/>
    <w:rsid w:val="00415566"/>
    <w:rsid w:val="0042296F"/>
    <w:rsid w:val="00426B09"/>
    <w:rsid w:val="004413F5"/>
    <w:rsid w:val="00453D13"/>
    <w:rsid w:val="00456D35"/>
    <w:rsid w:val="00461E20"/>
    <w:rsid w:val="004646BB"/>
    <w:rsid w:val="00464AC6"/>
    <w:rsid w:val="00476C84"/>
    <w:rsid w:val="004853F9"/>
    <w:rsid w:val="0049067C"/>
    <w:rsid w:val="00496215"/>
    <w:rsid w:val="00496ED9"/>
    <w:rsid w:val="004A215B"/>
    <w:rsid w:val="004B35E2"/>
    <w:rsid w:val="004B42FE"/>
    <w:rsid w:val="004C7EAD"/>
    <w:rsid w:val="004D001F"/>
    <w:rsid w:val="004D45FF"/>
    <w:rsid w:val="004E3115"/>
    <w:rsid w:val="004F3029"/>
    <w:rsid w:val="0050067C"/>
    <w:rsid w:val="005026B6"/>
    <w:rsid w:val="00502E9C"/>
    <w:rsid w:val="00520FE3"/>
    <w:rsid w:val="0052527D"/>
    <w:rsid w:val="00527CF4"/>
    <w:rsid w:val="00532959"/>
    <w:rsid w:val="005515C2"/>
    <w:rsid w:val="00556BB3"/>
    <w:rsid w:val="0056159D"/>
    <w:rsid w:val="00563FA2"/>
    <w:rsid w:val="005703A5"/>
    <w:rsid w:val="005761E2"/>
    <w:rsid w:val="005858D9"/>
    <w:rsid w:val="0059023D"/>
    <w:rsid w:val="00593A35"/>
    <w:rsid w:val="005B02EB"/>
    <w:rsid w:val="005D4B0E"/>
    <w:rsid w:val="005F5AB1"/>
    <w:rsid w:val="0060293E"/>
    <w:rsid w:val="00605E6F"/>
    <w:rsid w:val="00613EDC"/>
    <w:rsid w:val="0062262A"/>
    <w:rsid w:val="006264DF"/>
    <w:rsid w:val="00627ADB"/>
    <w:rsid w:val="00646058"/>
    <w:rsid w:val="00661F6B"/>
    <w:rsid w:val="00664FF6"/>
    <w:rsid w:val="006655B9"/>
    <w:rsid w:val="006672F6"/>
    <w:rsid w:val="006B22F5"/>
    <w:rsid w:val="006C7C57"/>
    <w:rsid w:val="006D2E8D"/>
    <w:rsid w:val="006D389E"/>
    <w:rsid w:val="00711238"/>
    <w:rsid w:val="0071206F"/>
    <w:rsid w:val="00712771"/>
    <w:rsid w:val="00716A70"/>
    <w:rsid w:val="00720F84"/>
    <w:rsid w:val="0073320D"/>
    <w:rsid w:val="00736A80"/>
    <w:rsid w:val="00742D08"/>
    <w:rsid w:val="007460EB"/>
    <w:rsid w:val="00746C2A"/>
    <w:rsid w:val="007713DA"/>
    <w:rsid w:val="00792EEF"/>
    <w:rsid w:val="007A4530"/>
    <w:rsid w:val="007A6F30"/>
    <w:rsid w:val="007A7D7C"/>
    <w:rsid w:val="007B371D"/>
    <w:rsid w:val="007B4CF9"/>
    <w:rsid w:val="007D738A"/>
    <w:rsid w:val="007F2858"/>
    <w:rsid w:val="007F717B"/>
    <w:rsid w:val="007F74C6"/>
    <w:rsid w:val="007F7552"/>
    <w:rsid w:val="00800D77"/>
    <w:rsid w:val="008046CB"/>
    <w:rsid w:val="00804B8F"/>
    <w:rsid w:val="00804DE1"/>
    <w:rsid w:val="008057B4"/>
    <w:rsid w:val="008405F3"/>
    <w:rsid w:val="0084397E"/>
    <w:rsid w:val="008525B9"/>
    <w:rsid w:val="00854B7A"/>
    <w:rsid w:val="00866709"/>
    <w:rsid w:val="00870B23"/>
    <w:rsid w:val="00891E31"/>
    <w:rsid w:val="008A10B2"/>
    <w:rsid w:val="008B1C28"/>
    <w:rsid w:val="008C24CC"/>
    <w:rsid w:val="008C7E7C"/>
    <w:rsid w:val="008D1D7F"/>
    <w:rsid w:val="008F64E9"/>
    <w:rsid w:val="008F77EE"/>
    <w:rsid w:val="00904EA2"/>
    <w:rsid w:val="00940831"/>
    <w:rsid w:val="00950339"/>
    <w:rsid w:val="00960FAA"/>
    <w:rsid w:val="009626AA"/>
    <w:rsid w:val="0097726C"/>
    <w:rsid w:val="0098145D"/>
    <w:rsid w:val="009830FD"/>
    <w:rsid w:val="00986A7C"/>
    <w:rsid w:val="009918C4"/>
    <w:rsid w:val="009A084D"/>
    <w:rsid w:val="009B005C"/>
    <w:rsid w:val="009B0125"/>
    <w:rsid w:val="009B58AF"/>
    <w:rsid w:val="009C379C"/>
    <w:rsid w:val="009D40D8"/>
    <w:rsid w:val="009D718A"/>
    <w:rsid w:val="009E1B35"/>
    <w:rsid w:val="009E74AD"/>
    <w:rsid w:val="009F29D5"/>
    <w:rsid w:val="009F3F06"/>
    <w:rsid w:val="009F539F"/>
    <w:rsid w:val="00A0202F"/>
    <w:rsid w:val="00A05634"/>
    <w:rsid w:val="00A127DE"/>
    <w:rsid w:val="00A16DFE"/>
    <w:rsid w:val="00A24A6E"/>
    <w:rsid w:val="00A55870"/>
    <w:rsid w:val="00A62859"/>
    <w:rsid w:val="00A6428F"/>
    <w:rsid w:val="00A73B46"/>
    <w:rsid w:val="00A82D19"/>
    <w:rsid w:val="00A91197"/>
    <w:rsid w:val="00A93B61"/>
    <w:rsid w:val="00A950CC"/>
    <w:rsid w:val="00A96029"/>
    <w:rsid w:val="00AA1054"/>
    <w:rsid w:val="00AA36D7"/>
    <w:rsid w:val="00AB3F05"/>
    <w:rsid w:val="00AC1815"/>
    <w:rsid w:val="00AC36A7"/>
    <w:rsid w:val="00AE1D23"/>
    <w:rsid w:val="00AF121D"/>
    <w:rsid w:val="00B029F9"/>
    <w:rsid w:val="00B0524B"/>
    <w:rsid w:val="00B16C30"/>
    <w:rsid w:val="00B273B0"/>
    <w:rsid w:val="00B418A3"/>
    <w:rsid w:val="00B533A2"/>
    <w:rsid w:val="00B5658A"/>
    <w:rsid w:val="00B62C32"/>
    <w:rsid w:val="00B85A0D"/>
    <w:rsid w:val="00B90446"/>
    <w:rsid w:val="00BA14F2"/>
    <w:rsid w:val="00BA5BFE"/>
    <w:rsid w:val="00BB4944"/>
    <w:rsid w:val="00BD0C60"/>
    <w:rsid w:val="00BE2645"/>
    <w:rsid w:val="00BE67F0"/>
    <w:rsid w:val="00C064EA"/>
    <w:rsid w:val="00C3372B"/>
    <w:rsid w:val="00C358B5"/>
    <w:rsid w:val="00C42CBD"/>
    <w:rsid w:val="00C4451C"/>
    <w:rsid w:val="00C47C64"/>
    <w:rsid w:val="00C51B18"/>
    <w:rsid w:val="00C5461F"/>
    <w:rsid w:val="00C61A3F"/>
    <w:rsid w:val="00C63FD3"/>
    <w:rsid w:val="00C70626"/>
    <w:rsid w:val="00C95434"/>
    <w:rsid w:val="00CA27D4"/>
    <w:rsid w:val="00CA2A45"/>
    <w:rsid w:val="00CA6F63"/>
    <w:rsid w:val="00CC62F4"/>
    <w:rsid w:val="00CC75B4"/>
    <w:rsid w:val="00CE3455"/>
    <w:rsid w:val="00CF0E73"/>
    <w:rsid w:val="00CF47E1"/>
    <w:rsid w:val="00CF6E94"/>
    <w:rsid w:val="00D03EE5"/>
    <w:rsid w:val="00D0634E"/>
    <w:rsid w:val="00D1386F"/>
    <w:rsid w:val="00D156EC"/>
    <w:rsid w:val="00D320C3"/>
    <w:rsid w:val="00D83A19"/>
    <w:rsid w:val="00DA0D89"/>
    <w:rsid w:val="00DA3C8F"/>
    <w:rsid w:val="00DB35E3"/>
    <w:rsid w:val="00DC6FE4"/>
    <w:rsid w:val="00DD0014"/>
    <w:rsid w:val="00DD5690"/>
    <w:rsid w:val="00DE1B2B"/>
    <w:rsid w:val="00DE7187"/>
    <w:rsid w:val="00DF0E83"/>
    <w:rsid w:val="00DF2823"/>
    <w:rsid w:val="00DF3D1C"/>
    <w:rsid w:val="00E055F9"/>
    <w:rsid w:val="00E11158"/>
    <w:rsid w:val="00E23166"/>
    <w:rsid w:val="00E27593"/>
    <w:rsid w:val="00E33B82"/>
    <w:rsid w:val="00E37D7D"/>
    <w:rsid w:val="00E42839"/>
    <w:rsid w:val="00E43D1B"/>
    <w:rsid w:val="00E43E56"/>
    <w:rsid w:val="00E46E07"/>
    <w:rsid w:val="00E509DB"/>
    <w:rsid w:val="00E51087"/>
    <w:rsid w:val="00E751D8"/>
    <w:rsid w:val="00E90C93"/>
    <w:rsid w:val="00E91FB3"/>
    <w:rsid w:val="00E9483C"/>
    <w:rsid w:val="00E95915"/>
    <w:rsid w:val="00EA7263"/>
    <w:rsid w:val="00EC7D20"/>
    <w:rsid w:val="00EE0078"/>
    <w:rsid w:val="00EE1486"/>
    <w:rsid w:val="00EE5C90"/>
    <w:rsid w:val="00EE7267"/>
    <w:rsid w:val="00EF18FB"/>
    <w:rsid w:val="00F05D98"/>
    <w:rsid w:val="00F3084E"/>
    <w:rsid w:val="00F347DB"/>
    <w:rsid w:val="00F3591D"/>
    <w:rsid w:val="00F572D6"/>
    <w:rsid w:val="00F6067C"/>
    <w:rsid w:val="00F6299C"/>
    <w:rsid w:val="00F65DD0"/>
    <w:rsid w:val="00F67637"/>
    <w:rsid w:val="00F739E9"/>
    <w:rsid w:val="00F7709D"/>
    <w:rsid w:val="00F838D5"/>
    <w:rsid w:val="00FA5733"/>
    <w:rsid w:val="00FA5D36"/>
    <w:rsid w:val="00FB0456"/>
    <w:rsid w:val="00FB04BE"/>
    <w:rsid w:val="00FC0378"/>
    <w:rsid w:val="00FE1942"/>
    <w:rsid w:val="00FE2E5A"/>
    <w:rsid w:val="00FF5BE3"/>
    <w:rsid w:val="021F2F1C"/>
    <w:rsid w:val="02350F57"/>
    <w:rsid w:val="028B5457"/>
    <w:rsid w:val="048028D5"/>
    <w:rsid w:val="05FE4D9E"/>
    <w:rsid w:val="062A4F87"/>
    <w:rsid w:val="065D7953"/>
    <w:rsid w:val="06624721"/>
    <w:rsid w:val="06B50CF4"/>
    <w:rsid w:val="06FA704F"/>
    <w:rsid w:val="07AD40C1"/>
    <w:rsid w:val="082C7F0C"/>
    <w:rsid w:val="088755BB"/>
    <w:rsid w:val="08EE04EE"/>
    <w:rsid w:val="093E76C7"/>
    <w:rsid w:val="09574760"/>
    <w:rsid w:val="09714747"/>
    <w:rsid w:val="09D019BF"/>
    <w:rsid w:val="0A1026E6"/>
    <w:rsid w:val="0A63050D"/>
    <w:rsid w:val="0AEE023D"/>
    <w:rsid w:val="0BBA3B06"/>
    <w:rsid w:val="0BD71E82"/>
    <w:rsid w:val="0C8A2C23"/>
    <w:rsid w:val="0DF227A4"/>
    <w:rsid w:val="0E433671"/>
    <w:rsid w:val="0E734FCF"/>
    <w:rsid w:val="0E744C7A"/>
    <w:rsid w:val="0E76252A"/>
    <w:rsid w:val="0E7917D2"/>
    <w:rsid w:val="0E8D1CD1"/>
    <w:rsid w:val="0EAB2B6B"/>
    <w:rsid w:val="0ECF2B6F"/>
    <w:rsid w:val="0F6C1DB4"/>
    <w:rsid w:val="0F6F5A6E"/>
    <w:rsid w:val="0FB35FED"/>
    <w:rsid w:val="104135F9"/>
    <w:rsid w:val="1136523C"/>
    <w:rsid w:val="11DB182B"/>
    <w:rsid w:val="12541D09"/>
    <w:rsid w:val="12B83A1C"/>
    <w:rsid w:val="13084BF5"/>
    <w:rsid w:val="134A4EBA"/>
    <w:rsid w:val="13804818"/>
    <w:rsid w:val="15700933"/>
    <w:rsid w:val="15872EC9"/>
    <w:rsid w:val="163D4862"/>
    <w:rsid w:val="16AB4A88"/>
    <w:rsid w:val="16D575E7"/>
    <w:rsid w:val="170368DE"/>
    <w:rsid w:val="17CF06B3"/>
    <w:rsid w:val="18A62EAB"/>
    <w:rsid w:val="18D3325C"/>
    <w:rsid w:val="1AB248CF"/>
    <w:rsid w:val="1AF57E02"/>
    <w:rsid w:val="1B961A2C"/>
    <w:rsid w:val="1C281B11"/>
    <w:rsid w:val="1C393FCE"/>
    <w:rsid w:val="1C4A1A87"/>
    <w:rsid w:val="1D5F5185"/>
    <w:rsid w:val="1D646B79"/>
    <w:rsid w:val="1D94745E"/>
    <w:rsid w:val="1E2F53D8"/>
    <w:rsid w:val="1E543091"/>
    <w:rsid w:val="1F114ADE"/>
    <w:rsid w:val="1F155ECE"/>
    <w:rsid w:val="1F3031B6"/>
    <w:rsid w:val="1FF673CA"/>
    <w:rsid w:val="20FC3C98"/>
    <w:rsid w:val="22827E15"/>
    <w:rsid w:val="22AF4D3A"/>
    <w:rsid w:val="2370112B"/>
    <w:rsid w:val="23A83C63"/>
    <w:rsid w:val="23C32D8B"/>
    <w:rsid w:val="23DB3F63"/>
    <w:rsid w:val="24465EFD"/>
    <w:rsid w:val="24DE5462"/>
    <w:rsid w:val="25333A00"/>
    <w:rsid w:val="2562533C"/>
    <w:rsid w:val="25BF7728"/>
    <w:rsid w:val="269229A8"/>
    <w:rsid w:val="26DA5C3E"/>
    <w:rsid w:val="2745371A"/>
    <w:rsid w:val="27CE7A10"/>
    <w:rsid w:val="27F600B2"/>
    <w:rsid w:val="28EA2F04"/>
    <w:rsid w:val="29F71032"/>
    <w:rsid w:val="2AD104E4"/>
    <w:rsid w:val="2AEF5D34"/>
    <w:rsid w:val="2B0E1E1F"/>
    <w:rsid w:val="2B1B32F7"/>
    <w:rsid w:val="2B3F3269"/>
    <w:rsid w:val="2C1A3224"/>
    <w:rsid w:val="2C9C2162"/>
    <w:rsid w:val="2CBA5C99"/>
    <w:rsid w:val="2D1759B5"/>
    <w:rsid w:val="2D4402E1"/>
    <w:rsid w:val="2D9D235F"/>
    <w:rsid w:val="2E00644A"/>
    <w:rsid w:val="2E56402D"/>
    <w:rsid w:val="2E7712D2"/>
    <w:rsid w:val="2F8D1C03"/>
    <w:rsid w:val="30DE13F4"/>
    <w:rsid w:val="323C47BB"/>
    <w:rsid w:val="3321133C"/>
    <w:rsid w:val="33615BDC"/>
    <w:rsid w:val="342A2472"/>
    <w:rsid w:val="34FC2660"/>
    <w:rsid w:val="360C6034"/>
    <w:rsid w:val="3680281D"/>
    <w:rsid w:val="36C2479A"/>
    <w:rsid w:val="36F079A3"/>
    <w:rsid w:val="372206EE"/>
    <w:rsid w:val="37586C7E"/>
    <w:rsid w:val="38174ABC"/>
    <w:rsid w:val="38EF7122"/>
    <w:rsid w:val="3A064DE8"/>
    <w:rsid w:val="3A396F6B"/>
    <w:rsid w:val="3CDA60C5"/>
    <w:rsid w:val="3CDF3E63"/>
    <w:rsid w:val="3D235CB1"/>
    <w:rsid w:val="3D54230E"/>
    <w:rsid w:val="3DB039E8"/>
    <w:rsid w:val="3F3B5533"/>
    <w:rsid w:val="3F855194"/>
    <w:rsid w:val="3F9E5AF5"/>
    <w:rsid w:val="3FFB177B"/>
    <w:rsid w:val="406A5594"/>
    <w:rsid w:val="41A87A44"/>
    <w:rsid w:val="41B15F81"/>
    <w:rsid w:val="41BE41FA"/>
    <w:rsid w:val="42417305"/>
    <w:rsid w:val="42777F20"/>
    <w:rsid w:val="42A45AE6"/>
    <w:rsid w:val="42B51AA1"/>
    <w:rsid w:val="42CB6BCE"/>
    <w:rsid w:val="42DD053E"/>
    <w:rsid w:val="43892C26"/>
    <w:rsid w:val="43D81D74"/>
    <w:rsid w:val="44A26356"/>
    <w:rsid w:val="44A616A1"/>
    <w:rsid w:val="45A51959"/>
    <w:rsid w:val="462C02CC"/>
    <w:rsid w:val="47AA594C"/>
    <w:rsid w:val="47EA3E68"/>
    <w:rsid w:val="485E5304"/>
    <w:rsid w:val="486E77C8"/>
    <w:rsid w:val="489772F0"/>
    <w:rsid w:val="48981C49"/>
    <w:rsid w:val="493E26B7"/>
    <w:rsid w:val="49D42A65"/>
    <w:rsid w:val="4A4F27DB"/>
    <w:rsid w:val="4AFA62A3"/>
    <w:rsid w:val="4B48362D"/>
    <w:rsid w:val="4BA12BC2"/>
    <w:rsid w:val="4C0D2006"/>
    <w:rsid w:val="4C8074D6"/>
    <w:rsid w:val="4C9C48D0"/>
    <w:rsid w:val="4CE360FF"/>
    <w:rsid w:val="4EEE652E"/>
    <w:rsid w:val="4EF63225"/>
    <w:rsid w:val="50646EE4"/>
    <w:rsid w:val="51295E33"/>
    <w:rsid w:val="53257A81"/>
    <w:rsid w:val="53AB6CD4"/>
    <w:rsid w:val="546D21DB"/>
    <w:rsid w:val="556331D3"/>
    <w:rsid w:val="56DB79FF"/>
    <w:rsid w:val="57392849"/>
    <w:rsid w:val="580A7B81"/>
    <w:rsid w:val="593F3A1A"/>
    <w:rsid w:val="59871AC3"/>
    <w:rsid w:val="59D309F0"/>
    <w:rsid w:val="5A1A017F"/>
    <w:rsid w:val="5A364A3A"/>
    <w:rsid w:val="5A916CD3"/>
    <w:rsid w:val="5AFC6067"/>
    <w:rsid w:val="5BA16936"/>
    <w:rsid w:val="5BE709C6"/>
    <w:rsid w:val="5BEA4B0C"/>
    <w:rsid w:val="5C5B500F"/>
    <w:rsid w:val="5D470628"/>
    <w:rsid w:val="5DB01CA7"/>
    <w:rsid w:val="5DF179D9"/>
    <w:rsid w:val="5E396414"/>
    <w:rsid w:val="5E6E0245"/>
    <w:rsid w:val="5ED15115"/>
    <w:rsid w:val="5ED82947"/>
    <w:rsid w:val="5F1A6ABC"/>
    <w:rsid w:val="5F3D09FC"/>
    <w:rsid w:val="5F571ABE"/>
    <w:rsid w:val="604E62A2"/>
    <w:rsid w:val="608D588B"/>
    <w:rsid w:val="612A4AE1"/>
    <w:rsid w:val="61AE4130"/>
    <w:rsid w:val="61FE5408"/>
    <w:rsid w:val="628D6DFD"/>
    <w:rsid w:val="62DE42A4"/>
    <w:rsid w:val="64421FF9"/>
    <w:rsid w:val="65444B12"/>
    <w:rsid w:val="660202AA"/>
    <w:rsid w:val="665B17D8"/>
    <w:rsid w:val="67BD3F72"/>
    <w:rsid w:val="67DC5256"/>
    <w:rsid w:val="67E5006B"/>
    <w:rsid w:val="68523C9C"/>
    <w:rsid w:val="69735746"/>
    <w:rsid w:val="69CD06FC"/>
    <w:rsid w:val="69F60125"/>
    <w:rsid w:val="6A0C70DE"/>
    <w:rsid w:val="6A4946F9"/>
    <w:rsid w:val="6A694D9B"/>
    <w:rsid w:val="6ADF0C04"/>
    <w:rsid w:val="6B6E799E"/>
    <w:rsid w:val="6B8C6F93"/>
    <w:rsid w:val="6C266F3E"/>
    <w:rsid w:val="6C835B15"/>
    <w:rsid w:val="6D8601D1"/>
    <w:rsid w:val="6D88378A"/>
    <w:rsid w:val="6D9B4D34"/>
    <w:rsid w:val="6E254810"/>
    <w:rsid w:val="6E9248C1"/>
    <w:rsid w:val="6F2226D7"/>
    <w:rsid w:val="6F3A28AE"/>
    <w:rsid w:val="6F581E54"/>
    <w:rsid w:val="6FB62831"/>
    <w:rsid w:val="70CE7706"/>
    <w:rsid w:val="70DD4CE7"/>
    <w:rsid w:val="7143510B"/>
    <w:rsid w:val="71C034F3"/>
    <w:rsid w:val="72946600"/>
    <w:rsid w:val="72C53305"/>
    <w:rsid w:val="72C57C74"/>
    <w:rsid w:val="72CE7E91"/>
    <w:rsid w:val="72D40618"/>
    <w:rsid w:val="730E401F"/>
    <w:rsid w:val="735C724B"/>
    <w:rsid w:val="73775FE8"/>
    <w:rsid w:val="7399049F"/>
    <w:rsid w:val="73B10D49"/>
    <w:rsid w:val="74F57957"/>
    <w:rsid w:val="74FC2707"/>
    <w:rsid w:val="75A60C51"/>
    <w:rsid w:val="75AD70BD"/>
    <w:rsid w:val="75C20000"/>
    <w:rsid w:val="75EE10A6"/>
    <w:rsid w:val="763B3A90"/>
    <w:rsid w:val="77594010"/>
    <w:rsid w:val="783830F2"/>
    <w:rsid w:val="784C05C2"/>
    <w:rsid w:val="784F4498"/>
    <w:rsid w:val="79865022"/>
    <w:rsid w:val="7A787CE0"/>
    <w:rsid w:val="7AA634A2"/>
    <w:rsid w:val="7B3B1E3C"/>
    <w:rsid w:val="7B8B16C1"/>
    <w:rsid w:val="7BB557D8"/>
    <w:rsid w:val="7BC73422"/>
    <w:rsid w:val="7C52568F"/>
    <w:rsid w:val="7C605FFE"/>
    <w:rsid w:val="7CA53A11"/>
    <w:rsid w:val="7CCD740C"/>
    <w:rsid w:val="7D5C3DD6"/>
    <w:rsid w:val="7DAC5273"/>
    <w:rsid w:val="7E510333"/>
    <w:rsid w:val="7E5C4657"/>
    <w:rsid w:val="7E694F72"/>
    <w:rsid w:val="7EC30AC6"/>
    <w:rsid w:val="7F1954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0"/>
    <w:pPr>
      <w:jc w:val="left"/>
    </w:pPr>
  </w:style>
  <w:style w:type="paragraph" w:styleId="3">
    <w:name w:val="Balloon Text"/>
    <w:basedOn w:val="1"/>
    <w:link w:val="20"/>
    <w:semiHidden/>
    <w:unhideWhenUsed/>
    <w:qFormat/>
    <w:uiPriority w:val="0"/>
    <w:rPr>
      <w:sz w:val="18"/>
      <w:szCs w:val="18"/>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9"/>
    <w:semiHidden/>
    <w:unhideWhenUsed/>
    <w:qFormat/>
    <w:uiPriority w:val="0"/>
    <w:rPr>
      <w:b/>
      <w:bCs/>
    </w:rPr>
  </w:style>
  <w:style w:type="table" w:styleId="8">
    <w:name w:val="Table Grid"/>
    <w:basedOn w:val="7"/>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0"/>
    <w:rPr>
      <w:sz w:val="21"/>
      <w:szCs w:val="21"/>
    </w:rPr>
  </w:style>
  <w:style w:type="paragraph" w:customStyle="1" w:styleId="11">
    <w:name w:val="Table Paragraph"/>
    <w:basedOn w:val="1"/>
    <w:qFormat/>
    <w:uiPriority w:val="0"/>
    <w:pPr>
      <w:jc w:val="left"/>
    </w:pPr>
    <w:rPr>
      <w:kern w:val="0"/>
      <w:sz w:val="22"/>
      <w:szCs w:val="22"/>
    </w:rPr>
  </w:style>
  <w:style w:type="table" w:customStyle="1" w:styleId="12">
    <w:name w:val="Table Normal"/>
    <w:basedOn w:val="7"/>
    <w:semiHidden/>
    <w:qFormat/>
    <w:uiPriority w:val="0"/>
    <w:tblPr>
      <w:tblCellMar>
        <w:left w:w="0" w:type="dxa"/>
        <w:right w:w="0" w:type="dxa"/>
      </w:tblCellMar>
    </w:tblPr>
  </w:style>
  <w:style w:type="character" w:customStyle="1" w:styleId="13">
    <w:name w:val="页眉 字符"/>
    <w:link w:val="5"/>
    <w:qFormat/>
    <w:uiPriority w:val="0"/>
    <w:rPr>
      <w:rFonts w:cs="Times New Roman"/>
      <w:kern w:val="2"/>
      <w:sz w:val="18"/>
      <w:szCs w:val="18"/>
    </w:rPr>
  </w:style>
  <w:style w:type="character" w:customStyle="1" w:styleId="14">
    <w:name w:val="页脚 字符"/>
    <w:link w:val="4"/>
    <w:qFormat/>
    <w:uiPriority w:val="0"/>
    <w:rPr>
      <w:rFonts w:cs="Times New Roman"/>
      <w:kern w:val="2"/>
      <w:sz w:val="18"/>
      <w:szCs w:val="18"/>
    </w:rPr>
  </w:style>
  <w:style w:type="paragraph" w:customStyle="1" w:styleId="15">
    <w:name w:val="列表段落1"/>
    <w:basedOn w:val="1"/>
    <w:qFormat/>
    <w:uiPriority w:val="99"/>
    <w:pPr>
      <w:ind w:firstLine="420" w:firstLineChars="200"/>
    </w:pPr>
  </w:style>
  <w:style w:type="character" w:customStyle="1" w:styleId="16">
    <w:name w:val="oli-avatar-text"/>
    <w:basedOn w:val="9"/>
    <w:qFormat/>
    <w:uiPriority w:val="0"/>
  </w:style>
  <w:style w:type="paragraph" w:styleId="17">
    <w:name w:val="List Paragraph"/>
    <w:basedOn w:val="1"/>
    <w:qFormat/>
    <w:uiPriority w:val="99"/>
    <w:pPr>
      <w:ind w:firstLine="420" w:firstLineChars="200"/>
    </w:pPr>
  </w:style>
  <w:style w:type="character" w:customStyle="1" w:styleId="18">
    <w:name w:val="批注文字 字符"/>
    <w:basedOn w:val="9"/>
    <w:link w:val="2"/>
    <w:semiHidden/>
    <w:qFormat/>
    <w:uiPriority w:val="0"/>
    <w:rPr>
      <w:rFonts w:cs="Times New Roman"/>
      <w:kern w:val="2"/>
      <w:sz w:val="21"/>
      <w:szCs w:val="24"/>
    </w:rPr>
  </w:style>
  <w:style w:type="character" w:customStyle="1" w:styleId="19">
    <w:name w:val="批注主题 字符"/>
    <w:basedOn w:val="18"/>
    <w:link w:val="6"/>
    <w:semiHidden/>
    <w:qFormat/>
    <w:uiPriority w:val="0"/>
    <w:rPr>
      <w:rFonts w:cs="Times New Roman"/>
      <w:b/>
      <w:bCs/>
      <w:kern w:val="2"/>
      <w:sz w:val="21"/>
      <w:szCs w:val="24"/>
    </w:rPr>
  </w:style>
  <w:style w:type="character" w:customStyle="1" w:styleId="20">
    <w:name w:val="批注框文本 字符"/>
    <w:basedOn w:val="9"/>
    <w:link w:val="3"/>
    <w:semiHidden/>
    <w:qFormat/>
    <w:uiPriority w:val="0"/>
    <w:rPr>
      <w:rFonts w:cs="Times New Roman"/>
      <w:kern w:val="2"/>
      <w:sz w:val="18"/>
      <w:szCs w:val="18"/>
    </w:rPr>
  </w:style>
  <w:style w:type="paragraph" w:customStyle="1" w:styleId="21">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2">
    <w:name w:val="修订1"/>
    <w:hidden/>
    <w:semiHidden/>
    <w:qFormat/>
    <w:uiPriority w:val="99"/>
    <w:rPr>
      <w:rFonts w:ascii="Calibri" w:hAnsi="Calibri" w:eastAsia="宋体" w:cs="Times New Roman"/>
      <w:kern w:val="2"/>
      <w:sz w:val="21"/>
      <w:szCs w:val="24"/>
      <w:lang w:val="en-US" w:eastAsia="zh-CN" w:bidi="ar-SA"/>
    </w:rPr>
  </w:style>
  <w:style w:type="character" w:customStyle="1" w:styleId="23">
    <w:name w:val="font11"/>
    <w:basedOn w:val="9"/>
    <w:qFormat/>
    <w:uiPriority w:val="0"/>
    <w:rPr>
      <w:rFonts w:hint="eastAsia" w:ascii="宋体" w:hAnsi="宋体" w:eastAsia="宋体" w:cs="宋体"/>
      <w:color w:val="000000"/>
      <w:sz w:val="21"/>
      <w:szCs w:val="21"/>
      <w:u w:val="none"/>
    </w:rPr>
  </w:style>
  <w:style w:type="character" w:customStyle="1" w:styleId="24">
    <w:name w:val="font21"/>
    <w:basedOn w:val="9"/>
    <w:qFormat/>
    <w:uiPriority w:val="0"/>
    <w:rPr>
      <w:rFonts w:hint="default" w:ascii="Times New Roman" w:hAnsi="Times New Roman" w:cs="Times New Roman"/>
      <w:color w:val="000000"/>
      <w:sz w:val="21"/>
      <w:szCs w:val="21"/>
      <w:u w:val="none"/>
    </w:rPr>
  </w:style>
  <w:style w:type="paragraph" w:customStyle="1" w:styleId="25">
    <w:name w:val="修订2"/>
    <w:hidden/>
    <w:unhideWhenUsed/>
    <w:qFormat/>
    <w:uiPriority w:val="99"/>
    <w:rPr>
      <w:rFonts w:ascii="Calibri" w:hAnsi="Calibri" w:eastAsia="宋体" w:cs="Times New Roman"/>
      <w:kern w:val="2"/>
      <w:sz w:val="21"/>
      <w:szCs w:val="24"/>
      <w:lang w:val="en-US" w:eastAsia="zh-CN" w:bidi="ar-SA"/>
    </w:rPr>
  </w:style>
  <w:style w:type="paragraph" w:customStyle="1" w:styleId="26">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Kingsoft</Company>
  <Pages>2</Pages>
  <Words>1223</Words>
  <Characters>1362</Characters>
  <Lines>13</Lines>
  <Paragraphs>3</Paragraphs>
  <TotalTime>3</TotalTime>
  <ScaleCrop>false</ScaleCrop>
  <LinksUpToDate>false</LinksUpToDate>
  <CharactersWithSpaces>1436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2022-11-11T07:57:00Z</dcterms:created>
  <dc:creator>admin</dc:creator>
  <cp:lastModifiedBy>姜怡</cp:lastModifiedBy>
  <cp:lastPrinted>2025-02-14T06:02:00Z</cp:lastPrinted>
  <dcterms:modified xsi:type="dcterms:W3CDTF">2026-07-17T05:58:11Z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8CDCF04A83DF44E89019682932690EDB_12</vt:lpwstr>
  </property>
  <property fmtid="{D5CDD505-2E9C-101B-9397-08002B2CF9AE}" pid="4" name="KSOTemplateDocerSaveRecord">
    <vt:lpwstr>eyJoZGlkIjoiNDdiZGQxNmMzYTcwYjk0ZmU1Y2E2MWRhMzUyNWU5ZWQiLCJ1c2VySWQiOiIzODQ4ODI1MDMifQ==</vt:lpwstr>
  </property>
</Properties>
</file>