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84A84">
      <w:pPr>
        <w:spacing w:line="360" w:lineRule="auto"/>
        <w:rPr>
          <w:rFonts w:ascii="宋体" w:hAnsi="宋体"/>
          <w:b/>
          <w:sz w:val="24"/>
          <w:szCs w:val="28"/>
        </w:rPr>
      </w:pPr>
      <w:bookmarkStart w:id="0" w:name="_bookmark11"/>
      <w:bookmarkEnd w:id="0"/>
      <w:r>
        <w:rPr>
          <w:rFonts w:ascii="宋体" w:hAnsi="宋体"/>
          <w:b/>
          <w:sz w:val="24"/>
          <w:szCs w:val="28"/>
        </w:rPr>
        <w:t>证券代码：</w:t>
      </w:r>
      <w:r>
        <w:rPr>
          <w:rFonts w:hint="eastAsia" w:ascii="宋体" w:hAnsi="宋体"/>
          <w:b/>
          <w:sz w:val="24"/>
          <w:szCs w:val="28"/>
        </w:rPr>
        <w:t>603334</w:t>
      </w:r>
      <w:r>
        <w:rPr>
          <w:rFonts w:ascii="宋体" w:hAnsi="宋体"/>
          <w:b/>
          <w:sz w:val="24"/>
          <w:szCs w:val="28"/>
        </w:rPr>
        <w:t xml:space="preserve">                                  证券简称：</w:t>
      </w:r>
      <w:r>
        <w:rPr>
          <w:rFonts w:hint="eastAsia" w:ascii="宋体" w:hAnsi="宋体"/>
          <w:b/>
          <w:sz w:val="24"/>
          <w:szCs w:val="28"/>
        </w:rPr>
        <w:t>丰倍生物</w:t>
      </w:r>
    </w:p>
    <w:p w14:paraId="24CFA12B">
      <w:pPr>
        <w:spacing w:before="156" w:beforeLines="50"/>
        <w:ind w:firstLine="281" w:firstLineChars="100"/>
        <w:jc w:val="center"/>
        <w:rPr>
          <w:b/>
          <w:sz w:val="28"/>
          <w:szCs w:val="28"/>
        </w:rPr>
      </w:pPr>
      <w:r>
        <w:rPr>
          <w:rFonts w:hint="eastAsia"/>
          <w:b/>
          <w:sz w:val="28"/>
          <w:szCs w:val="28"/>
        </w:rPr>
        <w:t>苏州丰倍生物科技股份有限公司</w:t>
      </w:r>
    </w:p>
    <w:p w14:paraId="4C66A1B9">
      <w:pPr>
        <w:ind w:firstLine="281" w:firstLineChars="100"/>
        <w:jc w:val="center"/>
        <w:rPr>
          <w:b/>
          <w:sz w:val="28"/>
          <w:szCs w:val="28"/>
        </w:rPr>
      </w:pPr>
      <w:r>
        <w:rPr>
          <w:rFonts w:hint="eastAsia"/>
          <w:b/>
          <w:sz w:val="28"/>
          <w:szCs w:val="28"/>
        </w:rPr>
        <w:t>投资者关系活动记录表</w:t>
      </w:r>
    </w:p>
    <w:p w14:paraId="18570B67">
      <w:pPr>
        <w:ind w:firstLine="241" w:firstLineChars="100"/>
        <w:jc w:val="right"/>
        <w:rPr>
          <w:rFonts w:hint="eastAsia" w:eastAsia="宋体"/>
          <w:b/>
          <w:sz w:val="24"/>
          <w:szCs w:val="28"/>
          <w:lang w:val="en-US" w:eastAsia="zh-CN"/>
        </w:rPr>
      </w:pPr>
      <w:r>
        <w:rPr>
          <w:b/>
          <w:sz w:val="24"/>
          <w:szCs w:val="28"/>
        </w:rPr>
        <w:t>编号：</w:t>
      </w:r>
      <w:r>
        <w:rPr>
          <w:rFonts w:ascii="宋体" w:hAnsi="宋体"/>
          <w:b/>
          <w:sz w:val="24"/>
          <w:szCs w:val="28"/>
        </w:rPr>
        <w:t>202</w:t>
      </w:r>
      <w:r>
        <w:rPr>
          <w:rFonts w:hint="eastAsia" w:ascii="宋体" w:hAnsi="宋体"/>
          <w:b/>
          <w:sz w:val="24"/>
          <w:szCs w:val="28"/>
        </w:rPr>
        <w:t>6</w:t>
      </w:r>
      <w:r>
        <w:rPr>
          <w:rFonts w:ascii="宋体" w:hAnsi="宋体"/>
          <w:b/>
          <w:sz w:val="24"/>
          <w:szCs w:val="28"/>
        </w:rPr>
        <w:t>-0</w:t>
      </w:r>
      <w:r>
        <w:rPr>
          <w:rFonts w:hint="eastAsia" w:ascii="宋体" w:hAnsi="宋体"/>
          <w:b/>
          <w:sz w:val="24"/>
          <w:szCs w:val="28"/>
        </w:rPr>
        <w:t>0</w:t>
      </w:r>
      <w:r>
        <w:rPr>
          <w:rFonts w:hint="eastAsia" w:ascii="宋体" w:hAnsi="宋体"/>
          <w:b/>
          <w:sz w:val="24"/>
          <w:szCs w:val="28"/>
          <w:lang w:val="en-US" w:eastAsia="zh-CN"/>
        </w:rPr>
        <w:t>5</w:t>
      </w:r>
    </w:p>
    <w:tbl>
      <w:tblPr>
        <w:tblStyle w:val="4"/>
        <w:tblW w:w="935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58"/>
        <w:gridCol w:w="6095"/>
      </w:tblGrid>
      <w:tr w14:paraId="7B3C5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0" w:hRule="atLeast"/>
          <w:jc w:val="center"/>
        </w:trPr>
        <w:tc>
          <w:tcPr>
            <w:tcW w:w="3258" w:type="dxa"/>
            <w:vAlign w:val="center"/>
          </w:tcPr>
          <w:p w14:paraId="5E5D360C">
            <w:pPr>
              <w:widowControl/>
              <w:kinsoku w:val="0"/>
              <w:autoSpaceDE w:val="0"/>
              <w:autoSpaceDN w:val="0"/>
              <w:adjustRightInd w:val="0"/>
              <w:snapToGrid w:val="0"/>
              <w:spacing w:before="75" w:line="227" w:lineRule="auto"/>
              <w:ind w:firstLine="260" w:firstLineChars="100"/>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投资者关系活动类别</w:t>
            </w:r>
          </w:p>
        </w:tc>
        <w:tc>
          <w:tcPr>
            <w:tcW w:w="6095" w:type="dxa"/>
            <w:vAlign w:val="center"/>
          </w:tcPr>
          <w:p w14:paraId="38EF5D13">
            <w:pPr>
              <w:widowControl/>
              <w:kinsoku w:val="0"/>
              <w:autoSpaceDE w:val="0"/>
              <w:autoSpaceDN w:val="0"/>
              <w:adjustRightInd w:val="0"/>
              <w:snapToGrid w:val="0"/>
              <w:spacing w:before="75" w:line="227" w:lineRule="auto"/>
              <w:ind w:left="343"/>
              <w:textAlignment w:val="baseline"/>
              <w:rPr>
                <w:rFonts w:ascii="宋体" w:hAnsi="宋体"/>
                <w:snapToGrid w:val="0"/>
                <w:color w:val="000000"/>
                <w:spacing w:val="7"/>
                <w:kern w:val="0"/>
                <w:sz w:val="24"/>
              </w:rPr>
            </w:pPr>
            <w:r>
              <w:rPr>
                <w:rFonts w:hint="eastAsia" w:ascii="MS Gothic" w:hAnsi="MS Gothic"/>
                <w:sz w:val="24"/>
              </w:rPr>
              <w:t>☑</w:t>
            </w:r>
            <w:r>
              <w:rPr>
                <w:rFonts w:ascii="宋体" w:hAnsi="宋体"/>
                <w:snapToGrid w:val="0"/>
                <w:color w:val="000000"/>
                <w:spacing w:val="7"/>
                <w:kern w:val="0"/>
                <w:sz w:val="24"/>
              </w:rPr>
              <w:t>特定对象调研        □分析师会议</w:t>
            </w:r>
          </w:p>
          <w:p w14:paraId="51D27F43">
            <w:pPr>
              <w:widowControl/>
              <w:kinsoku w:val="0"/>
              <w:autoSpaceDE w:val="0"/>
              <w:autoSpaceDN w:val="0"/>
              <w:adjustRightInd w:val="0"/>
              <w:snapToGrid w:val="0"/>
              <w:spacing w:before="182" w:line="227" w:lineRule="auto"/>
              <w:ind w:left="343"/>
              <w:textAlignment w:val="baseline"/>
              <w:rPr>
                <w:rFonts w:ascii="宋体" w:hAnsi="宋体"/>
                <w:snapToGrid w:val="0"/>
                <w:color w:val="000000"/>
                <w:spacing w:val="7"/>
                <w:kern w:val="0"/>
                <w:sz w:val="24"/>
              </w:rPr>
            </w:pPr>
            <w:r>
              <w:rPr>
                <w:rFonts w:hint="eastAsia" w:ascii="宋体" w:hAnsi="宋体"/>
                <w:snapToGrid w:val="0"/>
                <w:color w:val="000000"/>
                <w:spacing w:val="7"/>
                <w:kern w:val="0"/>
                <w:sz w:val="24"/>
              </w:rPr>
              <w:t>□</w:t>
            </w:r>
            <w:r>
              <w:rPr>
                <w:rFonts w:ascii="宋体" w:hAnsi="宋体"/>
                <w:snapToGrid w:val="0"/>
                <w:color w:val="000000"/>
                <w:spacing w:val="7"/>
                <w:kern w:val="0"/>
                <w:sz w:val="24"/>
              </w:rPr>
              <w:t xml:space="preserve">媒体采访            </w:t>
            </w:r>
            <w:r>
              <w:rPr>
                <w:rFonts w:hint="eastAsia" w:ascii="宋体" w:hAnsi="宋体"/>
                <w:snapToGrid w:val="0"/>
                <w:color w:val="000000"/>
                <w:spacing w:val="7"/>
                <w:kern w:val="0"/>
                <w:sz w:val="24"/>
              </w:rPr>
              <w:t>□</w:t>
            </w:r>
            <w:r>
              <w:rPr>
                <w:rFonts w:ascii="宋体" w:hAnsi="宋体"/>
                <w:snapToGrid w:val="0"/>
                <w:color w:val="000000"/>
                <w:spacing w:val="7"/>
                <w:kern w:val="0"/>
                <w:sz w:val="24"/>
              </w:rPr>
              <w:t>业绩说明会</w:t>
            </w:r>
          </w:p>
          <w:p w14:paraId="1369139F">
            <w:pPr>
              <w:widowControl/>
              <w:kinsoku w:val="0"/>
              <w:autoSpaceDE w:val="0"/>
              <w:autoSpaceDN w:val="0"/>
              <w:adjustRightInd w:val="0"/>
              <w:snapToGrid w:val="0"/>
              <w:spacing w:before="185" w:line="227" w:lineRule="auto"/>
              <w:ind w:left="343"/>
              <w:textAlignment w:val="baseline"/>
              <w:rPr>
                <w:rFonts w:ascii="宋体" w:hAnsi="宋体"/>
                <w:snapToGrid w:val="0"/>
                <w:color w:val="000000"/>
                <w:spacing w:val="7"/>
                <w:kern w:val="0"/>
                <w:sz w:val="24"/>
              </w:rPr>
            </w:pPr>
            <w:r>
              <w:rPr>
                <w:rFonts w:ascii="宋体" w:hAnsi="宋体"/>
                <w:snapToGrid w:val="0"/>
                <w:color w:val="000000"/>
                <w:spacing w:val="7"/>
                <w:kern w:val="0"/>
                <w:sz w:val="24"/>
              </w:rPr>
              <w:t>□新闻发布会          □路演活动</w:t>
            </w:r>
          </w:p>
          <w:p w14:paraId="41226BEA">
            <w:pPr>
              <w:widowControl/>
              <w:kinsoku w:val="0"/>
              <w:autoSpaceDE w:val="0"/>
              <w:autoSpaceDN w:val="0"/>
              <w:adjustRightInd w:val="0"/>
              <w:snapToGrid w:val="0"/>
              <w:spacing w:before="182" w:line="227" w:lineRule="auto"/>
              <w:ind w:left="343"/>
              <w:textAlignment w:val="baseline"/>
              <w:rPr>
                <w:rFonts w:ascii="宋体" w:hAnsi="宋体"/>
                <w:snapToGrid w:val="0"/>
                <w:color w:val="000000"/>
                <w:spacing w:val="7"/>
                <w:kern w:val="0"/>
                <w:sz w:val="24"/>
              </w:rPr>
            </w:pPr>
            <w:r>
              <w:rPr>
                <w:rFonts w:ascii="宋体" w:hAnsi="宋体"/>
                <w:snapToGrid w:val="0"/>
                <w:color w:val="000000"/>
                <w:spacing w:val="7"/>
                <w:kern w:val="0"/>
                <w:sz w:val="24"/>
              </w:rPr>
              <w:t>□现场参观</w:t>
            </w:r>
            <w:r>
              <w:rPr>
                <w:rFonts w:hint="eastAsia" w:ascii="宋体" w:hAnsi="宋体"/>
                <w:snapToGrid w:val="0"/>
                <w:color w:val="000000"/>
                <w:spacing w:val="7"/>
                <w:kern w:val="0"/>
                <w:sz w:val="24"/>
              </w:rPr>
              <w:t xml:space="preserve">            </w:t>
            </w:r>
            <w:r>
              <w:rPr>
                <w:rFonts w:ascii="宋体" w:hAnsi="宋体"/>
                <w:snapToGrid w:val="0"/>
                <w:color w:val="000000"/>
                <w:spacing w:val="7"/>
                <w:kern w:val="0"/>
                <w:sz w:val="24"/>
              </w:rPr>
              <w:t>□电话会议</w:t>
            </w:r>
          </w:p>
          <w:p w14:paraId="6092CFD7">
            <w:pPr>
              <w:widowControl/>
              <w:kinsoku w:val="0"/>
              <w:autoSpaceDE w:val="0"/>
              <w:autoSpaceDN w:val="0"/>
              <w:adjustRightInd w:val="0"/>
              <w:snapToGrid w:val="0"/>
              <w:spacing w:before="186" w:line="227" w:lineRule="auto"/>
              <w:ind w:left="343"/>
              <w:textAlignment w:val="baseline"/>
              <w:rPr>
                <w:rFonts w:ascii="宋体" w:hAnsi="宋体"/>
                <w:snapToGrid w:val="0"/>
                <w:color w:val="000000"/>
                <w:spacing w:val="7"/>
                <w:kern w:val="0"/>
                <w:sz w:val="24"/>
              </w:rPr>
            </w:pPr>
            <w:r>
              <w:rPr>
                <w:rFonts w:ascii="宋体" w:hAnsi="宋体"/>
                <w:snapToGrid w:val="0"/>
                <w:color w:val="000000"/>
                <w:spacing w:val="7"/>
                <w:kern w:val="0"/>
                <w:sz w:val="24"/>
              </w:rPr>
              <w:t xml:space="preserve">□其他  (请文字说明其他活动内容) </w:t>
            </w:r>
          </w:p>
        </w:tc>
      </w:tr>
      <w:tr w14:paraId="19479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3258" w:type="dxa"/>
            <w:vAlign w:val="center"/>
          </w:tcPr>
          <w:p w14:paraId="54025481">
            <w:pPr>
              <w:widowControl/>
              <w:kinsoku w:val="0"/>
              <w:autoSpaceDE w:val="0"/>
              <w:autoSpaceDN w:val="0"/>
              <w:adjustRightInd w:val="0"/>
              <w:snapToGrid w:val="0"/>
              <w:spacing w:before="38" w:line="227" w:lineRule="auto"/>
              <w:ind w:left="323"/>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参与单位名称及人员姓</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名</w:t>
            </w:r>
          </w:p>
        </w:tc>
        <w:tc>
          <w:tcPr>
            <w:tcW w:w="6095" w:type="dxa"/>
            <w:vAlign w:val="center"/>
          </w:tcPr>
          <w:p w14:paraId="7870C522">
            <w:pPr>
              <w:widowControl/>
              <w:kinsoku w:val="0"/>
              <w:autoSpaceDE w:val="0"/>
              <w:autoSpaceDN w:val="0"/>
              <w:adjustRightInd w:val="0"/>
              <w:snapToGrid w:val="0"/>
              <w:spacing w:before="156" w:beforeLines="50" w:line="360" w:lineRule="auto"/>
              <w:ind w:left="105" w:leftChars="50" w:right="105" w:rightChars="50"/>
              <w:textAlignment w:val="baseline"/>
              <w:rPr>
                <w:rFonts w:ascii="宋体" w:hAnsi="宋体" w:cs="Arial"/>
                <w:snapToGrid w:val="0"/>
                <w:color w:val="000000"/>
                <w:kern w:val="0"/>
                <w:sz w:val="24"/>
              </w:rPr>
            </w:pPr>
            <w:r>
              <w:rPr>
                <w:rFonts w:hint="eastAsia" w:ascii="宋体" w:hAnsi="宋体" w:cs="Arial"/>
                <w:snapToGrid w:val="0"/>
                <w:color w:val="000000"/>
                <w:kern w:val="0"/>
                <w:sz w:val="24"/>
              </w:rPr>
              <w:t>长城证券股份有限公司</w:t>
            </w:r>
            <w:r>
              <w:rPr>
                <w:rFonts w:hint="eastAsia" w:ascii="宋体" w:hAnsi="宋体" w:cs="Arial"/>
                <w:snapToGrid w:val="0"/>
                <w:color w:val="000000"/>
                <w:kern w:val="0"/>
                <w:sz w:val="24"/>
                <w:lang w:val="en-US" w:eastAsia="zh-CN"/>
              </w:rPr>
              <w:t xml:space="preserve"> </w:t>
            </w:r>
            <w:r>
              <w:rPr>
                <w:rFonts w:hint="eastAsia" w:ascii="宋体" w:hAnsi="宋体" w:cs="Arial"/>
                <w:snapToGrid w:val="0"/>
                <w:color w:val="000000"/>
                <w:kern w:val="0"/>
                <w:sz w:val="24"/>
              </w:rPr>
              <w:t>廖浩祥</w:t>
            </w:r>
          </w:p>
        </w:tc>
      </w:tr>
      <w:tr w14:paraId="3B4B9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258" w:type="dxa"/>
            <w:vAlign w:val="center"/>
          </w:tcPr>
          <w:p w14:paraId="6A35814E">
            <w:pPr>
              <w:widowControl/>
              <w:kinsoku w:val="0"/>
              <w:autoSpaceDE w:val="0"/>
              <w:autoSpaceDN w:val="0"/>
              <w:adjustRightInd w:val="0"/>
              <w:snapToGrid w:val="0"/>
              <w:spacing w:before="38" w:line="227" w:lineRule="auto"/>
              <w:ind w:left="320"/>
              <w:textAlignment w:val="baseline"/>
              <w:rPr>
                <w:rFonts w:ascii="宋体" w:hAnsi="宋体"/>
                <w:snapToGrid w:val="0"/>
                <w:color w:val="000000"/>
                <w:kern w:val="0"/>
                <w:sz w:val="24"/>
              </w:rPr>
            </w:pPr>
            <w:r>
              <w:rPr>
                <w:rFonts w:ascii="宋体" w:hAnsi="宋体"/>
                <w:snapToGrid w:val="0"/>
                <w:color w:val="000000"/>
                <w:spacing w:val="9"/>
                <w:kern w:val="0"/>
                <w:sz w:val="24"/>
                <w14:textOutline w14:w="4356" w14:cap="sq" w14:cmpd="sng" w14:algn="ctr">
                  <w14:solidFill>
                    <w14:srgbClr w14:val="000000"/>
                  </w14:solidFill>
                  <w14:prstDash w14:val="solid"/>
                  <w14:bevel/>
                </w14:textOutline>
              </w:rPr>
              <w:t>会</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议时间</w:t>
            </w:r>
          </w:p>
        </w:tc>
        <w:tc>
          <w:tcPr>
            <w:tcW w:w="6095" w:type="dxa"/>
            <w:vAlign w:val="center"/>
          </w:tcPr>
          <w:p w14:paraId="21AE6B00">
            <w:pPr>
              <w:widowControl/>
              <w:kinsoku w:val="0"/>
              <w:autoSpaceDE w:val="0"/>
              <w:autoSpaceDN w:val="0"/>
              <w:adjustRightInd w:val="0"/>
              <w:snapToGrid w:val="0"/>
              <w:spacing w:before="156" w:beforeLines="50" w:line="360" w:lineRule="auto"/>
              <w:ind w:left="105" w:leftChars="50" w:right="105" w:rightChars="50"/>
              <w:textAlignment w:val="baseline"/>
              <w:rPr>
                <w:rFonts w:ascii="宋体" w:hAnsi="宋体"/>
                <w:snapToGrid w:val="0"/>
                <w:color w:val="000000"/>
                <w:kern w:val="0"/>
                <w:sz w:val="24"/>
              </w:rPr>
            </w:pPr>
            <w:r>
              <w:rPr>
                <w:rFonts w:hint="eastAsia" w:ascii="宋体" w:hAnsi="宋体"/>
                <w:snapToGrid w:val="0"/>
                <w:color w:val="000000"/>
                <w:spacing w:val="7"/>
                <w:kern w:val="0"/>
                <w:sz w:val="24"/>
              </w:rPr>
              <w:t>2</w:t>
            </w:r>
            <w:r>
              <w:rPr>
                <w:rFonts w:ascii="宋体" w:hAnsi="宋体"/>
                <w:snapToGrid w:val="0"/>
                <w:color w:val="000000"/>
                <w:spacing w:val="7"/>
                <w:kern w:val="0"/>
                <w:sz w:val="24"/>
              </w:rPr>
              <w:t>02</w:t>
            </w:r>
            <w:r>
              <w:rPr>
                <w:rFonts w:hint="eastAsia" w:ascii="宋体" w:hAnsi="宋体"/>
                <w:snapToGrid w:val="0"/>
                <w:color w:val="000000"/>
                <w:spacing w:val="7"/>
                <w:kern w:val="0"/>
                <w:sz w:val="24"/>
              </w:rPr>
              <w:t>6</w:t>
            </w:r>
            <w:r>
              <w:rPr>
                <w:rFonts w:ascii="宋体" w:hAnsi="宋体"/>
                <w:snapToGrid w:val="0"/>
                <w:color w:val="000000"/>
                <w:spacing w:val="7"/>
                <w:kern w:val="0"/>
                <w:sz w:val="24"/>
              </w:rPr>
              <w:t>年</w:t>
            </w:r>
            <w:r>
              <w:rPr>
                <w:rFonts w:hint="eastAsia" w:ascii="宋体" w:hAnsi="宋体"/>
                <w:snapToGrid w:val="0"/>
                <w:color w:val="000000"/>
                <w:spacing w:val="7"/>
                <w:kern w:val="0"/>
                <w:sz w:val="24"/>
                <w:lang w:val="en-US" w:eastAsia="zh-CN"/>
              </w:rPr>
              <w:t>7</w:t>
            </w:r>
            <w:r>
              <w:rPr>
                <w:rFonts w:ascii="宋体" w:hAnsi="宋体"/>
                <w:snapToGrid w:val="0"/>
                <w:color w:val="000000"/>
                <w:spacing w:val="7"/>
                <w:kern w:val="0"/>
                <w:sz w:val="24"/>
              </w:rPr>
              <w:t>月</w:t>
            </w:r>
            <w:r>
              <w:rPr>
                <w:rFonts w:hint="eastAsia" w:ascii="宋体" w:hAnsi="宋体"/>
                <w:snapToGrid w:val="0"/>
                <w:color w:val="000000"/>
                <w:spacing w:val="7"/>
                <w:kern w:val="0"/>
                <w:sz w:val="24"/>
                <w:lang w:val="en-US" w:eastAsia="zh-CN"/>
              </w:rPr>
              <w:t>17</w:t>
            </w:r>
            <w:r>
              <w:rPr>
                <w:rFonts w:ascii="宋体" w:hAnsi="宋体"/>
                <w:snapToGrid w:val="0"/>
                <w:color w:val="000000"/>
                <w:spacing w:val="7"/>
                <w:kern w:val="0"/>
                <w:sz w:val="24"/>
              </w:rPr>
              <w:t>日</w:t>
            </w:r>
          </w:p>
        </w:tc>
      </w:tr>
      <w:tr w14:paraId="51648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258" w:type="dxa"/>
            <w:vAlign w:val="center"/>
          </w:tcPr>
          <w:p w14:paraId="5D89E0A1">
            <w:pPr>
              <w:widowControl/>
              <w:kinsoku w:val="0"/>
              <w:autoSpaceDE w:val="0"/>
              <w:autoSpaceDN w:val="0"/>
              <w:adjustRightInd w:val="0"/>
              <w:snapToGrid w:val="0"/>
              <w:spacing w:before="36" w:line="227" w:lineRule="auto"/>
              <w:ind w:left="320"/>
              <w:textAlignment w:val="baseline"/>
              <w:rPr>
                <w:rFonts w:ascii="宋体" w:hAnsi="宋体"/>
                <w:snapToGrid w:val="0"/>
                <w:color w:val="000000"/>
                <w:kern w:val="0"/>
                <w:sz w:val="24"/>
              </w:rPr>
            </w:pPr>
            <w:r>
              <w:rPr>
                <w:rFonts w:ascii="宋体" w:hAnsi="宋体"/>
                <w:snapToGrid w:val="0"/>
                <w:color w:val="000000"/>
                <w:spacing w:val="9"/>
                <w:kern w:val="0"/>
                <w:sz w:val="24"/>
                <w14:textOutline w14:w="4356" w14:cap="sq" w14:cmpd="sng" w14:algn="ctr">
                  <w14:solidFill>
                    <w14:srgbClr w14:val="000000"/>
                  </w14:solidFill>
                  <w14:prstDash w14:val="solid"/>
                  <w14:bevel/>
                </w14:textOutline>
              </w:rPr>
              <w:t>会</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议地点</w:t>
            </w:r>
          </w:p>
        </w:tc>
        <w:tc>
          <w:tcPr>
            <w:tcW w:w="6095" w:type="dxa"/>
            <w:vAlign w:val="center"/>
          </w:tcPr>
          <w:p w14:paraId="0D7B61D3">
            <w:pPr>
              <w:widowControl/>
              <w:kinsoku w:val="0"/>
              <w:autoSpaceDE w:val="0"/>
              <w:autoSpaceDN w:val="0"/>
              <w:adjustRightInd w:val="0"/>
              <w:snapToGrid w:val="0"/>
              <w:spacing w:before="156" w:beforeLines="50" w:line="360" w:lineRule="auto"/>
              <w:ind w:left="105" w:leftChars="50" w:right="105" w:rightChars="50"/>
              <w:textAlignment w:val="baseline"/>
              <w:rPr>
                <w:rFonts w:ascii="宋体" w:hAnsi="宋体"/>
                <w:snapToGrid w:val="0"/>
                <w:color w:val="000000"/>
                <w:kern w:val="0"/>
                <w:sz w:val="24"/>
              </w:rPr>
            </w:pPr>
            <w:r>
              <w:rPr>
                <w:rFonts w:hint="eastAsia" w:ascii="宋体" w:hAnsi="宋体"/>
                <w:snapToGrid w:val="0"/>
                <w:color w:val="000000"/>
                <w:kern w:val="0"/>
                <w:sz w:val="24"/>
              </w:rPr>
              <w:t>江苏扬子江国际化学工业园东海路1号</w:t>
            </w:r>
          </w:p>
        </w:tc>
      </w:tr>
      <w:tr w14:paraId="28022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jc w:val="center"/>
        </w:trPr>
        <w:tc>
          <w:tcPr>
            <w:tcW w:w="3258" w:type="dxa"/>
            <w:vAlign w:val="center"/>
          </w:tcPr>
          <w:p w14:paraId="198BD9E5">
            <w:pPr>
              <w:widowControl/>
              <w:kinsoku w:val="0"/>
              <w:autoSpaceDE w:val="0"/>
              <w:autoSpaceDN w:val="0"/>
              <w:adjustRightInd w:val="0"/>
              <w:snapToGrid w:val="0"/>
              <w:spacing w:before="37" w:line="227" w:lineRule="auto"/>
              <w:ind w:left="323"/>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上市公司接待人员姓</w:t>
            </w:r>
            <w:r>
              <w:rPr>
                <w:rFonts w:ascii="宋体" w:hAnsi="宋体"/>
                <w:snapToGrid w:val="0"/>
                <w:color w:val="000000"/>
                <w:spacing w:val="8"/>
                <w:kern w:val="0"/>
                <w:sz w:val="24"/>
                <w14:textOutline w14:w="4356" w14:cap="sq" w14:cmpd="sng" w14:algn="ctr">
                  <w14:solidFill>
                    <w14:srgbClr w14:val="000000"/>
                  </w14:solidFill>
                  <w14:prstDash w14:val="solid"/>
                  <w14:bevel/>
                </w14:textOutline>
              </w:rPr>
              <w:t>名</w:t>
            </w:r>
          </w:p>
        </w:tc>
        <w:tc>
          <w:tcPr>
            <w:tcW w:w="6095" w:type="dxa"/>
            <w:vAlign w:val="center"/>
          </w:tcPr>
          <w:p w14:paraId="5089A10D">
            <w:pPr>
              <w:widowControl/>
              <w:kinsoku w:val="0"/>
              <w:autoSpaceDE w:val="0"/>
              <w:autoSpaceDN w:val="0"/>
              <w:adjustRightInd w:val="0"/>
              <w:snapToGrid w:val="0"/>
              <w:spacing w:before="186" w:line="360" w:lineRule="auto"/>
              <w:ind w:left="105" w:leftChars="50" w:right="105" w:rightChars="50"/>
              <w:textAlignment w:val="baseline"/>
              <w:rPr>
                <w:rFonts w:hint="eastAsia" w:ascii="宋体" w:hAnsi="宋体"/>
                <w:snapToGrid w:val="0"/>
                <w:color w:val="000000"/>
                <w:kern w:val="0"/>
                <w:sz w:val="24"/>
                <w:lang w:val="en-US" w:eastAsia="zh-CN"/>
              </w:rPr>
            </w:pPr>
            <w:r>
              <w:rPr>
                <w:rFonts w:hint="eastAsia" w:ascii="宋体" w:hAnsi="宋体"/>
                <w:snapToGrid w:val="0"/>
                <w:color w:val="000000"/>
                <w:kern w:val="0"/>
                <w:sz w:val="24"/>
                <w:lang w:val="en-US" w:eastAsia="zh-CN"/>
              </w:rPr>
              <w:t>副总经理兼董事会秘书</w:t>
            </w:r>
            <w:r>
              <w:rPr>
                <w:rFonts w:hint="eastAsia" w:ascii="宋体" w:hAnsi="宋体"/>
                <w:snapToGrid w:val="0"/>
                <w:color w:val="000000"/>
                <w:kern w:val="0"/>
                <w:sz w:val="24"/>
              </w:rPr>
              <w:t>：</w:t>
            </w:r>
            <w:r>
              <w:rPr>
                <w:rFonts w:hint="eastAsia" w:ascii="宋体" w:hAnsi="宋体"/>
                <w:snapToGrid w:val="0"/>
                <w:color w:val="000000"/>
                <w:kern w:val="0"/>
                <w:sz w:val="24"/>
                <w:lang w:val="en-US" w:eastAsia="zh-CN"/>
              </w:rPr>
              <w:t>黄江</w:t>
            </w:r>
          </w:p>
          <w:p w14:paraId="6FEE6769">
            <w:pPr>
              <w:widowControl/>
              <w:kinsoku w:val="0"/>
              <w:autoSpaceDE w:val="0"/>
              <w:autoSpaceDN w:val="0"/>
              <w:adjustRightInd w:val="0"/>
              <w:snapToGrid w:val="0"/>
              <w:spacing w:before="186" w:line="360" w:lineRule="auto"/>
              <w:ind w:left="105" w:leftChars="50" w:right="105" w:rightChars="50"/>
              <w:textAlignment w:val="baseline"/>
              <w:rPr>
                <w:rFonts w:ascii="宋体" w:hAnsi="宋体"/>
                <w:snapToGrid w:val="0"/>
                <w:color w:val="000000"/>
                <w:kern w:val="0"/>
                <w:sz w:val="24"/>
              </w:rPr>
            </w:pPr>
            <w:r>
              <w:rPr>
                <w:rFonts w:hint="eastAsia" w:ascii="宋体" w:hAnsi="宋体"/>
                <w:snapToGrid w:val="0"/>
                <w:color w:val="000000"/>
                <w:kern w:val="0"/>
                <w:sz w:val="24"/>
              </w:rPr>
              <w:t>证券部：张可</w:t>
            </w:r>
          </w:p>
        </w:tc>
      </w:tr>
      <w:tr w14:paraId="0D5B5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jc w:val="center"/>
        </w:trPr>
        <w:tc>
          <w:tcPr>
            <w:tcW w:w="3258" w:type="dxa"/>
            <w:vAlign w:val="center"/>
          </w:tcPr>
          <w:p w14:paraId="760E0EAE">
            <w:pPr>
              <w:widowControl/>
              <w:kinsoku w:val="0"/>
              <w:autoSpaceDE w:val="0"/>
              <w:autoSpaceDN w:val="0"/>
              <w:adjustRightInd w:val="0"/>
              <w:snapToGrid w:val="0"/>
              <w:spacing w:before="75" w:line="227" w:lineRule="auto"/>
              <w:ind w:left="324"/>
              <w:textAlignment w:val="baseline"/>
              <w:rPr>
                <w:rFonts w:ascii="宋体" w:hAnsi="宋体"/>
                <w:snapToGrid w:val="0"/>
                <w:color w:val="000000"/>
                <w:kern w:val="0"/>
                <w:sz w:val="24"/>
              </w:rPr>
            </w:pPr>
            <w:r>
              <w:rPr>
                <w:rFonts w:ascii="宋体" w:hAnsi="宋体"/>
                <w:snapToGrid w:val="0"/>
                <w:color w:val="000000"/>
                <w:spacing w:val="10"/>
                <w:kern w:val="0"/>
                <w:sz w:val="24"/>
                <w14:textOutline w14:w="4356" w14:cap="sq" w14:cmpd="sng" w14:algn="ctr">
                  <w14:solidFill>
                    <w14:srgbClr w14:val="000000"/>
                  </w14:solidFill>
                  <w14:prstDash w14:val="solid"/>
                  <w14:bevel/>
                </w14:textOutline>
              </w:rPr>
              <w:t>投资者关系活动主要内容介</w:t>
            </w:r>
            <w:r>
              <w:rPr>
                <w:rFonts w:ascii="宋体" w:hAnsi="宋体"/>
                <w:snapToGrid w:val="0"/>
                <w:color w:val="000000"/>
                <w:spacing w:val="9"/>
                <w:kern w:val="0"/>
                <w:sz w:val="24"/>
                <w14:textOutline w14:w="4356" w14:cap="sq" w14:cmpd="sng" w14:algn="ctr">
                  <w14:solidFill>
                    <w14:srgbClr w14:val="000000"/>
                  </w14:solidFill>
                  <w14:prstDash w14:val="solid"/>
                  <w14:bevel/>
                </w14:textOutline>
              </w:rPr>
              <w:t>绍</w:t>
            </w:r>
          </w:p>
        </w:tc>
        <w:tc>
          <w:tcPr>
            <w:tcW w:w="6095" w:type="dxa"/>
            <w:vAlign w:val="center"/>
          </w:tcPr>
          <w:p w14:paraId="145616E9">
            <w:pPr>
              <w:pStyle w:val="5"/>
              <w:widowControl/>
              <w:spacing w:before="156" w:after="156"/>
              <w:ind w:left="105" w:leftChars="50" w:right="105" w:rightChars="50" w:firstLine="510"/>
              <w:rPr>
                <w:rFonts w:ascii="宋体" w:hAnsi="宋体"/>
                <w:b/>
                <w:snapToGrid w:val="0"/>
                <w:color w:val="000000"/>
                <w:spacing w:val="7"/>
                <w:kern w:val="0"/>
              </w:rPr>
            </w:pPr>
            <w:r>
              <w:rPr>
                <w:rFonts w:hint="eastAsia" w:ascii="宋体" w:hAnsi="宋体"/>
                <w:b/>
                <w:snapToGrid w:val="0"/>
                <w:color w:val="000000"/>
                <w:spacing w:val="7"/>
                <w:kern w:val="0"/>
              </w:rPr>
              <w:t>问1：</w:t>
            </w:r>
            <w:r>
              <w:rPr>
                <w:rFonts w:hint="eastAsia" w:ascii="宋体" w:hAnsi="宋体"/>
                <w:b/>
                <w:bCs/>
                <w:snapToGrid w:val="0"/>
                <w:color w:val="000000"/>
                <w:spacing w:val="7"/>
                <w:kern w:val="0"/>
              </w:rPr>
              <w:t>请介绍一下公司</w:t>
            </w:r>
            <w:r>
              <w:rPr>
                <w:rFonts w:hint="eastAsia" w:ascii="宋体" w:hAnsi="宋体"/>
                <w:b/>
                <w:bCs/>
                <w:snapToGrid w:val="0"/>
                <w:color w:val="000000"/>
                <w:spacing w:val="7"/>
                <w:kern w:val="0"/>
                <w:lang w:val="en-US" w:eastAsia="zh-CN"/>
              </w:rPr>
              <w:t>的</w:t>
            </w:r>
            <w:r>
              <w:rPr>
                <w:rFonts w:hint="eastAsia" w:ascii="宋体" w:hAnsi="宋体"/>
                <w:b/>
                <w:bCs/>
                <w:snapToGrid w:val="0"/>
                <w:color w:val="000000"/>
                <w:spacing w:val="7"/>
                <w:kern w:val="0"/>
              </w:rPr>
              <w:t>主营业务。</w:t>
            </w:r>
          </w:p>
          <w:p w14:paraId="775C6516">
            <w:pPr>
              <w:spacing w:before="156" w:beforeLines="50" w:line="360" w:lineRule="auto"/>
              <w:ind w:left="105" w:leftChars="50" w:right="105" w:rightChars="50" w:firstLine="510" w:firstLineChars="200"/>
              <w:rPr>
                <w:rFonts w:hint="default" w:ascii="Times New Roman" w:hAnsi="Times New Roman" w:eastAsia="宋体" w:cs="Times New Roman"/>
                <w:sz w:val="24"/>
                <w:szCs w:val="24"/>
                <w:shd w:val="clear" w:color="auto" w:fill="FFFFFF"/>
              </w:rPr>
            </w:pPr>
            <w:r>
              <w:rPr>
                <w:rFonts w:hint="eastAsia" w:ascii="宋体" w:hAnsi="宋体"/>
                <w:b/>
                <w:snapToGrid w:val="0"/>
                <w:color w:val="000000"/>
                <w:spacing w:val="7"/>
                <w:kern w:val="0"/>
                <w:sz w:val="24"/>
              </w:rPr>
              <w:t>答1：</w:t>
            </w:r>
            <w:r>
              <w:rPr>
                <w:rFonts w:hint="eastAsia"/>
                <w:sz w:val="24"/>
              </w:rPr>
              <w:t>公司主营业务以废弃油脂资源综合利用业务为主，油脂化学品业务为辅，主要产品为生物燃料、生物基材料和油脂化学品。生物基材料主要为农药助剂、化肥助剂等生物柴油配方产品和工业级混合油；生物燃料主要为生物柴油；</w:t>
            </w:r>
            <w:r>
              <w:rPr>
                <w:rFonts w:hint="default" w:ascii="Times New Roman" w:hAnsi="Times New Roman" w:eastAsia="宋体" w:cs="Times New Roman"/>
                <w:sz w:val="24"/>
                <w:szCs w:val="24"/>
              </w:rPr>
              <w:t>油脂化学品业务主要产品为DD油、脂肪酸等。</w:t>
            </w:r>
          </w:p>
          <w:p w14:paraId="7C34281A">
            <w:pPr>
              <w:pStyle w:val="5"/>
              <w:widowControl/>
              <w:spacing w:before="156" w:after="156"/>
              <w:ind w:left="105" w:leftChars="50" w:right="105" w:rightChars="50" w:firstLine="510"/>
              <w:rPr>
                <w:rFonts w:ascii="宋体" w:hAnsi="宋体"/>
                <w:b/>
                <w:snapToGrid w:val="0"/>
                <w:color w:val="000000"/>
                <w:spacing w:val="7"/>
                <w:kern w:val="0"/>
              </w:rPr>
            </w:pPr>
            <w:r>
              <w:rPr>
                <w:rFonts w:hint="eastAsia" w:ascii="宋体" w:hAnsi="宋体"/>
                <w:b/>
                <w:snapToGrid w:val="0"/>
                <w:color w:val="000000"/>
                <w:spacing w:val="7"/>
                <w:kern w:val="0"/>
              </w:rPr>
              <w:t>问2：请介绍公司生物基材料</w:t>
            </w:r>
            <w:r>
              <w:rPr>
                <w:rFonts w:hint="eastAsia" w:ascii="宋体" w:hAnsi="宋体"/>
                <w:b/>
                <w:snapToGrid w:val="0"/>
                <w:color w:val="000000"/>
                <w:spacing w:val="7"/>
                <w:kern w:val="0"/>
                <w:lang w:val="en-US" w:eastAsia="zh-CN"/>
              </w:rPr>
              <w:t>业务情况与细分应用方向有哪些</w:t>
            </w:r>
            <w:r>
              <w:rPr>
                <w:rFonts w:hint="eastAsia" w:ascii="宋体" w:hAnsi="宋体"/>
                <w:b/>
                <w:snapToGrid w:val="0"/>
                <w:color w:val="000000"/>
                <w:spacing w:val="7"/>
                <w:kern w:val="0"/>
              </w:rPr>
              <w:t>。</w:t>
            </w:r>
          </w:p>
          <w:p w14:paraId="068C9C0A">
            <w:pPr>
              <w:spacing w:before="156" w:beforeLines="50" w:line="360" w:lineRule="auto"/>
              <w:ind w:left="105" w:leftChars="50" w:right="105" w:rightChars="50" w:firstLine="510" w:firstLineChars="200"/>
              <w:rPr>
                <w:sz w:val="24"/>
                <w:shd w:val="clear" w:color="auto" w:fill="FFFFFF"/>
              </w:rPr>
            </w:pPr>
            <w:r>
              <w:rPr>
                <w:rFonts w:hint="eastAsia" w:ascii="宋体" w:hAnsi="宋体"/>
                <w:b/>
                <w:snapToGrid w:val="0"/>
                <w:color w:val="000000"/>
                <w:spacing w:val="7"/>
                <w:kern w:val="0"/>
                <w:sz w:val="24"/>
              </w:rPr>
              <w:t>答2</w:t>
            </w:r>
            <w:bookmarkStart w:id="1" w:name="_Hlk136369761"/>
            <w:r>
              <w:rPr>
                <w:rFonts w:hint="eastAsia" w:ascii="宋体" w:hAnsi="宋体"/>
                <w:b/>
                <w:snapToGrid w:val="0"/>
                <w:color w:val="000000"/>
                <w:spacing w:val="7"/>
                <w:kern w:val="0"/>
                <w:sz w:val="24"/>
              </w:rPr>
              <w:t>：</w:t>
            </w:r>
            <w:bookmarkEnd w:id="1"/>
            <w:r>
              <w:rPr>
                <w:rFonts w:hint="eastAsia"/>
                <w:sz w:val="24"/>
                <w:shd w:val="clear" w:color="auto" w:fill="FFFFFF"/>
              </w:rPr>
              <w:t>公司生物基材料业务主要包括工业级混合油、农药助剂、化肥助剂等。公司依托多年油脂行业经验与研发技术，将生物柴油下游应用的深度不断拓展，将生物柴油作为中间体复配成助剂类产品，应用到农药、化肥、</w:t>
            </w:r>
            <w:r>
              <w:rPr>
                <w:rFonts w:ascii="宋体" w:hAnsi="宋体"/>
                <w:sz w:val="24"/>
              </w:rPr>
              <w:t>煤泥浮选、沥青、油墨、</w:t>
            </w:r>
            <w:r>
              <w:rPr>
                <w:rFonts w:hint="eastAsia" w:ascii="宋体" w:hAnsi="宋体"/>
                <w:sz w:val="24"/>
              </w:rPr>
              <w:t>钻井</w:t>
            </w:r>
            <w:r>
              <w:rPr>
                <w:rFonts w:hint="eastAsia"/>
                <w:sz w:val="24"/>
                <w:shd w:val="clear" w:color="auto" w:fill="FFFFFF"/>
              </w:rPr>
              <w:t>等助剂产品领域。</w:t>
            </w:r>
          </w:p>
          <w:p w14:paraId="3E459E79">
            <w:pPr>
              <w:spacing w:before="156" w:beforeLines="50" w:line="360" w:lineRule="auto"/>
              <w:ind w:left="105" w:leftChars="50" w:right="105" w:rightChars="50" w:firstLine="480" w:firstLineChars="200"/>
              <w:rPr>
                <w:rFonts w:hint="eastAsia"/>
                <w:sz w:val="24"/>
              </w:rPr>
            </w:pPr>
            <w:r>
              <w:rPr>
                <w:rFonts w:hint="eastAsia"/>
                <w:sz w:val="24"/>
              </w:rPr>
              <w:t>公司农药助剂主要为以非食用油脂为原料制备的油酸甲酯型农药助剂，在农药领域可代替传统的化石基农药助剂，发挥溶解、增效、分散的作用。</w:t>
            </w:r>
          </w:p>
          <w:p w14:paraId="32932FDC">
            <w:pPr>
              <w:spacing w:before="156" w:beforeLines="50" w:line="360" w:lineRule="auto"/>
              <w:ind w:left="105" w:leftChars="50" w:right="105" w:rightChars="50" w:firstLine="480" w:firstLineChars="200"/>
              <w:rPr>
                <w:rFonts w:hint="eastAsia"/>
                <w:sz w:val="24"/>
              </w:rPr>
            </w:pPr>
            <w:r>
              <w:rPr>
                <w:rFonts w:hint="eastAsia"/>
                <w:sz w:val="24"/>
              </w:rPr>
              <w:t>公司化肥助剂主要发挥防结、降粘、促溶等作用。公司针对不同化肥助剂客户采用“产品+服务”的销售模式，可为化肥企业提供差异性的助剂产品，并提供技术服务和人员培训，较好地适应了化肥企业的发展需要。</w:t>
            </w:r>
          </w:p>
          <w:p w14:paraId="60285805">
            <w:pPr>
              <w:pStyle w:val="5"/>
              <w:spacing w:before="156" w:after="156"/>
              <w:ind w:left="105" w:leftChars="50" w:right="105" w:rightChars="50" w:firstLine="510"/>
              <w:rPr>
                <w:rFonts w:ascii="宋体" w:hAnsi="宋体"/>
                <w:b/>
                <w:snapToGrid w:val="0"/>
                <w:color w:val="000000"/>
                <w:spacing w:val="7"/>
                <w:kern w:val="0"/>
              </w:rPr>
            </w:pPr>
            <w:r>
              <w:rPr>
                <w:rFonts w:hint="eastAsia" w:ascii="宋体" w:hAnsi="宋体"/>
                <w:b/>
                <w:snapToGrid w:val="0"/>
                <w:color w:val="000000"/>
                <w:spacing w:val="7"/>
                <w:kern w:val="0"/>
              </w:rPr>
              <w:t>问3：请介绍一下公司工业级混合油</w:t>
            </w:r>
            <w:r>
              <w:rPr>
                <w:rFonts w:hint="eastAsia" w:ascii="宋体" w:hAnsi="宋体"/>
                <w:b/>
                <w:snapToGrid w:val="0"/>
                <w:color w:val="000000"/>
                <w:spacing w:val="7"/>
                <w:kern w:val="0"/>
                <w:lang w:val="en-US" w:eastAsia="zh-CN"/>
              </w:rPr>
              <w:t>的业务及</w:t>
            </w:r>
            <w:r>
              <w:rPr>
                <w:rFonts w:hint="eastAsia" w:ascii="宋体" w:hAnsi="宋体"/>
                <w:b/>
                <w:snapToGrid w:val="0"/>
                <w:color w:val="000000"/>
                <w:spacing w:val="7"/>
                <w:kern w:val="0"/>
              </w:rPr>
              <w:t>优势。</w:t>
            </w:r>
          </w:p>
          <w:p w14:paraId="164DBD4E">
            <w:pPr>
              <w:spacing w:before="156" w:beforeLines="50" w:line="360" w:lineRule="auto"/>
              <w:ind w:left="105" w:leftChars="50" w:right="105" w:rightChars="50" w:firstLine="510" w:firstLineChars="200"/>
              <w:rPr>
                <w:rFonts w:hint="default" w:ascii="Times New Roman" w:hAnsi="Times New Roman" w:cs="Times New Roman"/>
                <w:bCs/>
                <w:snapToGrid w:val="0"/>
                <w:color w:val="000000"/>
                <w:spacing w:val="7"/>
                <w:kern w:val="0"/>
                <w:sz w:val="24"/>
              </w:rPr>
            </w:pPr>
            <w:r>
              <w:rPr>
                <w:rFonts w:hint="default" w:ascii="Times New Roman" w:hAnsi="Times New Roman" w:cs="Times New Roman"/>
                <w:b/>
                <w:snapToGrid w:val="0"/>
                <w:color w:val="000000"/>
                <w:spacing w:val="7"/>
                <w:kern w:val="0"/>
                <w:sz w:val="24"/>
              </w:rPr>
              <w:t>答3：</w:t>
            </w:r>
            <w:r>
              <w:rPr>
                <w:rFonts w:hint="default" w:ascii="Times New Roman" w:hAnsi="Times New Roman" w:cs="Times New Roman"/>
                <w:bCs/>
                <w:snapToGrid w:val="0"/>
                <w:color w:val="000000"/>
                <w:spacing w:val="7"/>
                <w:kern w:val="0"/>
                <w:sz w:val="24"/>
              </w:rPr>
              <w:t>公司工业级混合油业务以废弃油脂为原料，通过加工得到工业级使用标准的产品，可用于生产生物柴油、生物航煤等再生燃料。为满足下游SAF厂商对工业级混合油的指标要求，公司基于自身生产技术优势，在生产工艺方面通过胶质预处理与金属离子深度螯合净化集成工艺‌</w:t>
            </w:r>
            <w:r>
              <w:rPr>
                <w:rFonts w:hint="eastAsia" w:ascii="Times New Roman" w:hAnsi="Times New Roman" w:cs="Times New Roman"/>
                <w:bCs/>
                <w:snapToGrid w:val="0"/>
                <w:color w:val="000000"/>
                <w:spacing w:val="7"/>
                <w:kern w:val="0"/>
                <w:sz w:val="24"/>
                <w:lang w:eastAsia="zh-CN"/>
              </w:rPr>
              <w:t>，</w:t>
            </w:r>
            <w:r>
              <w:rPr>
                <w:rFonts w:hint="default" w:ascii="Times New Roman" w:hAnsi="Times New Roman" w:cs="Times New Roman"/>
                <w:bCs/>
                <w:snapToGrid w:val="0"/>
                <w:color w:val="000000"/>
                <w:spacing w:val="7"/>
                <w:kern w:val="0"/>
                <w:sz w:val="24"/>
              </w:rPr>
              <w:t>实现工业级混合油的品质提升，将非金属离子和金属离子含量控制达到ppm级别。公司是具备可生产直接应用至加氢脱氧等核心工段的规模化工业级混合油生产企业之一。</w:t>
            </w:r>
            <w:r>
              <w:rPr>
                <w:rFonts w:hint="default" w:ascii="Times New Roman" w:hAnsi="Times New Roman" w:cs="Times New Roman"/>
                <w:bCs/>
                <w:snapToGrid w:val="0"/>
                <w:color w:val="000000"/>
                <w:spacing w:val="7"/>
                <w:kern w:val="0"/>
                <w:sz w:val="24"/>
                <w:lang w:val="en-US" w:eastAsia="zh-CN"/>
              </w:rPr>
              <w:t>公司</w:t>
            </w:r>
            <w:r>
              <w:rPr>
                <w:rFonts w:hint="default" w:ascii="Times New Roman" w:hAnsi="Times New Roman" w:cs="Times New Roman"/>
                <w:bCs/>
                <w:snapToGrid w:val="0"/>
                <w:color w:val="000000"/>
                <w:spacing w:val="7"/>
                <w:kern w:val="0"/>
                <w:sz w:val="24"/>
              </w:rPr>
              <w:t>工业级混合油产品质量符合各SAF厂商不同生产技术的要求，为下游SAF客户提供优质可靠的原</w:t>
            </w:r>
            <w:bookmarkStart w:id="2" w:name="_GoBack"/>
            <w:bookmarkEnd w:id="2"/>
            <w:r>
              <w:rPr>
                <w:rFonts w:hint="default" w:ascii="Times New Roman" w:hAnsi="Times New Roman" w:cs="Times New Roman"/>
                <w:bCs/>
                <w:snapToGrid w:val="0"/>
                <w:color w:val="000000"/>
                <w:spacing w:val="7"/>
                <w:kern w:val="0"/>
                <w:sz w:val="24"/>
              </w:rPr>
              <w:t>材料产品。</w:t>
            </w:r>
          </w:p>
          <w:p w14:paraId="13DEC129">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hint="eastAsia" w:ascii="宋体" w:hAnsi="宋体" w:eastAsia="宋体"/>
                <w:b/>
                <w:bCs/>
                <w:snapToGrid w:val="0"/>
                <w:color w:val="000000"/>
                <w:spacing w:val="7"/>
                <w:kern w:val="0"/>
                <w:lang w:eastAsia="zh-CN"/>
              </w:rPr>
            </w:pPr>
            <w:r>
              <w:rPr>
                <w:rFonts w:hint="eastAsia" w:ascii="宋体" w:hAnsi="宋体"/>
                <w:b/>
                <w:snapToGrid w:val="0"/>
                <w:color w:val="000000"/>
                <w:spacing w:val="7"/>
                <w:kern w:val="0"/>
                <w:sz w:val="24"/>
                <w:szCs w:val="24"/>
              </w:rPr>
              <w:t>问4：请介绍一下废弃油脂</w:t>
            </w:r>
            <w:r>
              <w:rPr>
                <w:rFonts w:hint="eastAsia" w:ascii="宋体" w:hAnsi="宋体"/>
                <w:b/>
                <w:snapToGrid w:val="0"/>
                <w:color w:val="000000"/>
                <w:spacing w:val="7"/>
                <w:kern w:val="0"/>
                <w:sz w:val="24"/>
                <w:szCs w:val="24"/>
                <w:lang w:val="en-US" w:eastAsia="zh-CN"/>
              </w:rPr>
              <w:t>的</w:t>
            </w:r>
            <w:r>
              <w:rPr>
                <w:rFonts w:hint="eastAsia" w:ascii="宋体" w:hAnsi="宋体"/>
                <w:b/>
                <w:snapToGrid w:val="0"/>
                <w:color w:val="000000"/>
                <w:spacing w:val="7"/>
                <w:kern w:val="0"/>
                <w:sz w:val="24"/>
                <w:szCs w:val="24"/>
              </w:rPr>
              <w:t>来源</w:t>
            </w:r>
            <w:r>
              <w:rPr>
                <w:rFonts w:hint="eastAsia" w:ascii="宋体" w:hAnsi="宋体"/>
                <w:b/>
                <w:snapToGrid w:val="0"/>
                <w:color w:val="000000"/>
                <w:spacing w:val="7"/>
                <w:kern w:val="0"/>
                <w:sz w:val="24"/>
                <w:szCs w:val="24"/>
                <w:lang w:eastAsia="zh-CN"/>
              </w:rPr>
              <w:t>。</w:t>
            </w:r>
          </w:p>
          <w:p w14:paraId="2CEE7632">
            <w:pPr>
              <w:pStyle w:val="5"/>
              <w:spacing w:before="156" w:after="156"/>
              <w:ind w:left="105" w:leftChars="50" w:right="105" w:rightChars="50" w:firstLine="510"/>
              <w:rPr>
                <w:rStyle w:val="6"/>
                <w:rFonts w:ascii="宋体" w:hAnsi="宋体"/>
                <w:bCs/>
                <w:color w:val="auto"/>
              </w:rPr>
            </w:pPr>
            <w:r>
              <w:rPr>
                <w:rFonts w:hint="eastAsia" w:ascii="宋体" w:hAnsi="宋体"/>
                <w:b/>
                <w:snapToGrid w:val="0"/>
                <w:color w:val="000000"/>
                <w:spacing w:val="7"/>
                <w:kern w:val="0"/>
              </w:rPr>
              <w:t>答4：</w:t>
            </w:r>
            <w:r>
              <w:rPr>
                <w:rFonts w:hint="eastAsia" w:ascii="宋体" w:hAnsi="宋体"/>
                <w:sz w:val="24"/>
              </w:rPr>
              <w:t>废弃油脂主要来源于</w:t>
            </w:r>
            <w:r>
              <w:rPr>
                <w:rFonts w:hint="eastAsia" w:ascii="宋体" w:hAnsi="宋体"/>
                <w:sz w:val="24"/>
                <w:shd w:val="clear" w:color="auto" w:fill="FFFFFF"/>
              </w:rPr>
              <w:t>粮油食品加工企业、油脂化工企业</w:t>
            </w:r>
            <w:r>
              <w:rPr>
                <w:rFonts w:hint="eastAsia" w:ascii="宋体" w:hAnsi="宋体"/>
                <w:sz w:val="24"/>
              </w:rPr>
              <w:t>、餐厨处理企业等。</w:t>
            </w:r>
            <w:r>
              <w:rPr>
                <w:rFonts w:hint="eastAsia" w:ascii="宋体" w:hAnsi="宋体"/>
                <w:sz w:val="24"/>
                <w:shd w:val="clear" w:color="auto" w:fill="FFFFFF"/>
              </w:rPr>
              <w:t>公司在全国范围内多点布局知名粮油食品加工企业、油脂化工企业、餐厨处理企业、区域性个人供应商等供货渠道。</w:t>
            </w:r>
          </w:p>
          <w:p w14:paraId="012A336A">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hint="default" w:ascii="宋体" w:hAnsi="宋体" w:eastAsia="宋体"/>
                <w:b/>
                <w:snapToGrid w:val="0"/>
                <w:color w:val="000000"/>
                <w:spacing w:val="7"/>
                <w:kern w:val="0"/>
                <w:sz w:val="24"/>
                <w:lang w:val="en-US" w:eastAsia="zh-CN"/>
              </w:rPr>
            </w:pPr>
            <w:r>
              <w:rPr>
                <w:rFonts w:hint="eastAsia" w:ascii="宋体" w:hAnsi="宋体"/>
                <w:b/>
                <w:snapToGrid w:val="0"/>
                <w:color w:val="000000"/>
                <w:spacing w:val="7"/>
                <w:kern w:val="0"/>
                <w:sz w:val="24"/>
              </w:rPr>
              <w:t>问5:</w:t>
            </w:r>
            <w:r>
              <w:rPr>
                <w:rFonts w:hint="eastAsia" w:ascii="宋体" w:hAnsi="宋体"/>
                <w:b/>
                <w:snapToGrid w:val="0"/>
                <w:color w:val="000000"/>
                <w:spacing w:val="7"/>
                <w:kern w:val="0"/>
                <w:sz w:val="24"/>
                <w:lang w:val="en-US" w:eastAsia="zh-CN"/>
              </w:rPr>
              <w:t>请介绍一下公司煤泥浮选助剂的业务成果与优势。</w:t>
            </w:r>
          </w:p>
          <w:p w14:paraId="5B98189D">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hint="default" w:ascii="Times New Roman" w:hAnsi="Times New Roman" w:cs="Times New Roman"/>
                <w:b/>
                <w:snapToGrid w:val="0"/>
                <w:color w:val="000000"/>
                <w:spacing w:val="7"/>
                <w:kern w:val="0"/>
                <w:sz w:val="24"/>
              </w:rPr>
            </w:pPr>
            <w:r>
              <w:rPr>
                <w:rFonts w:hint="default" w:ascii="Times New Roman" w:hAnsi="Times New Roman" w:cs="Times New Roman"/>
                <w:b/>
                <w:snapToGrid w:val="0"/>
                <w:color w:val="000000"/>
                <w:spacing w:val="7"/>
                <w:kern w:val="0"/>
                <w:sz w:val="24"/>
              </w:rPr>
              <w:t>答5：</w:t>
            </w:r>
            <w:r>
              <w:rPr>
                <w:rFonts w:hint="default" w:ascii="Times New Roman" w:hAnsi="Times New Roman" w:cs="Times New Roman"/>
                <w:b w:val="0"/>
                <w:bCs/>
                <w:snapToGrid w:val="0"/>
                <w:color w:val="000000"/>
                <w:spacing w:val="7"/>
                <w:kern w:val="0"/>
                <w:sz w:val="24"/>
              </w:rPr>
              <w:t>公司</w:t>
            </w:r>
            <w:r>
              <w:rPr>
                <w:rFonts w:hint="default" w:ascii="Times New Roman" w:hAnsi="Times New Roman" w:cs="Times New Roman"/>
                <w:b w:val="0"/>
                <w:bCs/>
                <w:snapToGrid w:val="0"/>
                <w:color w:val="000000"/>
                <w:spacing w:val="7"/>
                <w:kern w:val="0"/>
                <w:sz w:val="24"/>
                <w:lang w:val="en-US" w:eastAsia="zh-CN"/>
              </w:rPr>
              <w:t>持续</w:t>
            </w:r>
            <w:r>
              <w:rPr>
                <w:rFonts w:hint="default" w:ascii="Times New Roman" w:hAnsi="Times New Roman" w:cs="Times New Roman"/>
                <w:b w:val="0"/>
                <w:bCs/>
                <w:snapToGrid w:val="0"/>
                <w:color w:val="000000"/>
                <w:spacing w:val="7"/>
                <w:kern w:val="0"/>
                <w:sz w:val="24"/>
              </w:rPr>
              <w:t>加强在生物基材料其他细分领域的新产品开拓，公司联合中国矿业大学共同研究的“战略性矿产浮选界面精准调控强化分离关键技术”，获得江苏省科技进步一等奖。</w:t>
            </w:r>
            <w:r>
              <w:rPr>
                <w:rFonts w:hint="default" w:ascii="Times New Roman" w:hAnsi="Times New Roman" w:cs="Times New Roman"/>
                <w:b w:val="0"/>
                <w:bCs/>
                <w:snapToGrid w:val="0"/>
                <w:color w:val="000000"/>
                <w:spacing w:val="7"/>
                <w:kern w:val="0"/>
                <w:sz w:val="24"/>
                <w:lang w:val="en-US" w:eastAsia="zh-CN"/>
              </w:rPr>
              <w:t>2025年，</w:t>
            </w:r>
            <w:r>
              <w:rPr>
                <w:rFonts w:hint="default" w:ascii="Times New Roman" w:hAnsi="Times New Roman" w:cs="Times New Roman"/>
                <w:b w:val="0"/>
                <w:bCs/>
                <w:snapToGrid w:val="0"/>
                <w:color w:val="000000"/>
                <w:spacing w:val="7"/>
                <w:kern w:val="0"/>
                <w:sz w:val="24"/>
              </w:rPr>
              <w:t>公司与山西焦煤集团有限责任公司油品分公司达成二级浮选药剂框架协议，标志着公司在生物基材料煤泥浮选用的捕收剂和起泡剂方面取得重要突破。</w:t>
            </w:r>
          </w:p>
          <w:p w14:paraId="0710658E">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hint="default" w:ascii="宋体" w:hAnsi="宋体" w:eastAsia="宋体"/>
                <w:b/>
                <w:bCs/>
                <w:snapToGrid w:val="0"/>
                <w:color w:val="000000"/>
                <w:spacing w:val="7"/>
                <w:kern w:val="0"/>
                <w:sz w:val="24"/>
                <w:lang w:val="en-US" w:eastAsia="zh-CN"/>
              </w:rPr>
            </w:pPr>
            <w:r>
              <w:rPr>
                <w:rFonts w:hint="eastAsia" w:ascii="宋体" w:hAnsi="宋体"/>
                <w:b/>
                <w:snapToGrid w:val="0"/>
                <w:color w:val="000000"/>
                <w:spacing w:val="7"/>
                <w:kern w:val="0"/>
                <w:sz w:val="24"/>
              </w:rPr>
              <w:t>问6:</w:t>
            </w:r>
            <w:r>
              <w:rPr>
                <w:rFonts w:hint="eastAsia" w:ascii="宋体" w:hAnsi="宋体"/>
                <w:b/>
                <w:snapToGrid w:val="0"/>
                <w:color w:val="000000"/>
                <w:spacing w:val="7"/>
                <w:kern w:val="0"/>
                <w:sz w:val="24"/>
                <w:lang w:val="en-US" w:eastAsia="zh-CN"/>
              </w:rPr>
              <w:t>请介绍一下公司在生物燃料业务有哪些合作成果？</w:t>
            </w:r>
          </w:p>
          <w:p w14:paraId="25857EB9">
            <w:pPr>
              <w:widowControl/>
              <w:autoSpaceDE w:val="0"/>
              <w:autoSpaceDN w:val="0"/>
              <w:adjustRightInd w:val="0"/>
              <w:snapToGrid w:val="0"/>
              <w:spacing w:before="156" w:beforeLines="50" w:line="360" w:lineRule="auto"/>
              <w:ind w:left="105" w:leftChars="50" w:right="105" w:rightChars="50" w:firstLine="510" w:firstLineChars="200"/>
              <w:textAlignment w:val="baseline"/>
              <w:rPr>
                <w:rFonts w:ascii="宋体" w:hAnsi="宋体"/>
                <w:bCs/>
                <w:snapToGrid w:val="0"/>
                <w:color w:val="000000"/>
                <w:spacing w:val="7"/>
                <w:kern w:val="0"/>
                <w:sz w:val="24"/>
              </w:rPr>
            </w:pPr>
            <w:r>
              <w:rPr>
                <w:rFonts w:hint="eastAsia" w:ascii="宋体" w:hAnsi="宋体"/>
                <w:b/>
                <w:snapToGrid w:val="0"/>
                <w:color w:val="000000"/>
                <w:spacing w:val="7"/>
                <w:kern w:val="0"/>
                <w:sz w:val="24"/>
              </w:rPr>
              <w:t>答6</w:t>
            </w:r>
            <w:r>
              <w:rPr>
                <w:rFonts w:hint="eastAsia" w:ascii="宋体" w:hAnsi="宋体"/>
                <w:snapToGrid w:val="0"/>
                <w:color w:val="000000"/>
                <w:spacing w:val="7"/>
                <w:kern w:val="0"/>
                <w:sz w:val="24"/>
              </w:rPr>
              <w:t>：公司通过了众多大型生物燃料客户的合格供应商考察并开展合作。公司先后分别与中国船舶燃料有限责任公司、中石油燃料油有限责任公司等行业头部企业签署战略合作框架协议，各方约定在业务、技术、推动产业发展等方面开展合作，双方通过战略合作，优势互补、合作共赢，为公司业务后续在生物柴油试点推广、生物船燃应用等国内市场，奠定基础。</w:t>
            </w:r>
          </w:p>
        </w:tc>
      </w:tr>
      <w:tr w14:paraId="15AB3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258" w:type="dxa"/>
            <w:vAlign w:val="center"/>
          </w:tcPr>
          <w:p w14:paraId="04293666">
            <w:pPr>
              <w:widowControl/>
              <w:kinsoku w:val="0"/>
              <w:autoSpaceDE w:val="0"/>
              <w:autoSpaceDN w:val="0"/>
              <w:adjustRightInd w:val="0"/>
              <w:snapToGrid w:val="0"/>
              <w:spacing w:before="40" w:line="227" w:lineRule="auto"/>
              <w:ind w:left="340"/>
              <w:textAlignment w:val="baseline"/>
              <w:rPr>
                <w:rFonts w:ascii="宋体" w:hAnsi="宋体"/>
                <w:snapToGrid w:val="0"/>
                <w:color w:val="000000"/>
                <w:kern w:val="0"/>
                <w:sz w:val="24"/>
              </w:rPr>
            </w:pPr>
            <w:r>
              <w:rPr>
                <w:rFonts w:ascii="宋体" w:hAnsi="宋体"/>
                <w:snapToGrid w:val="0"/>
                <w:color w:val="000000"/>
                <w:spacing w:val="6"/>
                <w:kern w:val="0"/>
                <w:sz w:val="24"/>
                <w14:textOutline w14:w="4356" w14:cap="sq" w14:cmpd="sng" w14:algn="ctr">
                  <w14:solidFill>
                    <w14:srgbClr w14:val="000000"/>
                  </w14:solidFill>
                  <w14:prstDash w14:val="solid"/>
                  <w14:bevel/>
                </w14:textOutline>
              </w:rPr>
              <w:t>附</w:t>
            </w:r>
            <w:r>
              <w:rPr>
                <w:rFonts w:ascii="宋体" w:hAnsi="宋体"/>
                <w:snapToGrid w:val="0"/>
                <w:color w:val="000000"/>
                <w:spacing w:val="5"/>
                <w:kern w:val="0"/>
                <w:sz w:val="24"/>
                <w14:textOutline w14:w="4356" w14:cap="sq" w14:cmpd="sng" w14:algn="ctr">
                  <w14:solidFill>
                    <w14:srgbClr w14:val="000000"/>
                  </w14:solidFill>
                  <w14:prstDash w14:val="solid"/>
                  <w14:bevel/>
                </w14:textOutline>
              </w:rPr>
              <w:t>件清单</w:t>
            </w:r>
            <w:r>
              <w:rPr>
                <w:rFonts w:ascii="宋体" w:hAnsi="宋体"/>
                <w:snapToGrid w:val="0"/>
                <w:color w:val="000000"/>
                <w:spacing w:val="5"/>
                <w:kern w:val="0"/>
                <w:sz w:val="24"/>
              </w:rPr>
              <w:t xml:space="preserve"> </w:t>
            </w:r>
            <w:r>
              <w:rPr>
                <w:rFonts w:ascii="宋体" w:hAnsi="宋体"/>
                <w:snapToGrid w:val="0"/>
                <w:color w:val="000000"/>
                <w:spacing w:val="5"/>
                <w:kern w:val="0"/>
                <w:sz w:val="24"/>
                <w14:textOutline w14:w="4356" w14:cap="sq" w14:cmpd="sng" w14:algn="ctr">
                  <w14:solidFill>
                    <w14:srgbClr w14:val="000000"/>
                  </w14:solidFill>
                  <w14:prstDash w14:val="solid"/>
                  <w14:bevel/>
                </w14:textOutline>
              </w:rPr>
              <w:t>(如有)</w:t>
            </w:r>
          </w:p>
        </w:tc>
        <w:tc>
          <w:tcPr>
            <w:tcW w:w="6095" w:type="dxa"/>
            <w:vAlign w:val="center"/>
          </w:tcPr>
          <w:p w14:paraId="3C189224">
            <w:pPr>
              <w:widowControl/>
              <w:kinsoku w:val="0"/>
              <w:autoSpaceDE w:val="0"/>
              <w:autoSpaceDN w:val="0"/>
              <w:adjustRightInd w:val="0"/>
              <w:snapToGrid w:val="0"/>
              <w:ind w:firstLine="254" w:firstLineChars="100"/>
              <w:textAlignment w:val="baseline"/>
              <w:rPr>
                <w:rFonts w:ascii="宋体" w:hAnsi="宋体"/>
                <w:snapToGrid w:val="0"/>
                <w:color w:val="000000"/>
                <w:spacing w:val="7"/>
                <w:kern w:val="0"/>
                <w:sz w:val="24"/>
              </w:rPr>
            </w:pPr>
            <w:r>
              <w:rPr>
                <w:rFonts w:hint="eastAsia" w:ascii="宋体" w:hAnsi="宋体"/>
                <w:snapToGrid w:val="0"/>
                <w:color w:val="000000"/>
                <w:spacing w:val="7"/>
                <w:kern w:val="0"/>
                <w:sz w:val="24"/>
              </w:rPr>
              <w:t>无</w:t>
            </w:r>
          </w:p>
        </w:tc>
      </w:tr>
      <w:tr w14:paraId="0538F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3258" w:type="dxa"/>
            <w:vAlign w:val="center"/>
          </w:tcPr>
          <w:p w14:paraId="63E5F5E6">
            <w:pPr>
              <w:widowControl/>
              <w:kinsoku w:val="0"/>
              <w:autoSpaceDE w:val="0"/>
              <w:autoSpaceDN w:val="0"/>
              <w:adjustRightInd w:val="0"/>
              <w:snapToGrid w:val="0"/>
              <w:spacing w:before="41" w:line="228" w:lineRule="auto"/>
              <w:ind w:left="362"/>
              <w:textAlignment w:val="baseline"/>
              <w:rPr>
                <w:rFonts w:ascii="宋体" w:hAnsi="宋体"/>
                <w:snapToGrid w:val="0"/>
                <w:color w:val="000000"/>
                <w:kern w:val="0"/>
                <w:sz w:val="24"/>
              </w:rPr>
            </w:pPr>
            <w:r>
              <w:rPr>
                <w:rFonts w:ascii="宋体" w:hAnsi="宋体"/>
                <w:snapToGrid w:val="0"/>
                <w:color w:val="000000"/>
                <w:spacing w:val="-16"/>
                <w:kern w:val="0"/>
                <w:sz w:val="24"/>
                <w14:textOutline w14:w="4356" w14:cap="sq" w14:cmpd="sng" w14:algn="ctr">
                  <w14:solidFill>
                    <w14:srgbClr w14:val="000000"/>
                  </w14:solidFill>
                  <w14:prstDash w14:val="solid"/>
                  <w14:bevel/>
                </w14:textOutline>
              </w:rPr>
              <w:t>日</w:t>
            </w:r>
            <w:r>
              <w:rPr>
                <w:rFonts w:ascii="宋体" w:hAnsi="宋体"/>
                <w:snapToGrid w:val="0"/>
                <w:color w:val="000000"/>
                <w:spacing w:val="-15"/>
                <w:kern w:val="0"/>
                <w:sz w:val="24"/>
                <w14:textOutline w14:w="4356" w14:cap="sq" w14:cmpd="sng" w14:algn="ctr">
                  <w14:solidFill>
                    <w14:srgbClr w14:val="000000"/>
                  </w14:solidFill>
                  <w14:prstDash w14:val="solid"/>
                  <w14:bevel/>
                </w14:textOutline>
              </w:rPr>
              <w:t>期</w:t>
            </w:r>
          </w:p>
        </w:tc>
        <w:tc>
          <w:tcPr>
            <w:tcW w:w="6095" w:type="dxa"/>
            <w:vAlign w:val="center"/>
          </w:tcPr>
          <w:p w14:paraId="0817698D">
            <w:pPr>
              <w:widowControl/>
              <w:kinsoku w:val="0"/>
              <w:autoSpaceDE w:val="0"/>
              <w:autoSpaceDN w:val="0"/>
              <w:adjustRightInd w:val="0"/>
              <w:snapToGrid w:val="0"/>
              <w:spacing w:before="42" w:line="227" w:lineRule="auto"/>
              <w:ind w:firstLine="254" w:firstLineChars="100"/>
              <w:textAlignment w:val="baseline"/>
              <w:rPr>
                <w:rFonts w:ascii="宋体" w:hAnsi="宋体"/>
                <w:snapToGrid w:val="0"/>
                <w:color w:val="000000"/>
                <w:spacing w:val="7"/>
                <w:kern w:val="0"/>
                <w:sz w:val="24"/>
              </w:rPr>
            </w:pPr>
            <w:r>
              <w:rPr>
                <w:rFonts w:hint="eastAsia" w:ascii="宋体" w:hAnsi="宋体"/>
                <w:snapToGrid w:val="0"/>
                <w:color w:val="000000"/>
                <w:spacing w:val="7"/>
                <w:kern w:val="0"/>
                <w:sz w:val="24"/>
              </w:rPr>
              <w:t>2</w:t>
            </w:r>
            <w:r>
              <w:rPr>
                <w:rFonts w:ascii="宋体" w:hAnsi="宋体"/>
                <w:snapToGrid w:val="0"/>
                <w:color w:val="000000"/>
                <w:spacing w:val="7"/>
                <w:kern w:val="0"/>
                <w:sz w:val="24"/>
              </w:rPr>
              <w:t>02</w:t>
            </w:r>
            <w:r>
              <w:rPr>
                <w:rFonts w:hint="eastAsia" w:ascii="宋体" w:hAnsi="宋体"/>
                <w:snapToGrid w:val="0"/>
                <w:color w:val="000000"/>
                <w:spacing w:val="7"/>
                <w:kern w:val="0"/>
                <w:sz w:val="24"/>
              </w:rPr>
              <w:t>6</w:t>
            </w:r>
            <w:r>
              <w:rPr>
                <w:rFonts w:ascii="宋体" w:hAnsi="宋体"/>
                <w:snapToGrid w:val="0"/>
                <w:color w:val="000000"/>
                <w:spacing w:val="7"/>
                <w:kern w:val="0"/>
                <w:sz w:val="24"/>
              </w:rPr>
              <w:t>年</w:t>
            </w:r>
            <w:r>
              <w:rPr>
                <w:rFonts w:hint="eastAsia" w:ascii="宋体" w:hAnsi="宋体"/>
                <w:snapToGrid w:val="0"/>
                <w:color w:val="000000"/>
                <w:spacing w:val="7"/>
                <w:kern w:val="0"/>
                <w:sz w:val="24"/>
                <w:lang w:val="en-US" w:eastAsia="zh-CN"/>
              </w:rPr>
              <w:t>7</w:t>
            </w:r>
            <w:r>
              <w:rPr>
                <w:rFonts w:ascii="宋体" w:hAnsi="宋体"/>
                <w:snapToGrid w:val="0"/>
                <w:color w:val="000000"/>
                <w:spacing w:val="7"/>
                <w:kern w:val="0"/>
                <w:sz w:val="24"/>
              </w:rPr>
              <w:t>月</w:t>
            </w:r>
            <w:r>
              <w:rPr>
                <w:rFonts w:hint="eastAsia" w:ascii="宋体" w:hAnsi="宋体"/>
                <w:snapToGrid w:val="0"/>
                <w:color w:val="000000"/>
                <w:spacing w:val="7"/>
                <w:kern w:val="0"/>
                <w:sz w:val="24"/>
                <w:lang w:val="en-US" w:eastAsia="zh-CN"/>
              </w:rPr>
              <w:t>17</w:t>
            </w:r>
            <w:r>
              <w:rPr>
                <w:rFonts w:ascii="宋体" w:hAnsi="宋体"/>
                <w:snapToGrid w:val="0"/>
                <w:color w:val="000000"/>
                <w:spacing w:val="7"/>
                <w:kern w:val="0"/>
                <w:sz w:val="24"/>
              </w:rPr>
              <w:t>日</w:t>
            </w:r>
          </w:p>
        </w:tc>
      </w:tr>
    </w:tbl>
    <w:p w14:paraId="559C4B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35DE4"/>
    <w:rsid w:val="01235DE4"/>
    <w:rsid w:val="02DC2156"/>
    <w:rsid w:val="08530D60"/>
    <w:rsid w:val="0D663222"/>
    <w:rsid w:val="0DB42623"/>
    <w:rsid w:val="11E0559C"/>
    <w:rsid w:val="15DA1475"/>
    <w:rsid w:val="1991664B"/>
    <w:rsid w:val="19ED6F1F"/>
    <w:rsid w:val="1C02431A"/>
    <w:rsid w:val="22EC546B"/>
    <w:rsid w:val="2351194D"/>
    <w:rsid w:val="2D8753FE"/>
    <w:rsid w:val="2E313B68"/>
    <w:rsid w:val="31613F1A"/>
    <w:rsid w:val="317F2144"/>
    <w:rsid w:val="37621F23"/>
    <w:rsid w:val="39B20E82"/>
    <w:rsid w:val="3D633F5E"/>
    <w:rsid w:val="3F401BBB"/>
    <w:rsid w:val="43273BCA"/>
    <w:rsid w:val="4695568A"/>
    <w:rsid w:val="479031B3"/>
    <w:rsid w:val="48162268"/>
    <w:rsid w:val="494F4764"/>
    <w:rsid w:val="4A8D1239"/>
    <w:rsid w:val="53DB0C3B"/>
    <w:rsid w:val="5ADC59C5"/>
    <w:rsid w:val="5CD72D26"/>
    <w:rsid w:val="60C277FC"/>
    <w:rsid w:val="635B6108"/>
    <w:rsid w:val="65610F33"/>
    <w:rsid w:val="6835464F"/>
    <w:rsid w:val="6B681346"/>
    <w:rsid w:val="6D370590"/>
    <w:rsid w:val="6D9E2FAE"/>
    <w:rsid w:val="70422316"/>
    <w:rsid w:val="745D4836"/>
    <w:rsid w:val="78830A28"/>
    <w:rsid w:val="7CD35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qFormat/>
    <w:uiPriority w:val="0"/>
    <w:tblPr>
      <w:tblCellMar>
        <w:top w:w="0" w:type="dxa"/>
        <w:left w:w="0" w:type="dxa"/>
        <w:bottom w:w="0" w:type="dxa"/>
        <w:right w:w="0" w:type="dxa"/>
      </w:tblCellMar>
    </w:tblPr>
  </w:style>
  <w:style w:type="paragraph" w:customStyle="1" w:styleId="5">
    <w:name w:val="005正文"/>
    <w:basedOn w:val="1"/>
    <w:link w:val="6"/>
    <w:qFormat/>
    <w:uiPriority w:val="0"/>
    <w:pPr>
      <w:spacing w:before="50" w:beforeLines="50" w:after="50" w:afterLines="50" w:line="360" w:lineRule="auto"/>
      <w:ind w:firstLine="200" w:firstLineChars="200"/>
    </w:pPr>
    <w:rPr>
      <w:rFonts w:ascii="Times New Roman" w:hAnsi="Times New Roman"/>
      <w:sz w:val="24"/>
    </w:rPr>
  </w:style>
  <w:style w:type="character" w:customStyle="1" w:styleId="6">
    <w:name w:val="005正文 Char"/>
    <w:link w:val="5"/>
    <w:qFormat/>
    <w:uiPriority w:val="0"/>
    <w:rPr>
      <w:rFonts w:ascii="Times New Roman" w:hAnsi="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2026-07-17T05:40:00Z</dcterms:created>
  <dc:creator>可可可</dc:creator>
  <cp:lastModifiedBy>可可可</cp:lastModifiedBy>
  <cp:lastPrinted>2026-07-17T08:52:51Z</cp:lastPrinted>
  <dcterms:modified xsi:type="dcterms:W3CDTF">2026-07-17T09:27:15Z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16CC972AA8974769A59BABAEFCF1F2D3_11</vt:lpwstr>
  </property>
  <property fmtid="{D5CDD505-2E9C-101B-9397-08002B2CF9AE}" pid="4" name="KSOTemplateDocerSaveRecord">
    <vt:lpwstr>eyJoZGlkIjoiZWRhOWZmMjcyZGY0NTUzNTY4OThjYWU3NGM2ZTVmNDAiLCJ1c2VySWQiOiIzMjAyODUzNjMifQ==</vt:lpwstr>
  </property>
</Properties>
</file>