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4BC30">
      <w:pPr>
        <w:spacing w:line="360" w:lineRule="auto"/>
        <w:jc w:val="center"/>
        <w:rPr>
          <w:rFonts w:eastAsiaTheme="minorEastAsia"/>
          <w:bCs/>
          <w:iCs/>
          <w:color w:val="000000"/>
          <w:sz w:val="32"/>
          <w:szCs w:val="40"/>
        </w:rPr>
      </w:pPr>
      <w:r>
        <w:rPr>
          <w:rFonts w:hint="eastAsia" w:eastAsiaTheme="minorEastAsia"/>
          <w:bCs/>
          <w:iCs/>
          <w:color w:val="000000"/>
          <w:sz w:val="32"/>
          <w:szCs w:val="40"/>
        </w:rPr>
        <w:t>包头天和磁材科技股份有限公司</w:t>
      </w:r>
    </w:p>
    <w:p w14:paraId="7F7469DB">
      <w:pPr>
        <w:spacing w:line="360" w:lineRule="auto"/>
        <w:jc w:val="center"/>
        <w:rPr>
          <w:rFonts w:eastAsiaTheme="minorEastAsia"/>
          <w:bCs/>
          <w:iCs/>
          <w:color w:val="000000"/>
          <w:sz w:val="32"/>
          <w:szCs w:val="40"/>
        </w:rPr>
      </w:pPr>
      <w:r>
        <w:rPr>
          <w:rFonts w:eastAsiaTheme="minorEastAsia"/>
          <w:bCs/>
          <w:iCs/>
          <w:color w:val="000000"/>
          <w:sz w:val="32"/>
          <w:szCs w:val="40"/>
        </w:rPr>
        <w:t>投资者关系活动记录表</w:t>
      </w:r>
    </w:p>
    <w:p w14:paraId="300DF078">
      <w:pPr>
        <w:spacing w:line="360" w:lineRule="auto"/>
        <w:jc w:val="right"/>
        <w:rPr>
          <w:rFonts w:eastAsiaTheme="minorEastAsia"/>
          <w:bCs/>
          <w:iCs/>
          <w:color w:val="000000"/>
          <w:sz w:val="22"/>
          <w:szCs w:val="28"/>
        </w:rPr>
      </w:pPr>
      <w:r>
        <w:rPr>
          <w:rFonts w:eastAsiaTheme="minorEastAsia"/>
          <w:bCs/>
          <w:iCs/>
          <w:color w:val="000000"/>
          <w:sz w:val="22"/>
          <w:szCs w:val="28"/>
        </w:rPr>
        <w:t xml:space="preserve">                                                  编号：</w:t>
      </w:r>
      <w:r>
        <w:rPr>
          <w:rFonts w:hint="eastAsia" w:eastAsiaTheme="minorEastAsia"/>
          <w:bCs/>
          <w:iCs/>
          <w:color w:val="000000"/>
          <w:sz w:val="22"/>
          <w:szCs w:val="28"/>
        </w:rPr>
        <w:t>2026-05</w:t>
      </w:r>
    </w:p>
    <w:tbl>
      <w:tblPr>
        <w:tblStyle w:val="6"/>
        <w:tblW w:w="546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8"/>
        <w:gridCol w:w="7089"/>
      </w:tblGrid>
      <w:tr w14:paraId="2266C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EF374">
            <w:pPr>
              <w:spacing w:line="360" w:lineRule="auto"/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  <w:t>投资者关系活动类别</w:t>
            </w:r>
          </w:p>
          <w:p w14:paraId="1B5E6409">
            <w:pPr>
              <w:spacing w:line="360" w:lineRule="auto"/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07E45">
            <w:pPr>
              <w:spacing w:line="360" w:lineRule="auto"/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  <w:sym w:font="Wingdings 2" w:char="F052"/>
            </w:r>
            <w:r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  <w:t xml:space="preserve">特定对象调研        </w:t>
            </w:r>
            <w:r>
              <w:rPr>
                <w:rFonts w:hint="eastAsia" w:eastAsiaTheme="minorEastAsia"/>
                <w:bCs/>
                <w:iCs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eastAsiaTheme="minor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  <w:t>分析师会议</w:t>
            </w:r>
          </w:p>
          <w:p w14:paraId="5268DE1A">
            <w:pPr>
              <w:spacing w:line="360" w:lineRule="auto"/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</w:pPr>
            <w:bookmarkStart w:id="0" w:name="OLE_LINK1"/>
            <w:r>
              <w:rPr>
                <w:rFonts w:hint="eastAsia" w:eastAsiaTheme="minorEastAsia"/>
                <w:bCs/>
                <w:iCs/>
                <w:color w:val="000000"/>
                <w:sz w:val="24"/>
                <w:szCs w:val="24"/>
              </w:rPr>
              <w:t>□</w:t>
            </w:r>
            <w:bookmarkEnd w:id="0"/>
            <w:r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  <w:t xml:space="preserve">媒体采访            </w:t>
            </w:r>
            <w:r>
              <w:rPr>
                <w:rFonts w:hint="eastAsia" w:eastAsiaTheme="minorEastAsia"/>
                <w:bCs/>
                <w:iCs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eastAsiaTheme="minor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  <w:t>业绩说明会</w:t>
            </w:r>
          </w:p>
          <w:p w14:paraId="1C1D7EC3">
            <w:pPr>
              <w:spacing w:line="360" w:lineRule="auto"/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 w:eastAsiaTheme="minor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  <w:t xml:space="preserve">新闻发布会           </w:t>
            </w:r>
            <w:r>
              <w:rPr>
                <w:rFonts w:hint="eastAsia" w:eastAsiaTheme="minorEastAsia"/>
                <w:bCs/>
                <w:iCs/>
                <w:color w:val="000000"/>
                <w:sz w:val="24"/>
                <w:szCs w:val="24"/>
              </w:rPr>
              <w:t xml:space="preserve">     □</w:t>
            </w:r>
            <w:r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  <w:t>路演活动</w:t>
            </w:r>
          </w:p>
          <w:p w14:paraId="3294C739">
            <w:pPr>
              <w:spacing w:line="360" w:lineRule="auto"/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 w:eastAsiaTheme="minor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  <w:t>现场参观</w:t>
            </w:r>
          </w:p>
          <w:p w14:paraId="10AB9B05">
            <w:pPr>
              <w:spacing w:line="360" w:lineRule="auto"/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 w:eastAsiaTheme="minorEastAsia"/>
                <w:bCs/>
                <w:iCs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  <w:t>其他</w:t>
            </w:r>
          </w:p>
        </w:tc>
      </w:tr>
      <w:tr w14:paraId="0F797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267C1">
            <w:pPr>
              <w:spacing w:line="360" w:lineRule="auto"/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  <w:t>参与单位名称</w:t>
            </w:r>
          </w:p>
        </w:tc>
        <w:tc>
          <w:tcPr>
            <w:tcW w:w="3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331C8">
            <w:pPr>
              <w:spacing w:line="360" w:lineRule="auto"/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 w:eastAsiaTheme="minorEastAsia"/>
                <w:bCs/>
                <w:iCs/>
                <w:color w:val="000000"/>
                <w:sz w:val="24"/>
                <w:szCs w:val="24"/>
              </w:rPr>
              <w:t>光大证券、银河证券、中邮证券、伯纳程基金、国金永恒基金、金友私募、宽行私募、珞瑜私募、狮峰投资、鑫融长弘、钰锦基金、路演时代（排名不分先后顺序）</w:t>
            </w:r>
          </w:p>
        </w:tc>
      </w:tr>
      <w:tr w14:paraId="0E6AB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CAD40">
            <w:pPr>
              <w:spacing w:line="360" w:lineRule="auto"/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3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F4298">
            <w:pPr>
              <w:spacing w:line="360" w:lineRule="auto"/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 w:eastAsiaTheme="minorEastAsia"/>
                <w:bCs/>
                <w:iCs/>
                <w:sz w:val="24"/>
                <w:szCs w:val="24"/>
              </w:rPr>
              <w:t>2026年7月23日</w:t>
            </w:r>
          </w:p>
        </w:tc>
      </w:tr>
      <w:tr w14:paraId="04DAE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056DE">
            <w:pPr>
              <w:spacing w:line="360" w:lineRule="auto"/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  <w:t>地点</w:t>
            </w:r>
          </w:p>
        </w:tc>
        <w:tc>
          <w:tcPr>
            <w:tcW w:w="3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151C6">
            <w:pPr>
              <w:spacing w:line="360" w:lineRule="auto"/>
              <w:rPr>
                <w:rFonts w:hint="eastAsia" w:eastAsiaTheme="minorEastAsia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bCs/>
                <w:iCs/>
                <w:color w:val="000000"/>
                <w:sz w:val="24"/>
                <w:szCs w:val="24"/>
              </w:rPr>
              <w:t>公司会议室</w:t>
            </w:r>
            <w:r>
              <w:rPr>
                <w:rFonts w:hint="eastAsia" w:eastAsiaTheme="minorEastAsia"/>
                <w:bCs/>
                <w:iCs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eastAsiaTheme="minorEastAsia"/>
                <w:bCs/>
                <w:iCs/>
                <w:color w:val="000000"/>
                <w:sz w:val="24"/>
                <w:szCs w:val="24"/>
                <w:highlight w:val="none"/>
                <w:lang w:val="en-US" w:eastAsia="zh-CN"/>
              </w:rPr>
              <w:t>线上会议方式</w:t>
            </w:r>
            <w:r>
              <w:rPr>
                <w:rFonts w:hint="eastAsia" w:eastAsiaTheme="minorEastAsia"/>
                <w:bCs/>
                <w:iCs/>
                <w:color w:val="000000"/>
                <w:sz w:val="24"/>
                <w:szCs w:val="24"/>
                <w:highlight w:val="none"/>
                <w:lang w:eastAsia="zh-CN"/>
              </w:rPr>
              <w:t>）</w:t>
            </w:r>
            <w:bookmarkStart w:id="2" w:name="_GoBack"/>
            <w:bookmarkEnd w:id="2"/>
          </w:p>
        </w:tc>
      </w:tr>
      <w:tr w14:paraId="13DE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C4DA7">
            <w:pPr>
              <w:spacing w:line="360" w:lineRule="auto"/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  <w:t>上市公司接待人员姓名</w:t>
            </w:r>
          </w:p>
        </w:tc>
        <w:tc>
          <w:tcPr>
            <w:tcW w:w="3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781A4">
            <w:pPr>
              <w:spacing w:line="360" w:lineRule="auto"/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 w:eastAsiaTheme="minorEastAsia"/>
                <w:bCs/>
                <w:iCs/>
                <w:color w:val="000000"/>
                <w:sz w:val="24"/>
                <w:szCs w:val="24"/>
              </w:rPr>
              <w:t>董事会秘书：吴志刚</w:t>
            </w:r>
          </w:p>
          <w:p w14:paraId="6A8BE50B">
            <w:pPr>
              <w:spacing w:line="360" w:lineRule="auto"/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 w:eastAsiaTheme="minorEastAsia"/>
                <w:bCs/>
                <w:iCs/>
                <w:color w:val="000000"/>
                <w:sz w:val="24"/>
                <w:szCs w:val="24"/>
              </w:rPr>
              <w:t>证券事务部工作人员</w:t>
            </w:r>
          </w:p>
        </w:tc>
      </w:tr>
      <w:tr w14:paraId="55464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1011B">
            <w:pPr>
              <w:spacing w:line="360" w:lineRule="auto"/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  <w:t>投资者关系活动主要内容介绍</w:t>
            </w:r>
          </w:p>
        </w:tc>
        <w:tc>
          <w:tcPr>
            <w:tcW w:w="3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B32DC9">
            <w:pPr>
              <w:pStyle w:val="24"/>
              <w:spacing w:line="360" w:lineRule="auto"/>
              <w:ind w:firstLine="0" w:firstLineChars="0"/>
              <w:rPr>
                <w:rFonts w:hint="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eastAsiaTheme="minorEastAsia"/>
                <w:b/>
                <w:bCs/>
                <w:sz w:val="24"/>
                <w:szCs w:val="24"/>
              </w:rPr>
              <w:t>一、介绍公司情况</w:t>
            </w:r>
          </w:p>
          <w:p w14:paraId="38C7F8DE">
            <w:pPr>
              <w:pStyle w:val="24"/>
              <w:spacing w:line="360" w:lineRule="auto"/>
              <w:ind w:firstLine="0" w:firstLineChars="0"/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 w:eastAsiaTheme="minorEastAsia"/>
                <w:sz w:val="24"/>
                <w:szCs w:val="24"/>
              </w:rPr>
              <w:t>公司董事会秘书吴志刚介绍了公司的发展历程、主要产品、主要客户、核心优势等公司基本情况。</w:t>
            </w:r>
          </w:p>
          <w:p w14:paraId="0037221D">
            <w:pPr>
              <w:pStyle w:val="24"/>
              <w:spacing w:line="360" w:lineRule="auto"/>
              <w:ind w:firstLine="0" w:firstLineChars="0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eastAsiaTheme="minorEastAsia"/>
                <w:b/>
                <w:bCs/>
                <w:sz w:val="24"/>
                <w:szCs w:val="24"/>
              </w:rPr>
              <w:t>二、互动交流主要内容：</w:t>
            </w:r>
          </w:p>
          <w:p w14:paraId="5F11CEAE">
            <w:pPr>
              <w:pStyle w:val="24"/>
              <w:spacing w:line="360" w:lineRule="auto"/>
              <w:ind w:firstLine="0" w:firstLineChars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1、公司2026年上半年销售增长主要是哪方面？</w:t>
            </w:r>
          </w:p>
          <w:p w14:paraId="1DAB4F2D">
            <w:pPr>
              <w:pStyle w:val="24"/>
              <w:spacing w:line="360" w:lineRule="auto"/>
              <w:ind w:firstLine="0" w:firstLineChars="0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答：公司</w:t>
            </w:r>
            <w:r>
              <w:rPr>
                <w:rFonts w:ascii="Times New Roman" w:hAnsi="Times New Roman"/>
                <w:sz w:val="24"/>
                <w:szCs w:val="24"/>
              </w:rPr>
              <w:t>预计2026年半年度实现归属于母公司所有者的净利润7,300.00万元到9,300.00万元，同比增加36.56%到73.98%</w:t>
            </w:r>
            <w:r>
              <w:rPr>
                <w:rFonts w:hint="eastAsia" w:ascii="Times New Roman" w:hAnsi="Times New Roman"/>
                <w:sz w:val="24"/>
                <w:szCs w:val="24"/>
              </w:rPr>
              <w:t>；</w:t>
            </w:r>
            <w:r>
              <w:rPr>
                <w:rFonts w:ascii="Times New Roman" w:hAnsi="Times New Roman"/>
                <w:sz w:val="24"/>
                <w:szCs w:val="24"/>
              </w:rPr>
              <w:t>实现归属于母公司所有者的扣除非经常性损益的净利润6,800.00万元到8,800.00万元，同比增加91.94%到148.39%。</w:t>
            </w:r>
            <w:r>
              <w:rPr>
                <w:rFonts w:hint="eastAsia" w:ascii="Times New Roman" w:hAnsi="Times New Roman"/>
                <w:sz w:val="24"/>
                <w:szCs w:val="24"/>
              </w:rPr>
              <w:t>主要系上半年原材料价格整体高位波动，公司对部分存量、新增订单优化定价策略，上调了产品售价；公司主动抢抓市场机遇，围绕“聚焦新兴市场、深化客户关系、优化渠道布局”展开销售工作，实现国际国内双轮驱动，市场开发工作成效显著，预计整体营业收入同比增长约 30%，其中国内业务营收同比增长约50%。详见公司已披露</w:t>
            </w:r>
            <w:r>
              <w:rPr>
                <w:rFonts w:ascii="Times New Roman" w:hAnsi="Times New Roman"/>
                <w:sz w:val="24"/>
                <w:szCs w:val="24"/>
              </w:rPr>
              <w:t>2026年半年度业绩预告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。</w:t>
            </w:r>
          </w:p>
          <w:p w14:paraId="7CC2E912">
            <w:pPr>
              <w:pStyle w:val="24"/>
              <w:spacing w:line="360" w:lineRule="auto"/>
              <w:ind w:firstLine="0" w:firstLineChars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OLE_LINK2"/>
            <w:r>
              <w:rPr>
                <w:rFonts w:hint="eastAsia" w:ascii="Times New Roman" w:hAnsi="Times New Roman"/>
                <w:b/>
                <w:sz w:val="24"/>
                <w:szCs w:val="24"/>
              </w:rPr>
              <w:t>2、公司2026年上半年国内国外业务占比情况如何？</w:t>
            </w:r>
          </w:p>
          <w:p w14:paraId="215366A0">
            <w:pPr>
              <w:pStyle w:val="24"/>
              <w:spacing w:line="36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答：2025年，</w:t>
            </w:r>
            <w:r>
              <w:rPr>
                <w:rFonts w:ascii="Times New Roman" w:hAnsi="Times New Roman"/>
                <w:sz w:val="24"/>
                <w:szCs w:val="24"/>
              </w:rPr>
              <w:t>公司国际业务实现营业收入</w:t>
            </w:r>
            <w:bookmarkEnd w:id="1"/>
            <w:r>
              <w:rPr>
                <w:rFonts w:ascii="Times New Roman" w:hAnsi="Times New Roman"/>
                <w:sz w:val="24"/>
                <w:szCs w:val="24"/>
              </w:rPr>
              <w:t>103,205.29万元，占比44.02%；国内业务实现收入131,250.65万元，占比55.98%。</w:t>
            </w:r>
            <w:r>
              <w:rPr>
                <w:rFonts w:hint="eastAsia" w:ascii="Times New Roman" w:hAnsi="Times New Roman"/>
                <w:sz w:val="24"/>
                <w:szCs w:val="24"/>
              </w:rPr>
              <w:t>2026年半年度国内及国际业务占比请关注公司将于2026年8月26日披露的2026年半年度报告。</w:t>
            </w:r>
          </w:p>
          <w:p w14:paraId="6EDEB1AC">
            <w:pPr>
              <w:pStyle w:val="24"/>
              <w:spacing w:line="360" w:lineRule="auto"/>
              <w:ind w:firstLine="0" w:firstLineChars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3、公司子公司天和新材料新建项目建设进度如何规划？</w:t>
            </w:r>
          </w:p>
          <w:p w14:paraId="7637FE5C">
            <w:pPr>
              <w:pStyle w:val="24"/>
              <w:spacing w:line="360" w:lineRule="auto"/>
              <w:ind w:firstLine="0" w:firstLineChars="0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答：公司基于对自身发展和市场前景的信心，为了满足当前业务规划及未来发展的需求，公司投资设立了全资子公司天和新材料，并进行“天和新材料稀土零碳产业园（高性能稀土永磁及组件、装备制造与研发项目）”的建设；目前项目建设顺利，初步规划产能20,000吨。该部分产能的建设公司将结合市场订单和公司发展等情况稳步推进。</w:t>
            </w:r>
          </w:p>
          <w:p w14:paraId="62455E27">
            <w:pPr>
              <w:pStyle w:val="24"/>
              <w:spacing w:line="360" w:lineRule="auto"/>
              <w:ind w:firstLine="0" w:firstLineChars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4、公司在新业务方面的拓展情况如何？</w:t>
            </w:r>
          </w:p>
          <w:p w14:paraId="74F03B9B">
            <w:pPr>
              <w:pStyle w:val="24"/>
              <w:spacing w:line="36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答：公司深化布局新兴领域，开发定制化磁体与组件，精准对接新兴市场的性能需求；同时加快拓展多元化产品体系，积极推进注塑磁、粘结磁、磁组件等高附加值产品的研发与产业化，推动公司从“磁材产品供应商”向“综合稀土永磁解决方案提供商”转型升级。此外，公司</w:t>
            </w:r>
            <w:r>
              <w:rPr>
                <w:rFonts w:ascii="Times New Roman" w:hAnsi="Times New Roman"/>
                <w:sz w:val="24"/>
                <w:szCs w:val="24"/>
              </w:rPr>
              <w:t>全资子公司天之和专注于稀土永磁材料关键生产设备的研发、生产、制造和销售，</w:t>
            </w:r>
            <w:r>
              <w:rPr>
                <w:rFonts w:hint="eastAsia" w:ascii="Times New Roman" w:hAnsi="Times New Roman"/>
                <w:sz w:val="24"/>
                <w:szCs w:val="24"/>
              </w:rPr>
              <w:t>2025年，天之和研制的专用生产设备在满足母公司使用的基础上，成功实现市场化对外销售和交付，2025年累计对外签单3,730.66万元，实现对外营业收入2,544.41万元。。</w:t>
            </w:r>
          </w:p>
          <w:p w14:paraId="0B300057">
            <w:pPr>
              <w:pStyle w:val="24"/>
              <w:spacing w:line="360" w:lineRule="auto"/>
              <w:ind w:firstLine="0" w:firstLineChars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5、公司如何应对原材料价格的波动？</w:t>
            </w:r>
          </w:p>
          <w:p w14:paraId="1C7CEA1E">
            <w:pPr>
              <w:pStyle w:val="24"/>
              <w:spacing w:line="36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答：</w:t>
            </w:r>
            <w:r>
              <w:rPr>
                <w:rFonts w:ascii="Times New Roman" w:hAnsi="Times New Roman"/>
                <w:sz w:val="24"/>
                <w:szCs w:val="24"/>
              </w:rPr>
              <w:t>公司的采购模式以“以产定采+安全库存”为核心，通过ERP等信息化系统实现按需精准采购与库存动态管理。公司</w:t>
            </w:r>
            <w:r>
              <w:rPr>
                <w:rFonts w:hint="eastAsia" w:ascii="Times New Roman" w:hAnsi="Times New Roman"/>
                <w:sz w:val="24"/>
                <w:szCs w:val="24"/>
              </w:rPr>
              <w:t>与</w:t>
            </w:r>
            <w:r>
              <w:rPr>
                <w:rFonts w:ascii="Times New Roman" w:hAnsi="Times New Roman"/>
                <w:sz w:val="24"/>
                <w:szCs w:val="24"/>
              </w:rPr>
              <w:t>主要供应商签订长期协议，建立了稳定可靠的供应链体系，并采用科学储备机制灵活调节库存水平，有效平滑原材料价格波动，在保障稳定供应的同时控制采购成本与风险。</w:t>
            </w:r>
          </w:p>
          <w:p w14:paraId="32D59DF5">
            <w:pPr>
              <w:pStyle w:val="24"/>
              <w:spacing w:line="360" w:lineRule="auto"/>
              <w:ind w:firstLine="0" w:firstLineChars="0"/>
              <w:rPr>
                <w:rFonts w:hint="eastAsia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6、出口管制政策对公司的影响？</w:t>
            </w:r>
          </w:p>
          <w:p w14:paraId="15F08C4F">
            <w:pPr>
              <w:pStyle w:val="24"/>
              <w:spacing w:line="360" w:lineRule="auto"/>
              <w:ind w:firstLine="0" w:firstLineChars="0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答：公司始终严格恪守国家各项法律法规及监管要求，在出口管制相关政策发布后迅速部署、主动响应，全面搭建并持续完善出口管制全流程合规管理体系。公司严格按照合规管理体系规范开展出口许可申报工作，依法有序取得商务部核发的出口许可证，保障了海外国际业务平稳有序、持续健康开展。同时公司持续推进市场多元化战略，积极拓展不同区域市场，降低对单一市场的依赖，以提升整体抗风险能力。</w:t>
            </w:r>
          </w:p>
          <w:p w14:paraId="738FC6E1">
            <w:pPr>
              <w:pStyle w:val="24"/>
              <w:spacing w:line="360" w:lineRule="auto"/>
              <w:ind w:firstLine="0" w:firstLineChars="0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此外，</w:t>
            </w:r>
            <w:r>
              <w:rPr>
                <w:rFonts w:hint="eastAsia" w:ascii="Times New Roman" w:hAnsi="Times New Roman"/>
                <w:sz w:val="24"/>
                <w:szCs w:val="24"/>
              </w:rPr>
              <w:t>相关出口管制政策的细化与严格执行，显著提升了行业的规范化标准。这为已建立完善合规体系、能够持续满足许可与交付要求的企业创造了有利条件，有助于引导行业资源向规范运营的企业集中，支持其获得高质量客户的长期合作，并推动整个行业向更有序、更高质量的方向发展。</w:t>
            </w:r>
          </w:p>
          <w:p w14:paraId="7731AE9B">
            <w:pPr>
              <w:pStyle w:val="24"/>
              <w:spacing w:line="360" w:lineRule="auto"/>
              <w:ind w:firstLine="0" w:firstLineChars="0"/>
              <w:rPr>
                <w:rFonts w:hint="eastAsia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7、是否有研发稀土靶材的计划？</w:t>
            </w:r>
          </w:p>
          <w:p w14:paraId="190994F4">
            <w:pPr>
              <w:pStyle w:val="24"/>
              <w:spacing w:line="36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答：</w:t>
            </w:r>
            <w:r>
              <w:rPr>
                <w:rFonts w:ascii="Times New Roman" w:hAnsi="Times New Roman"/>
                <w:sz w:val="24"/>
                <w:szCs w:val="24"/>
              </w:rPr>
              <w:t>公司系国内先进的高性能稀土永磁材料提供商，主要从事烧结钕铁硼、烧结钐钴等高性能稀土永磁材料研发、生产、销售，同时向注塑磁、粘结磁、磁组件进行产业延伸，为客户提供综合稀土永磁解决方案。</w:t>
            </w:r>
            <w:r>
              <w:rPr>
                <w:rFonts w:hint="eastAsia" w:ascii="Times New Roman" w:hAnsi="Times New Roman"/>
                <w:sz w:val="24"/>
                <w:szCs w:val="24"/>
              </w:rPr>
              <w:t>公司暂未有上述研发计划。</w:t>
            </w:r>
          </w:p>
          <w:p w14:paraId="63E675CE">
            <w:pPr>
              <w:pStyle w:val="24"/>
              <w:spacing w:line="360" w:lineRule="auto"/>
              <w:ind w:firstLine="0" w:firstLineChars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8、请问公司对未来稀土价格如何看待？</w:t>
            </w:r>
          </w:p>
          <w:p w14:paraId="0F44964A">
            <w:pPr>
              <w:pStyle w:val="24"/>
              <w:spacing w:line="360" w:lineRule="auto"/>
              <w:ind w:firstLine="0" w:firstLineChars="0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答：</w:t>
            </w:r>
            <w:r>
              <w:rPr>
                <w:rFonts w:ascii="Times New Roman" w:hAnsi="Times New Roman"/>
                <w:sz w:val="24"/>
                <w:szCs w:val="24"/>
              </w:rPr>
              <w:t>稀土是国家重要的战略资源</w:t>
            </w:r>
            <w:r>
              <w:rPr>
                <w:rFonts w:hint="eastAsia" w:ascii="Times New Roman" w:hAnsi="Times New Roman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sz w:val="24"/>
                <w:szCs w:val="24"/>
              </w:rPr>
              <w:t>稀土产品价格受市场环境、政策变化、行业供需周期等因素影响，稀土产品价格在合理区间内波动，有利于稀土产业链上下游发展。</w:t>
            </w:r>
          </w:p>
        </w:tc>
      </w:tr>
      <w:tr w14:paraId="012FF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261AD">
            <w:pPr>
              <w:spacing w:line="360" w:lineRule="auto"/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  <w:t>关于本次活动是否涉及应披露重大信息的说明</w:t>
            </w:r>
          </w:p>
        </w:tc>
        <w:tc>
          <w:tcPr>
            <w:tcW w:w="3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9D5E8">
            <w:pPr>
              <w:spacing w:line="360" w:lineRule="auto"/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  <w:t>无</w:t>
            </w:r>
          </w:p>
        </w:tc>
      </w:tr>
      <w:tr w14:paraId="4C2B2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BA6DE">
            <w:pPr>
              <w:spacing w:line="360" w:lineRule="auto"/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  <w:t>附件清单（如有）</w:t>
            </w:r>
          </w:p>
        </w:tc>
        <w:tc>
          <w:tcPr>
            <w:tcW w:w="3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D6227">
            <w:pPr>
              <w:spacing w:line="360" w:lineRule="auto"/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 w:eastAsiaTheme="minorEastAsia"/>
                <w:bCs/>
                <w:iCs/>
                <w:color w:val="000000"/>
                <w:sz w:val="24"/>
                <w:szCs w:val="24"/>
              </w:rPr>
              <w:t>无</w:t>
            </w:r>
          </w:p>
        </w:tc>
      </w:tr>
      <w:tr w14:paraId="2F8AB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458D7">
            <w:pPr>
              <w:spacing w:line="360" w:lineRule="auto"/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 w:eastAsiaTheme="minorEastAsia"/>
                <w:bCs/>
                <w:iCs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3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0F603">
            <w:pPr>
              <w:spacing w:line="360" w:lineRule="auto"/>
              <w:rPr>
                <w:rFonts w:eastAsiaTheme="minor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 w:eastAsiaTheme="minorEastAsia"/>
                <w:bCs/>
                <w:iCs/>
                <w:sz w:val="24"/>
                <w:szCs w:val="24"/>
              </w:rPr>
              <w:t>2026年7月23日</w:t>
            </w:r>
          </w:p>
        </w:tc>
      </w:tr>
    </w:tbl>
    <w:p w14:paraId="2D39FA38">
      <w:pPr>
        <w:widowControl/>
        <w:jc w:val="left"/>
        <w:rPr>
          <w:rFonts w:eastAsiaTheme="minorEastAsia"/>
        </w:rPr>
      </w:pPr>
    </w:p>
    <w:sectPr>
      <w:headerReference r:id="rId4" w:type="first"/>
      <w:headerReference r:id="rId3" w:type="default"/>
      <w:pgSz w:w="11906" w:h="16838"/>
      <w:pgMar w:top="1440" w:right="1797" w:bottom="1440" w:left="1797" w:header="850" w:footer="0" w:gutter="0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87CC5">
    <w:pPr>
      <w:pStyle w:val="4"/>
      <w:pBdr>
        <w:bottom w:val="none" w:color="auto" w:sz="0" w:space="0"/>
      </w:pBdr>
      <w:rPr>
        <w:rFonts w:ascii="Times New Roman" w:hAnsi="Times New Roman" w:cs="Times New Roman"/>
        <w:sz w:val="21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D3476E">
    <w:pPr>
      <w:pStyle w:val="4"/>
      <w:pBdr>
        <w:bottom w:val="none" w:color="auto" w:sz="0" w:space="0"/>
      </w:pBdr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t>证券代码：</w:t>
    </w:r>
    <w:r>
      <w:rPr>
        <w:rFonts w:hint="eastAsia" w:ascii="Times New Roman" w:hAnsi="Times New Roman" w:cs="Times New Roman"/>
        <w:sz w:val="21"/>
        <w:szCs w:val="21"/>
      </w:rPr>
      <w:t>603072</w:t>
    </w:r>
    <w:r>
      <w:rPr>
        <w:rFonts w:ascii="Times New Roman" w:hAnsi="Times New Roman" w:cs="Times New Roman"/>
        <w:sz w:val="21"/>
        <w:szCs w:val="21"/>
      </w:rPr>
      <w:tab/>
    </w:r>
    <w:r>
      <w:rPr>
        <w:rFonts w:ascii="Times New Roman" w:hAnsi="Times New Roman" w:cs="Times New Roman"/>
        <w:sz w:val="21"/>
        <w:szCs w:val="21"/>
      </w:rPr>
      <w:ptab w:relativeTo="margin" w:alignment="center" w:leader="none"/>
    </w:r>
    <w:r>
      <w:rPr>
        <w:rFonts w:ascii="Times New Roman" w:hAnsi="Times New Roman" w:cs="Times New Roman"/>
        <w:sz w:val="21"/>
        <w:szCs w:val="21"/>
      </w:rPr>
      <w:ptab w:relativeTo="margin" w:alignment="right" w:leader="none"/>
    </w:r>
    <w:r>
      <w:rPr>
        <w:rFonts w:ascii="Times New Roman" w:hAnsi="Times New Roman" w:cs="Times New Roman"/>
        <w:sz w:val="21"/>
        <w:szCs w:val="21"/>
      </w:rPr>
      <w:t>证券简称：</w:t>
    </w:r>
    <w:r>
      <w:rPr>
        <w:rFonts w:hint="eastAsia" w:ascii="Times New Roman" w:hAnsi="Times New Roman" w:cs="Times New Roman"/>
        <w:sz w:val="21"/>
        <w:szCs w:val="21"/>
      </w:rPr>
      <w:t>天和磁材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83E"/>
    <w:rsid w:val="00000D53"/>
    <w:rsid w:val="00001A44"/>
    <w:rsid w:val="00005DC7"/>
    <w:rsid w:val="00010E2E"/>
    <w:rsid w:val="00012C0E"/>
    <w:rsid w:val="0001590A"/>
    <w:rsid w:val="00017DAD"/>
    <w:rsid w:val="0002668D"/>
    <w:rsid w:val="000325CA"/>
    <w:rsid w:val="000327B0"/>
    <w:rsid w:val="00036FE7"/>
    <w:rsid w:val="0004058A"/>
    <w:rsid w:val="00040F76"/>
    <w:rsid w:val="00043592"/>
    <w:rsid w:val="00060175"/>
    <w:rsid w:val="000601B6"/>
    <w:rsid w:val="00063E86"/>
    <w:rsid w:val="00067BE6"/>
    <w:rsid w:val="0007243B"/>
    <w:rsid w:val="000754F1"/>
    <w:rsid w:val="00083430"/>
    <w:rsid w:val="000849F3"/>
    <w:rsid w:val="000901A2"/>
    <w:rsid w:val="000933FF"/>
    <w:rsid w:val="00095313"/>
    <w:rsid w:val="000A42A2"/>
    <w:rsid w:val="000A62C1"/>
    <w:rsid w:val="000B222F"/>
    <w:rsid w:val="000B41EE"/>
    <w:rsid w:val="000B58D4"/>
    <w:rsid w:val="000C6659"/>
    <w:rsid w:val="000C6D27"/>
    <w:rsid w:val="000D758F"/>
    <w:rsid w:val="000E0759"/>
    <w:rsid w:val="000E47E4"/>
    <w:rsid w:val="000E5ACE"/>
    <w:rsid w:val="000F14FC"/>
    <w:rsid w:val="000F1E31"/>
    <w:rsid w:val="000F500B"/>
    <w:rsid w:val="000F6057"/>
    <w:rsid w:val="000F7ECD"/>
    <w:rsid w:val="001001E2"/>
    <w:rsid w:val="00100A5F"/>
    <w:rsid w:val="00101F48"/>
    <w:rsid w:val="0010436C"/>
    <w:rsid w:val="00115E6C"/>
    <w:rsid w:val="00117AF5"/>
    <w:rsid w:val="00132177"/>
    <w:rsid w:val="00132831"/>
    <w:rsid w:val="00133827"/>
    <w:rsid w:val="00136988"/>
    <w:rsid w:val="001430B6"/>
    <w:rsid w:val="00150ABC"/>
    <w:rsid w:val="0015196C"/>
    <w:rsid w:val="00152863"/>
    <w:rsid w:val="00152D51"/>
    <w:rsid w:val="00153CA0"/>
    <w:rsid w:val="00154FB4"/>
    <w:rsid w:val="001655BB"/>
    <w:rsid w:val="00167464"/>
    <w:rsid w:val="00167E44"/>
    <w:rsid w:val="001732F8"/>
    <w:rsid w:val="0017662F"/>
    <w:rsid w:val="001770EC"/>
    <w:rsid w:val="00181375"/>
    <w:rsid w:val="00181C63"/>
    <w:rsid w:val="00183B35"/>
    <w:rsid w:val="00183F02"/>
    <w:rsid w:val="00190A23"/>
    <w:rsid w:val="00191BD8"/>
    <w:rsid w:val="00195D94"/>
    <w:rsid w:val="001A0635"/>
    <w:rsid w:val="001B464F"/>
    <w:rsid w:val="001B4D74"/>
    <w:rsid w:val="001C09B3"/>
    <w:rsid w:val="001C1EAF"/>
    <w:rsid w:val="001C5E7E"/>
    <w:rsid w:val="001E0B3A"/>
    <w:rsid w:val="001E5577"/>
    <w:rsid w:val="001F4926"/>
    <w:rsid w:val="001F5EB4"/>
    <w:rsid w:val="001F69DD"/>
    <w:rsid w:val="001F6D08"/>
    <w:rsid w:val="00200387"/>
    <w:rsid w:val="00206933"/>
    <w:rsid w:val="00206A06"/>
    <w:rsid w:val="002159D1"/>
    <w:rsid w:val="00220E62"/>
    <w:rsid w:val="00230999"/>
    <w:rsid w:val="00231103"/>
    <w:rsid w:val="002432AF"/>
    <w:rsid w:val="0024390C"/>
    <w:rsid w:val="00244710"/>
    <w:rsid w:val="00244C38"/>
    <w:rsid w:val="00247FF5"/>
    <w:rsid w:val="0025477D"/>
    <w:rsid w:val="00254B8E"/>
    <w:rsid w:val="00261242"/>
    <w:rsid w:val="00261438"/>
    <w:rsid w:val="00267B5C"/>
    <w:rsid w:val="00267D01"/>
    <w:rsid w:val="002700DD"/>
    <w:rsid w:val="002718CA"/>
    <w:rsid w:val="002719DA"/>
    <w:rsid w:val="00276F72"/>
    <w:rsid w:val="0028140E"/>
    <w:rsid w:val="00283108"/>
    <w:rsid w:val="00285D65"/>
    <w:rsid w:val="00290BD3"/>
    <w:rsid w:val="00296382"/>
    <w:rsid w:val="002979C1"/>
    <w:rsid w:val="002A0324"/>
    <w:rsid w:val="002B304B"/>
    <w:rsid w:val="002B68D9"/>
    <w:rsid w:val="002C1489"/>
    <w:rsid w:val="002C4044"/>
    <w:rsid w:val="002C6E8D"/>
    <w:rsid w:val="002C740D"/>
    <w:rsid w:val="002D122D"/>
    <w:rsid w:val="002D2319"/>
    <w:rsid w:val="002D2D78"/>
    <w:rsid w:val="002D4DAC"/>
    <w:rsid w:val="002D67F1"/>
    <w:rsid w:val="002E022A"/>
    <w:rsid w:val="002F4179"/>
    <w:rsid w:val="00300E4E"/>
    <w:rsid w:val="00312949"/>
    <w:rsid w:val="0031681B"/>
    <w:rsid w:val="00321351"/>
    <w:rsid w:val="00330AF1"/>
    <w:rsid w:val="00331F94"/>
    <w:rsid w:val="00335890"/>
    <w:rsid w:val="00341D0B"/>
    <w:rsid w:val="00342E26"/>
    <w:rsid w:val="00344BEE"/>
    <w:rsid w:val="00350821"/>
    <w:rsid w:val="00357F4E"/>
    <w:rsid w:val="0036086F"/>
    <w:rsid w:val="003623BF"/>
    <w:rsid w:val="003630C0"/>
    <w:rsid w:val="00367179"/>
    <w:rsid w:val="00373DF5"/>
    <w:rsid w:val="00374DFE"/>
    <w:rsid w:val="00376300"/>
    <w:rsid w:val="003834EF"/>
    <w:rsid w:val="003870AD"/>
    <w:rsid w:val="003873B3"/>
    <w:rsid w:val="003933C4"/>
    <w:rsid w:val="003971C0"/>
    <w:rsid w:val="003B28E8"/>
    <w:rsid w:val="003B2A7A"/>
    <w:rsid w:val="003B51EE"/>
    <w:rsid w:val="003C2D63"/>
    <w:rsid w:val="003C3C78"/>
    <w:rsid w:val="003C3D5C"/>
    <w:rsid w:val="003C3EA4"/>
    <w:rsid w:val="003C7E9B"/>
    <w:rsid w:val="003E779F"/>
    <w:rsid w:val="003F4921"/>
    <w:rsid w:val="003F4DE8"/>
    <w:rsid w:val="003F55CD"/>
    <w:rsid w:val="00405A89"/>
    <w:rsid w:val="00405C70"/>
    <w:rsid w:val="004075B1"/>
    <w:rsid w:val="004115D0"/>
    <w:rsid w:val="0041282A"/>
    <w:rsid w:val="00413112"/>
    <w:rsid w:val="00415C01"/>
    <w:rsid w:val="00415D23"/>
    <w:rsid w:val="00417C2A"/>
    <w:rsid w:val="00423D04"/>
    <w:rsid w:val="00425671"/>
    <w:rsid w:val="00427122"/>
    <w:rsid w:val="00427FBF"/>
    <w:rsid w:val="00442AE5"/>
    <w:rsid w:val="00456DD3"/>
    <w:rsid w:val="00457757"/>
    <w:rsid w:val="00460709"/>
    <w:rsid w:val="004625B1"/>
    <w:rsid w:val="00462A7D"/>
    <w:rsid w:val="00462C19"/>
    <w:rsid w:val="00463D67"/>
    <w:rsid w:val="004650E1"/>
    <w:rsid w:val="00472FC2"/>
    <w:rsid w:val="0047434E"/>
    <w:rsid w:val="00475716"/>
    <w:rsid w:val="004810FC"/>
    <w:rsid w:val="00483C1E"/>
    <w:rsid w:val="0048790E"/>
    <w:rsid w:val="00493049"/>
    <w:rsid w:val="00493613"/>
    <w:rsid w:val="00493977"/>
    <w:rsid w:val="00493FFA"/>
    <w:rsid w:val="00494F19"/>
    <w:rsid w:val="0049638A"/>
    <w:rsid w:val="004A0FB1"/>
    <w:rsid w:val="004A22E8"/>
    <w:rsid w:val="004A3175"/>
    <w:rsid w:val="004A5626"/>
    <w:rsid w:val="004A7257"/>
    <w:rsid w:val="004B5B5E"/>
    <w:rsid w:val="004B6198"/>
    <w:rsid w:val="004C21DC"/>
    <w:rsid w:val="004C6254"/>
    <w:rsid w:val="004D099E"/>
    <w:rsid w:val="004D16CE"/>
    <w:rsid w:val="004D4B0F"/>
    <w:rsid w:val="004D610E"/>
    <w:rsid w:val="004E33F2"/>
    <w:rsid w:val="004E5A03"/>
    <w:rsid w:val="004E6A66"/>
    <w:rsid w:val="004E74B9"/>
    <w:rsid w:val="004F6DB0"/>
    <w:rsid w:val="004F7BC7"/>
    <w:rsid w:val="0050045E"/>
    <w:rsid w:val="0050362E"/>
    <w:rsid w:val="005129A6"/>
    <w:rsid w:val="00514C19"/>
    <w:rsid w:val="0052529E"/>
    <w:rsid w:val="00534FF5"/>
    <w:rsid w:val="00535C27"/>
    <w:rsid w:val="0053789B"/>
    <w:rsid w:val="00546B4C"/>
    <w:rsid w:val="005475A7"/>
    <w:rsid w:val="00551E7A"/>
    <w:rsid w:val="00552EAC"/>
    <w:rsid w:val="00555D00"/>
    <w:rsid w:val="00561C13"/>
    <w:rsid w:val="00562CE1"/>
    <w:rsid w:val="00562D4A"/>
    <w:rsid w:val="0056307C"/>
    <w:rsid w:val="00567F7E"/>
    <w:rsid w:val="005705B4"/>
    <w:rsid w:val="00572AA1"/>
    <w:rsid w:val="00575E80"/>
    <w:rsid w:val="00583F6E"/>
    <w:rsid w:val="00594494"/>
    <w:rsid w:val="005A2614"/>
    <w:rsid w:val="005A3518"/>
    <w:rsid w:val="005A5B29"/>
    <w:rsid w:val="005A65D3"/>
    <w:rsid w:val="005B4B4D"/>
    <w:rsid w:val="005B65D6"/>
    <w:rsid w:val="005C3C68"/>
    <w:rsid w:val="005C618E"/>
    <w:rsid w:val="005C65DB"/>
    <w:rsid w:val="005D2BB4"/>
    <w:rsid w:val="005D5686"/>
    <w:rsid w:val="005D71EE"/>
    <w:rsid w:val="005E1794"/>
    <w:rsid w:val="005E723E"/>
    <w:rsid w:val="005F13E6"/>
    <w:rsid w:val="005F1470"/>
    <w:rsid w:val="005F6C1A"/>
    <w:rsid w:val="005F71DE"/>
    <w:rsid w:val="005F74CD"/>
    <w:rsid w:val="006012EF"/>
    <w:rsid w:val="006053BF"/>
    <w:rsid w:val="00605FDB"/>
    <w:rsid w:val="00606231"/>
    <w:rsid w:val="0060736A"/>
    <w:rsid w:val="006200D1"/>
    <w:rsid w:val="00632FA4"/>
    <w:rsid w:val="00636125"/>
    <w:rsid w:val="00645E6F"/>
    <w:rsid w:val="00652C30"/>
    <w:rsid w:val="006635CF"/>
    <w:rsid w:val="0066423A"/>
    <w:rsid w:val="00665007"/>
    <w:rsid w:val="006659ED"/>
    <w:rsid w:val="00672846"/>
    <w:rsid w:val="006741CD"/>
    <w:rsid w:val="006803DB"/>
    <w:rsid w:val="006900E9"/>
    <w:rsid w:val="006929D6"/>
    <w:rsid w:val="00695DB9"/>
    <w:rsid w:val="006A121F"/>
    <w:rsid w:val="006A59AD"/>
    <w:rsid w:val="006A5C71"/>
    <w:rsid w:val="006A74CA"/>
    <w:rsid w:val="006B6A72"/>
    <w:rsid w:val="006B7544"/>
    <w:rsid w:val="006C08D8"/>
    <w:rsid w:val="006C16CF"/>
    <w:rsid w:val="006C31C8"/>
    <w:rsid w:val="006E10A4"/>
    <w:rsid w:val="006E1B73"/>
    <w:rsid w:val="006F3555"/>
    <w:rsid w:val="006F7C77"/>
    <w:rsid w:val="007012A4"/>
    <w:rsid w:val="0070194B"/>
    <w:rsid w:val="0071414E"/>
    <w:rsid w:val="00720F06"/>
    <w:rsid w:val="00721EE8"/>
    <w:rsid w:val="00731CF8"/>
    <w:rsid w:val="007322BE"/>
    <w:rsid w:val="007337A1"/>
    <w:rsid w:val="00735571"/>
    <w:rsid w:val="007362A6"/>
    <w:rsid w:val="007428C2"/>
    <w:rsid w:val="00754B99"/>
    <w:rsid w:val="007603F2"/>
    <w:rsid w:val="00762EEE"/>
    <w:rsid w:val="00762FD4"/>
    <w:rsid w:val="007655DF"/>
    <w:rsid w:val="007669A4"/>
    <w:rsid w:val="00770BAD"/>
    <w:rsid w:val="00776A7E"/>
    <w:rsid w:val="0078119D"/>
    <w:rsid w:val="00782C0D"/>
    <w:rsid w:val="00785B54"/>
    <w:rsid w:val="00787278"/>
    <w:rsid w:val="0079020D"/>
    <w:rsid w:val="007923CA"/>
    <w:rsid w:val="00792F59"/>
    <w:rsid w:val="00793838"/>
    <w:rsid w:val="00794BE7"/>
    <w:rsid w:val="007A1FE6"/>
    <w:rsid w:val="007A4CBF"/>
    <w:rsid w:val="007A51BA"/>
    <w:rsid w:val="007A5721"/>
    <w:rsid w:val="007A7C20"/>
    <w:rsid w:val="007B127E"/>
    <w:rsid w:val="007B2365"/>
    <w:rsid w:val="007B318E"/>
    <w:rsid w:val="007B4C26"/>
    <w:rsid w:val="007D23D7"/>
    <w:rsid w:val="007D369C"/>
    <w:rsid w:val="007D5A9E"/>
    <w:rsid w:val="007D7FE4"/>
    <w:rsid w:val="007E2EA4"/>
    <w:rsid w:val="007F2C8D"/>
    <w:rsid w:val="007F446F"/>
    <w:rsid w:val="007F556D"/>
    <w:rsid w:val="008010D5"/>
    <w:rsid w:val="00803E28"/>
    <w:rsid w:val="008045D8"/>
    <w:rsid w:val="0081049D"/>
    <w:rsid w:val="0081055D"/>
    <w:rsid w:val="00816660"/>
    <w:rsid w:val="00820557"/>
    <w:rsid w:val="00825F84"/>
    <w:rsid w:val="008313CD"/>
    <w:rsid w:val="00831639"/>
    <w:rsid w:val="008328D7"/>
    <w:rsid w:val="00835577"/>
    <w:rsid w:val="008407E5"/>
    <w:rsid w:val="0084092F"/>
    <w:rsid w:val="00840FAF"/>
    <w:rsid w:val="00841468"/>
    <w:rsid w:val="008425DC"/>
    <w:rsid w:val="0084308F"/>
    <w:rsid w:val="00846A1B"/>
    <w:rsid w:val="00853121"/>
    <w:rsid w:val="0086440A"/>
    <w:rsid w:val="00865E75"/>
    <w:rsid w:val="00866053"/>
    <w:rsid w:val="00871EF1"/>
    <w:rsid w:val="00877DDA"/>
    <w:rsid w:val="00882818"/>
    <w:rsid w:val="00884D5A"/>
    <w:rsid w:val="00885186"/>
    <w:rsid w:val="00890960"/>
    <w:rsid w:val="00894D60"/>
    <w:rsid w:val="008965EA"/>
    <w:rsid w:val="00897C1F"/>
    <w:rsid w:val="008A7E61"/>
    <w:rsid w:val="008C016A"/>
    <w:rsid w:val="008C404C"/>
    <w:rsid w:val="008D39FE"/>
    <w:rsid w:val="008D7BDF"/>
    <w:rsid w:val="008D7FED"/>
    <w:rsid w:val="008E2246"/>
    <w:rsid w:val="008E2A25"/>
    <w:rsid w:val="008F7925"/>
    <w:rsid w:val="009001DE"/>
    <w:rsid w:val="009114F1"/>
    <w:rsid w:val="009445AB"/>
    <w:rsid w:val="00944C03"/>
    <w:rsid w:val="00950C73"/>
    <w:rsid w:val="00952CDA"/>
    <w:rsid w:val="009734E2"/>
    <w:rsid w:val="00973E23"/>
    <w:rsid w:val="009807BE"/>
    <w:rsid w:val="00983D9E"/>
    <w:rsid w:val="00983F87"/>
    <w:rsid w:val="00987667"/>
    <w:rsid w:val="009918CD"/>
    <w:rsid w:val="0099210F"/>
    <w:rsid w:val="00992AD0"/>
    <w:rsid w:val="009964E6"/>
    <w:rsid w:val="00996EBC"/>
    <w:rsid w:val="009A2F70"/>
    <w:rsid w:val="009A3D94"/>
    <w:rsid w:val="009A65D4"/>
    <w:rsid w:val="009A6DB5"/>
    <w:rsid w:val="009B27CA"/>
    <w:rsid w:val="009B2FED"/>
    <w:rsid w:val="009B62D0"/>
    <w:rsid w:val="009C189A"/>
    <w:rsid w:val="009C4866"/>
    <w:rsid w:val="009C56FC"/>
    <w:rsid w:val="009D1EFA"/>
    <w:rsid w:val="009D3BD6"/>
    <w:rsid w:val="009D46D3"/>
    <w:rsid w:val="009D6446"/>
    <w:rsid w:val="009E119C"/>
    <w:rsid w:val="009E3F8E"/>
    <w:rsid w:val="009E4934"/>
    <w:rsid w:val="009E4EBE"/>
    <w:rsid w:val="009F14D7"/>
    <w:rsid w:val="009F208A"/>
    <w:rsid w:val="009F2719"/>
    <w:rsid w:val="009F4A36"/>
    <w:rsid w:val="009F5F2B"/>
    <w:rsid w:val="009F6A67"/>
    <w:rsid w:val="00A00C02"/>
    <w:rsid w:val="00A10475"/>
    <w:rsid w:val="00A25446"/>
    <w:rsid w:val="00A34001"/>
    <w:rsid w:val="00A3503B"/>
    <w:rsid w:val="00A37F45"/>
    <w:rsid w:val="00A452D7"/>
    <w:rsid w:val="00A47D0A"/>
    <w:rsid w:val="00A5421B"/>
    <w:rsid w:val="00A57DED"/>
    <w:rsid w:val="00A57F5B"/>
    <w:rsid w:val="00A62C14"/>
    <w:rsid w:val="00A6326E"/>
    <w:rsid w:val="00A63754"/>
    <w:rsid w:val="00A655C4"/>
    <w:rsid w:val="00A66AE1"/>
    <w:rsid w:val="00A67805"/>
    <w:rsid w:val="00A77F91"/>
    <w:rsid w:val="00A844F8"/>
    <w:rsid w:val="00A856BA"/>
    <w:rsid w:val="00A8681F"/>
    <w:rsid w:val="00A90E05"/>
    <w:rsid w:val="00A916E9"/>
    <w:rsid w:val="00A9173B"/>
    <w:rsid w:val="00A91E24"/>
    <w:rsid w:val="00A92A7A"/>
    <w:rsid w:val="00A93BC6"/>
    <w:rsid w:val="00AA1DF1"/>
    <w:rsid w:val="00AA3FF5"/>
    <w:rsid w:val="00AA4CCF"/>
    <w:rsid w:val="00AB156F"/>
    <w:rsid w:val="00AB3165"/>
    <w:rsid w:val="00AB6F06"/>
    <w:rsid w:val="00AB6F90"/>
    <w:rsid w:val="00AC76E7"/>
    <w:rsid w:val="00AD13CE"/>
    <w:rsid w:val="00AD2D49"/>
    <w:rsid w:val="00AD2FF1"/>
    <w:rsid w:val="00AE28FF"/>
    <w:rsid w:val="00AE3E2B"/>
    <w:rsid w:val="00AF2D7E"/>
    <w:rsid w:val="00B01A7D"/>
    <w:rsid w:val="00B02E02"/>
    <w:rsid w:val="00B203A6"/>
    <w:rsid w:val="00B25DE0"/>
    <w:rsid w:val="00B26949"/>
    <w:rsid w:val="00B270E1"/>
    <w:rsid w:val="00B3023D"/>
    <w:rsid w:val="00B32939"/>
    <w:rsid w:val="00B34ECA"/>
    <w:rsid w:val="00B36B7A"/>
    <w:rsid w:val="00B370AE"/>
    <w:rsid w:val="00B37700"/>
    <w:rsid w:val="00B43C15"/>
    <w:rsid w:val="00B5143A"/>
    <w:rsid w:val="00B55697"/>
    <w:rsid w:val="00B558CD"/>
    <w:rsid w:val="00B56262"/>
    <w:rsid w:val="00B56BFE"/>
    <w:rsid w:val="00B63A1B"/>
    <w:rsid w:val="00B6409E"/>
    <w:rsid w:val="00B6755D"/>
    <w:rsid w:val="00B67C53"/>
    <w:rsid w:val="00B67EC3"/>
    <w:rsid w:val="00B72602"/>
    <w:rsid w:val="00B77F4D"/>
    <w:rsid w:val="00B806C7"/>
    <w:rsid w:val="00B82F1B"/>
    <w:rsid w:val="00B918E4"/>
    <w:rsid w:val="00B9283B"/>
    <w:rsid w:val="00BA0534"/>
    <w:rsid w:val="00BA1267"/>
    <w:rsid w:val="00BA2BDA"/>
    <w:rsid w:val="00BA2F57"/>
    <w:rsid w:val="00BA5E94"/>
    <w:rsid w:val="00BC00A0"/>
    <w:rsid w:val="00BC0126"/>
    <w:rsid w:val="00BC027D"/>
    <w:rsid w:val="00BC17B1"/>
    <w:rsid w:val="00BC470C"/>
    <w:rsid w:val="00BC4D98"/>
    <w:rsid w:val="00BC58EB"/>
    <w:rsid w:val="00BC65E2"/>
    <w:rsid w:val="00BC68AD"/>
    <w:rsid w:val="00BD3E48"/>
    <w:rsid w:val="00BD645D"/>
    <w:rsid w:val="00BE24FE"/>
    <w:rsid w:val="00BE3154"/>
    <w:rsid w:val="00BE7713"/>
    <w:rsid w:val="00C01339"/>
    <w:rsid w:val="00C275F2"/>
    <w:rsid w:val="00C309BE"/>
    <w:rsid w:val="00C30A7D"/>
    <w:rsid w:val="00C33162"/>
    <w:rsid w:val="00C35A39"/>
    <w:rsid w:val="00C400C4"/>
    <w:rsid w:val="00C436A7"/>
    <w:rsid w:val="00C504AC"/>
    <w:rsid w:val="00C5245D"/>
    <w:rsid w:val="00C53947"/>
    <w:rsid w:val="00C64E02"/>
    <w:rsid w:val="00C65B40"/>
    <w:rsid w:val="00C75F8E"/>
    <w:rsid w:val="00C76C16"/>
    <w:rsid w:val="00C8285C"/>
    <w:rsid w:val="00C83F51"/>
    <w:rsid w:val="00C86FE8"/>
    <w:rsid w:val="00C919B1"/>
    <w:rsid w:val="00CA0BDC"/>
    <w:rsid w:val="00CA51B1"/>
    <w:rsid w:val="00CB26DF"/>
    <w:rsid w:val="00CB3FF9"/>
    <w:rsid w:val="00CC1D6E"/>
    <w:rsid w:val="00CC4339"/>
    <w:rsid w:val="00CE4E49"/>
    <w:rsid w:val="00CF5DA5"/>
    <w:rsid w:val="00D016AB"/>
    <w:rsid w:val="00D02A13"/>
    <w:rsid w:val="00D03B1B"/>
    <w:rsid w:val="00D04AB9"/>
    <w:rsid w:val="00D10A49"/>
    <w:rsid w:val="00D117D3"/>
    <w:rsid w:val="00D177E0"/>
    <w:rsid w:val="00D20789"/>
    <w:rsid w:val="00D26037"/>
    <w:rsid w:val="00D301FA"/>
    <w:rsid w:val="00D32FC7"/>
    <w:rsid w:val="00D33129"/>
    <w:rsid w:val="00D372BB"/>
    <w:rsid w:val="00D41A0A"/>
    <w:rsid w:val="00D46318"/>
    <w:rsid w:val="00D50D51"/>
    <w:rsid w:val="00D51AD7"/>
    <w:rsid w:val="00D5429F"/>
    <w:rsid w:val="00D60B85"/>
    <w:rsid w:val="00D6424B"/>
    <w:rsid w:val="00D67BB9"/>
    <w:rsid w:val="00D72C95"/>
    <w:rsid w:val="00D76501"/>
    <w:rsid w:val="00D770D3"/>
    <w:rsid w:val="00D81CC0"/>
    <w:rsid w:val="00D85C72"/>
    <w:rsid w:val="00D90A39"/>
    <w:rsid w:val="00D9141A"/>
    <w:rsid w:val="00D931CE"/>
    <w:rsid w:val="00D973BB"/>
    <w:rsid w:val="00DA033A"/>
    <w:rsid w:val="00DA0892"/>
    <w:rsid w:val="00DA325F"/>
    <w:rsid w:val="00DA696F"/>
    <w:rsid w:val="00DB0DDC"/>
    <w:rsid w:val="00DB1367"/>
    <w:rsid w:val="00DB49D0"/>
    <w:rsid w:val="00DB7F90"/>
    <w:rsid w:val="00DC6F43"/>
    <w:rsid w:val="00DC7870"/>
    <w:rsid w:val="00DD183E"/>
    <w:rsid w:val="00DD56FE"/>
    <w:rsid w:val="00DD6417"/>
    <w:rsid w:val="00DE0FF8"/>
    <w:rsid w:val="00DF0236"/>
    <w:rsid w:val="00DF5A91"/>
    <w:rsid w:val="00E006E3"/>
    <w:rsid w:val="00E063BA"/>
    <w:rsid w:val="00E160AB"/>
    <w:rsid w:val="00E215C6"/>
    <w:rsid w:val="00E22BF0"/>
    <w:rsid w:val="00E2783C"/>
    <w:rsid w:val="00E30684"/>
    <w:rsid w:val="00E33AE1"/>
    <w:rsid w:val="00E34F33"/>
    <w:rsid w:val="00E368D8"/>
    <w:rsid w:val="00E403B0"/>
    <w:rsid w:val="00E416BA"/>
    <w:rsid w:val="00E425D1"/>
    <w:rsid w:val="00E425E1"/>
    <w:rsid w:val="00E5441D"/>
    <w:rsid w:val="00E6231C"/>
    <w:rsid w:val="00E62371"/>
    <w:rsid w:val="00E663DD"/>
    <w:rsid w:val="00E8184D"/>
    <w:rsid w:val="00E831A1"/>
    <w:rsid w:val="00E93CF4"/>
    <w:rsid w:val="00E94841"/>
    <w:rsid w:val="00EA1BC5"/>
    <w:rsid w:val="00EA67BF"/>
    <w:rsid w:val="00EB2B5C"/>
    <w:rsid w:val="00EB4FB9"/>
    <w:rsid w:val="00EB79F7"/>
    <w:rsid w:val="00EC0366"/>
    <w:rsid w:val="00EC3198"/>
    <w:rsid w:val="00ED56B0"/>
    <w:rsid w:val="00ED603A"/>
    <w:rsid w:val="00ED60CE"/>
    <w:rsid w:val="00ED790D"/>
    <w:rsid w:val="00ED79BD"/>
    <w:rsid w:val="00EE03E6"/>
    <w:rsid w:val="00EE40C1"/>
    <w:rsid w:val="00F01308"/>
    <w:rsid w:val="00F020E2"/>
    <w:rsid w:val="00F02869"/>
    <w:rsid w:val="00F1051A"/>
    <w:rsid w:val="00F35AFC"/>
    <w:rsid w:val="00F45280"/>
    <w:rsid w:val="00F45EB7"/>
    <w:rsid w:val="00F46D15"/>
    <w:rsid w:val="00F55C2C"/>
    <w:rsid w:val="00F61571"/>
    <w:rsid w:val="00F65392"/>
    <w:rsid w:val="00F6643B"/>
    <w:rsid w:val="00F718AF"/>
    <w:rsid w:val="00F74181"/>
    <w:rsid w:val="00F74B39"/>
    <w:rsid w:val="00F75C52"/>
    <w:rsid w:val="00F775C9"/>
    <w:rsid w:val="00F84C60"/>
    <w:rsid w:val="00F939B3"/>
    <w:rsid w:val="00F949EC"/>
    <w:rsid w:val="00FA09E5"/>
    <w:rsid w:val="00FA0B84"/>
    <w:rsid w:val="00FA6512"/>
    <w:rsid w:val="00FB1875"/>
    <w:rsid w:val="00FB2661"/>
    <w:rsid w:val="00FB6311"/>
    <w:rsid w:val="00FC559F"/>
    <w:rsid w:val="00FD246E"/>
    <w:rsid w:val="00FD42F5"/>
    <w:rsid w:val="00FE138E"/>
    <w:rsid w:val="00FE20BE"/>
    <w:rsid w:val="00FE23EB"/>
    <w:rsid w:val="00FE4BD2"/>
    <w:rsid w:val="00FF232A"/>
    <w:rsid w:val="02111B48"/>
    <w:rsid w:val="054933A7"/>
    <w:rsid w:val="05791EDF"/>
    <w:rsid w:val="06D04F61"/>
    <w:rsid w:val="095F763D"/>
    <w:rsid w:val="09864BCA"/>
    <w:rsid w:val="09E518F1"/>
    <w:rsid w:val="0C252478"/>
    <w:rsid w:val="0F276507"/>
    <w:rsid w:val="0FA7589A"/>
    <w:rsid w:val="106C713D"/>
    <w:rsid w:val="10AA73F0"/>
    <w:rsid w:val="1122342A"/>
    <w:rsid w:val="1552265F"/>
    <w:rsid w:val="16116963"/>
    <w:rsid w:val="16AE5264"/>
    <w:rsid w:val="17780248"/>
    <w:rsid w:val="19B17A41"/>
    <w:rsid w:val="1CDA72AF"/>
    <w:rsid w:val="1D3A5FA0"/>
    <w:rsid w:val="20B00A53"/>
    <w:rsid w:val="22706402"/>
    <w:rsid w:val="25F0369F"/>
    <w:rsid w:val="263A491A"/>
    <w:rsid w:val="29C25353"/>
    <w:rsid w:val="2AAB4039"/>
    <w:rsid w:val="2CD77367"/>
    <w:rsid w:val="2D134EBC"/>
    <w:rsid w:val="2E565881"/>
    <w:rsid w:val="2EA65243"/>
    <w:rsid w:val="2F9C21A2"/>
    <w:rsid w:val="30B26121"/>
    <w:rsid w:val="32025CA4"/>
    <w:rsid w:val="35215623"/>
    <w:rsid w:val="352944D8"/>
    <w:rsid w:val="35DD192E"/>
    <w:rsid w:val="360447A6"/>
    <w:rsid w:val="37FB65FF"/>
    <w:rsid w:val="392D2A9B"/>
    <w:rsid w:val="3C3A6FCB"/>
    <w:rsid w:val="3F5B773F"/>
    <w:rsid w:val="41BB295C"/>
    <w:rsid w:val="434F77FF"/>
    <w:rsid w:val="479E2B03"/>
    <w:rsid w:val="47FE17F4"/>
    <w:rsid w:val="4ADA02F6"/>
    <w:rsid w:val="4CC72AFC"/>
    <w:rsid w:val="4EFE032C"/>
    <w:rsid w:val="50BC3FFA"/>
    <w:rsid w:val="50DD469C"/>
    <w:rsid w:val="54AA5C7B"/>
    <w:rsid w:val="5576640E"/>
    <w:rsid w:val="571132F2"/>
    <w:rsid w:val="60D31618"/>
    <w:rsid w:val="61706E67"/>
    <w:rsid w:val="641B57B0"/>
    <w:rsid w:val="671061A4"/>
    <w:rsid w:val="6C6D0B73"/>
    <w:rsid w:val="6CA334B3"/>
    <w:rsid w:val="6CE801F9"/>
    <w:rsid w:val="6DFA4688"/>
    <w:rsid w:val="6F9E7295"/>
    <w:rsid w:val="6FB42615"/>
    <w:rsid w:val="755521A4"/>
    <w:rsid w:val="761777BD"/>
    <w:rsid w:val="763B75EC"/>
    <w:rsid w:val="7725204A"/>
    <w:rsid w:val="7C5C02BC"/>
    <w:rsid w:val="7E307DA0"/>
    <w:rsid w:val="7E4902EC"/>
    <w:rsid w:val="7E77762F"/>
    <w:rsid w:val="7FFE5649"/>
    <w:rsid w:val="BE931691"/>
    <w:rsid w:val="FB56B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unhideWhenUsed/>
    <w:qFormat/>
    <w:uiPriority w:val="99"/>
    <w:pPr>
      <w:jc w:val="left"/>
    </w:pPr>
    <w:rPr>
      <w:rFonts w:asciiTheme="minorHAnsi" w:hAnsiTheme="minorHAnsi" w:eastAsiaTheme="minorEastAsia" w:cstheme="minorBidi"/>
      <w:szCs w:val="22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annotation subject"/>
    <w:basedOn w:val="2"/>
    <w:next w:val="2"/>
    <w:link w:val="20"/>
    <w:semiHidden/>
    <w:unhideWhenUsed/>
    <w:qFormat/>
    <w:uiPriority w:val="99"/>
    <w:rPr>
      <w:b/>
      <w:bCs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9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2">
    <w:name w:val="003三级标题"/>
    <w:basedOn w:val="1"/>
    <w:link w:val="14"/>
    <w:qFormat/>
    <w:uiPriority w:val="0"/>
    <w:pPr>
      <w:keepNext/>
      <w:keepLines/>
      <w:adjustRightInd w:val="0"/>
      <w:snapToGrid w:val="0"/>
      <w:spacing w:before="50" w:beforeLines="50" w:after="50" w:afterLines="50" w:line="360" w:lineRule="auto"/>
      <w:ind w:firstLine="200" w:firstLineChars="200"/>
      <w:outlineLvl w:val="2"/>
    </w:pPr>
    <w:rPr>
      <w:rFonts w:ascii="Calibri" w:hAnsi="Calibri"/>
      <w:b/>
      <w:bCs/>
      <w:sz w:val="24"/>
      <w:szCs w:val="28"/>
      <w:lang w:val="zh-CN"/>
    </w:rPr>
  </w:style>
  <w:style w:type="paragraph" w:customStyle="1" w:styleId="13">
    <w:name w:val="005正文"/>
    <w:basedOn w:val="1"/>
    <w:link w:val="15"/>
    <w:qFormat/>
    <w:uiPriority w:val="0"/>
    <w:pPr>
      <w:spacing w:before="50" w:beforeLines="50" w:after="50" w:afterLines="50" w:line="360" w:lineRule="auto"/>
      <w:ind w:firstLine="200" w:firstLineChars="200"/>
    </w:pPr>
    <w:rPr>
      <w:rFonts w:ascii="Calibri" w:hAnsi="Calibri"/>
      <w:sz w:val="24"/>
      <w:szCs w:val="22"/>
    </w:rPr>
  </w:style>
  <w:style w:type="character" w:customStyle="1" w:styleId="14">
    <w:name w:val="003三级标题 Char"/>
    <w:link w:val="12"/>
    <w:qFormat/>
    <w:uiPriority w:val="0"/>
    <w:rPr>
      <w:rFonts w:ascii="Calibri" w:hAnsi="Calibri" w:eastAsia="宋体" w:cs="Times New Roman"/>
      <w:b/>
      <w:bCs/>
      <w:sz w:val="24"/>
      <w:szCs w:val="28"/>
      <w:lang w:val="zh-CN" w:eastAsia="zh-CN"/>
    </w:rPr>
  </w:style>
  <w:style w:type="character" w:customStyle="1" w:styleId="15">
    <w:name w:val="005正文 Char Char"/>
    <w:link w:val="13"/>
    <w:qFormat/>
    <w:uiPriority w:val="0"/>
    <w:rPr>
      <w:rFonts w:ascii="Calibri" w:hAnsi="Calibri" w:eastAsia="宋体" w:cs="Times New Roman"/>
      <w:sz w:val="24"/>
    </w:rPr>
  </w:style>
  <w:style w:type="paragraph" w:customStyle="1" w:styleId="16">
    <w:name w:val="006备注"/>
    <w:basedOn w:val="1"/>
    <w:qFormat/>
    <w:uiPriority w:val="0"/>
    <w:pPr>
      <w:adjustRightInd w:val="0"/>
    </w:pPr>
    <w:rPr>
      <w:rFonts w:cs="Arial"/>
      <w:bCs/>
      <w:szCs w:val="22"/>
    </w:rPr>
  </w:style>
  <w:style w:type="paragraph" w:customStyle="1" w:styleId="17">
    <w:name w:val="009单位"/>
    <w:basedOn w:val="13"/>
    <w:link w:val="18"/>
    <w:qFormat/>
    <w:uiPriority w:val="0"/>
    <w:pPr>
      <w:keepNext/>
      <w:adjustRightInd w:val="0"/>
      <w:snapToGrid w:val="0"/>
      <w:spacing w:before="0" w:beforeLines="0" w:after="0" w:afterLines="0" w:line="240" w:lineRule="auto"/>
      <w:ind w:firstLine="0" w:firstLineChars="0"/>
      <w:jc w:val="right"/>
    </w:pPr>
    <w:rPr>
      <w:rFonts w:ascii="Times New Roman" w:hAnsi="Times New Roman"/>
      <w:sz w:val="21"/>
      <w:lang w:val="zh-CN"/>
    </w:rPr>
  </w:style>
  <w:style w:type="character" w:customStyle="1" w:styleId="18">
    <w:name w:val="009单位 Char"/>
    <w:link w:val="17"/>
    <w:qFormat/>
    <w:locked/>
    <w:uiPriority w:val="0"/>
    <w:rPr>
      <w:rFonts w:ascii="Times New Roman" w:hAnsi="Times New Roman" w:eastAsia="宋体" w:cs="Times New Roman"/>
      <w:lang w:val="zh-CN" w:eastAsia="zh-CN"/>
    </w:rPr>
  </w:style>
  <w:style w:type="character" w:customStyle="1" w:styleId="19">
    <w:name w:val="批注文字 字符"/>
    <w:basedOn w:val="7"/>
    <w:link w:val="2"/>
    <w:qFormat/>
    <w:uiPriority w:val="99"/>
  </w:style>
  <w:style w:type="character" w:customStyle="1" w:styleId="20">
    <w:name w:val="批注主题 字符"/>
    <w:basedOn w:val="19"/>
    <w:link w:val="5"/>
    <w:semiHidden/>
    <w:qFormat/>
    <w:uiPriority w:val="99"/>
    <w:rPr>
      <w:b/>
      <w:bCs/>
    </w:rPr>
  </w:style>
  <w:style w:type="character" w:customStyle="1" w:styleId="21">
    <w:name w:val="fontstyle01"/>
    <w:basedOn w:val="7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  <w:style w:type="character" w:customStyle="1" w:styleId="23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4">
    <w:name w:val="_Style 6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1644</Words>
  <Characters>1791</Characters>
  <Lines>41</Lines>
  <Paragraphs>24</Paragraphs>
  <TotalTime>1</TotalTime>
  <ScaleCrop>false</ScaleCrop>
  <LinksUpToDate>false</LinksUpToDate>
  <CharactersWithSpaces>1891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2022-07-12T15:34:00Z</dcterms:created>
  <dc:creator>Think</dc:creator>
  <cp:lastModifiedBy>吴志刚</cp:lastModifiedBy>
  <cp:lastPrinted>2022-09-21T17:16:00Z</cp:lastPrinted>
  <dcterms:modified xsi:type="dcterms:W3CDTF">2026-07-24T07:53:35Z</dcterms:modified>
  <cp:revision>1267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870B565B9F6684926786E463EEA6FB50</vt:lpwstr>
  </property>
  <property fmtid="{D5CDD505-2E9C-101B-9397-08002B2CF9AE}" pid="4" name="KSOTemplateDocerSaveRecord">
    <vt:lpwstr>eyJoZGlkIjoiYTNlYzYzM2VlZDdmY2UwMDZkMjMxMmFkMGQ0Y2JhMzAiLCJ1c2VySWQiOiI0MzM0NTU5NjgifQ==</vt:lpwstr>
  </property>
</Properties>
</file>