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728A1" w14:textId="77777777" w:rsidR="009904B7" w:rsidRDefault="009F396C">
      <w:pPr>
        <w:spacing w:after="0" w:line="240" w:lineRule="auto"/>
        <w:jc w:val="center"/>
        <w:rPr>
          <w:rFonts w:ascii="Times New Roman" w:eastAsia="楷体" w:hAnsi="Times New Roman" w:cs="Times New Roman"/>
          <w:b/>
          <w:sz w:val="28"/>
          <w:szCs w:val="28"/>
        </w:rPr>
      </w:pPr>
      <w:r>
        <w:rPr>
          <w:rFonts w:ascii="Times New Roman" w:eastAsia="楷体" w:hAnsi="Times New Roman" w:cs="Times New Roman"/>
          <w:b/>
          <w:sz w:val="28"/>
          <w:szCs w:val="28"/>
        </w:rPr>
        <w:t>蓝星安迪苏股份有限公司</w:t>
      </w:r>
    </w:p>
    <w:p w14:paraId="62B728A2" w14:textId="77777777" w:rsidR="009904B7" w:rsidRDefault="009F396C">
      <w:pPr>
        <w:spacing w:after="0" w:line="240" w:lineRule="auto"/>
        <w:jc w:val="center"/>
        <w:rPr>
          <w:rFonts w:ascii="Times New Roman" w:eastAsia="楷体" w:hAnsi="Times New Roman" w:cs="Times New Roman"/>
          <w:b/>
          <w:sz w:val="28"/>
          <w:szCs w:val="28"/>
        </w:rPr>
      </w:pPr>
      <w:r>
        <w:rPr>
          <w:rFonts w:ascii="Times New Roman" w:eastAsia="楷体" w:hAnsi="Times New Roman" w:cs="Times New Roman"/>
          <w:b/>
          <w:bCs/>
          <w:sz w:val="28"/>
          <w:szCs w:val="28"/>
        </w:rPr>
        <w:t>2026</w:t>
      </w:r>
      <w:r>
        <w:rPr>
          <w:rFonts w:ascii="Times New Roman" w:eastAsia="楷体" w:hAnsi="Times New Roman" w:cs="Times New Roman"/>
          <w:b/>
          <w:sz w:val="28"/>
          <w:szCs w:val="28"/>
        </w:rPr>
        <w:t>年半年度业绩快报线上投资者沟通会会议记录</w:t>
      </w:r>
    </w:p>
    <w:p w14:paraId="62B728A3" w14:textId="77777777" w:rsidR="009904B7" w:rsidRDefault="009904B7">
      <w:pPr>
        <w:spacing w:after="0" w:line="240" w:lineRule="auto"/>
        <w:jc w:val="center"/>
        <w:rPr>
          <w:rFonts w:ascii="Times New Roman" w:eastAsia="楷体" w:hAnsi="Times New Roman" w:cs="Times New Roman"/>
          <w:b/>
          <w:sz w:val="24"/>
          <w:szCs w:val="24"/>
          <w:lang w:val="en-US"/>
        </w:rPr>
      </w:pPr>
    </w:p>
    <w:p w14:paraId="62B728A4" w14:textId="77777777" w:rsidR="009904B7" w:rsidRDefault="009F396C">
      <w:pPr>
        <w:pStyle w:val="af1"/>
        <w:numPr>
          <w:ilvl w:val="0"/>
          <w:numId w:val="1"/>
        </w:numPr>
        <w:ind w:firstLineChars="0"/>
        <w:rPr>
          <w:rFonts w:ascii="Times New Roman" w:eastAsia="楷体" w:hAnsi="Times New Roman"/>
          <w:sz w:val="24"/>
          <w:szCs w:val="24"/>
        </w:rPr>
      </w:pPr>
      <w:r>
        <w:rPr>
          <w:rFonts w:ascii="Times New Roman" w:eastAsia="楷体" w:hAnsi="Times New Roman"/>
          <w:sz w:val="24"/>
          <w:szCs w:val="24"/>
        </w:rPr>
        <w:t>会议时间</w:t>
      </w:r>
      <w:r>
        <w:rPr>
          <w:rFonts w:ascii="Times New Roman" w:eastAsia="楷体" w:hAnsi="Times New Roman"/>
          <w:sz w:val="24"/>
          <w:szCs w:val="24"/>
        </w:rPr>
        <w:t xml:space="preserve"> </w:t>
      </w:r>
    </w:p>
    <w:p w14:paraId="62B728A5" w14:textId="77777777" w:rsidR="009904B7" w:rsidRDefault="009F396C">
      <w:pPr>
        <w:pStyle w:val="af1"/>
        <w:ind w:leftChars="216" w:left="475" w:firstLineChars="0" w:firstLine="0"/>
        <w:rPr>
          <w:rFonts w:ascii="Times New Roman" w:eastAsia="楷体" w:hAnsi="Times New Roman"/>
          <w:sz w:val="24"/>
          <w:szCs w:val="24"/>
        </w:rPr>
      </w:pPr>
      <w:r>
        <w:rPr>
          <w:rFonts w:ascii="Times New Roman" w:eastAsia="楷体" w:hAnsi="Times New Roman"/>
          <w:sz w:val="24"/>
          <w:szCs w:val="24"/>
        </w:rPr>
        <w:t>公司于</w:t>
      </w:r>
      <w:r>
        <w:rPr>
          <w:rFonts w:ascii="Times New Roman" w:eastAsia="楷体" w:hAnsi="Times New Roman"/>
          <w:sz w:val="24"/>
          <w:szCs w:val="24"/>
        </w:rPr>
        <w:t>2026</w:t>
      </w:r>
      <w:r>
        <w:rPr>
          <w:rFonts w:ascii="Times New Roman" w:eastAsia="楷体" w:hAnsi="Times New Roman"/>
          <w:sz w:val="24"/>
          <w:szCs w:val="24"/>
        </w:rPr>
        <w:t>年</w:t>
      </w:r>
      <w:r>
        <w:rPr>
          <w:rFonts w:ascii="Times New Roman" w:eastAsia="楷体" w:hAnsi="Times New Roman"/>
          <w:sz w:val="24"/>
          <w:szCs w:val="24"/>
        </w:rPr>
        <w:t>7</w:t>
      </w:r>
      <w:r>
        <w:rPr>
          <w:rFonts w:ascii="Times New Roman" w:eastAsia="楷体" w:hAnsi="Times New Roman"/>
          <w:sz w:val="24"/>
          <w:szCs w:val="24"/>
        </w:rPr>
        <w:t>月</w:t>
      </w:r>
      <w:r>
        <w:rPr>
          <w:rFonts w:ascii="Times New Roman" w:eastAsia="楷体" w:hAnsi="Times New Roman"/>
          <w:sz w:val="24"/>
          <w:szCs w:val="24"/>
        </w:rPr>
        <w:t>22</w:t>
      </w:r>
      <w:r>
        <w:rPr>
          <w:rFonts w:ascii="Times New Roman" w:eastAsia="楷体" w:hAnsi="Times New Roman"/>
          <w:sz w:val="24"/>
          <w:szCs w:val="24"/>
        </w:rPr>
        <w:t>日组织召开了</w:t>
      </w:r>
      <w:r>
        <w:rPr>
          <w:rFonts w:ascii="Times New Roman" w:eastAsia="楷体" w:hAnsi="Times New Roman"/>
          <w:sz w:val="24"/>
          <w:szCs w:val="24"/>
        </w:rPr>
        <w:t>2026</w:t>
      </w:r>
      <w:r>
        <w:rPr>
          <w:rFonts w:ascii="Times New Roman" w:eastAsia="楷体" w:hAnsi="Times New Roman"/>
          <w:sz w:val="24"/>
          <w:szCs w:val="24"/>
        </w:rPr>
        <w:t>年半年度业绩快报线上投资者沟通会。</w:t>
      </w:r>
    </w:p>
    <w:p w14:paraId="62B728A6" w14:textId="77777777" w:rsidR="009904B7" w:rsidRDefault="009F396C">
      <w:pPr>
        <w:pStyle w:val="af1"/>
        <w:numPr>
          <w:ilvl w:val="0"/>
          <w:numId w:val="1"/>
        </w:numPr>
        <w:spacing w:before="100" w:beforeAutospacing="1"/>
        <w:ind w:firstLineChars="0"/>
        <w:rPr>
          <w:rFonts w:ascii="Times New Roman" w:eastAsia="楷体" w:hAnsi="Times New Roman"/>
          <w:sz w:val="24"/>
          <w:szCs w:val="24"/>
        </w:rPr>
      </w:pPr>
      <w:r>
        <w:rPr>
          <w:rFonts w:ascii="Times New Roman" w:eastAsia="楷体" w:hAnsi="Times New Roman"/>
          <w:sz w:val="24"/>
          <w:szCs w:val="24"/>
        </w:rPr>
        <w:t>参与单位名称及人员姓名</w:t>
      </w:r>
    </w:p>
    <w:p w14:paraId="62B728A7" w14:textId="77777777" w:rsidR="009904B7" w:rsidRDefault="009F396C">
      <w:pPr>
        <w:pStyle w:val="af1"/>
        <w:ind w:firstLine="480"/>
        <w:rPr>
          <w:rFonts w:ascii="Times New Roman" w:eastAsia="楷体" w:hAnsi="Times New Roman"/>
          <w:sz w:val="24"/>
          <w:szCs w:val="24"/>
        </w:rPr>
      </w:pPr>
      <w:r>
        <w:rPr>
          <w:rFonts w:ascii="Times New Roman" w:eastAsia="楷体" w:hAnsi="Times New Roman"/>
          <w:sz w:val="24"/>
          <w:szCs w:val="24"/>
        </w:rPr>
        <w:t>部分参会机构名单详见附件清单。</w:t>
      </w:r>
    </w:p>
    <w:p w14:paraId="62B728A8" w14:textId="77777777" w:rsidR="009904B7" w:rsidRDefault="009F396C">
      <w:pPr>
        <w:pStyle w:val="af1"/>
        <w:ind w:leftChars="229" w:left="504" w:firstLineChars="0" w:firstLine="0"/>
        <w:rPr>
          <w:rFonts w:ascii="Times New Roman" w:eastAsia="楷体" w:hAnsi="Times New Roman"/>
          <w:sz w:val="24"/>
          <w:szCs w:val="24"/>
        </w:rPr>
      </w:pPr>
      <w:r>
        <w:rPr>
          <w:rFonts w:ascii="Times New Roman" w:eastAsia="楷体" w:hAnsi="Times New Roman"/>
          <w:sz w:val="24"/>
          <w:szCs w:val="24"/>
        </w:rPr>
        <w:t>重要提示：参会机构名单由组织机构提供并经整理后展示。公司无法保证参会机构单位名称的完整性、准确性，敬请投资者注意。</w:t>
      </w:r>
    </w:p>
    <w:p w14:paraId="62B728A9" w14:textId="77777777" w:rsidR="009904B7" w:rsidRDefault="009904B7">
      <w:pPr>
        <w:pStyle w:val="af1"/>
        <w:ind w:firstLine="480"/>
        <w:rPr>
          <w:rFonts w:ascii="Times New Roman" w:eastAsia="楷体" w:hAnsi="Times New Roman"/>
          <w:sz w:val="24"/>
          <w:szCs w:val="24"/>
        </w:rPr>
      </w:pPr>
    </w:p>
    <w:p w14:paraId="62B728AA" w14:textId="77777777" w:rsidR="009904B7" w:rsidRDefault="009F396C">
      <w:pPr>
        <w:pStyle w:val="af1"/>
        <w:numPr>
          <w:ilvl w:val="0"/>
          <w:numId w:val="1"/>
        </w:numPr>
        <w:ind w:left="0" w:firstLineChars="0" w:firstLine="0"/>
        <w:rPr>
          <w:rFonts w:ascii="Times New Roman" w:eastAsia="楷体" w:hAnsi="Times New Roman"/>
          <w:sz w:val="24"/>
          <w:szCs w:val="24"/>
        </w:rPr>
      </w:pPr>
      <w:r>
        <w:rPr>
          <w:rFonts w:ascii="Times New Roman" w:eastAsia="楷体" w:hAnsi="Times New Roman"/>
          <w:sz w:val="24"/>
          <w:szCs w:val="24"/>
        </w:rPr>
        <w:t>公司接待人员</w:t>
      </w:r>
    </w:p>
    <w:p w14:paraId="62B728AB" w14:textId="77777777" w:rsidR="009904B7" w:rsidRDefault="009F396C">
      <w:pPr>
        <w:spacing w:after="0"/>
        <w:ind w:firstLineChars="192" w:firstLine="461"/>
        <w:rPr>
          <w:rFonts w:ascii="Times New Roman" w:eastAsia="楷体" w:hAnsi="Times New Roman" w:cs="Times New Roman"/>
          <w:sz w:val="24"/>
          <w:szCs w:val="24"/>
        </w:rPr>
      </w:pPr>
      <w:r>
        <w:rPr>
          <w:rFonts w:ascii="Times New Roman" w:eastAsia="楷体" w:hAnsi="Times New Roman" w:cs="Times New Roman"/>
          <w:sz w:val="24"/>
          <w:szCs w:val="24"/>
        </w:rPr>
        <w:t>董事长兼总经理（</w:t>
      </w:r>
      <w:r>
        <w:rPr>
          <w:rFonts w:ascii="Times New Roman" w:eastAsia="楷体" w:hAnsi="Times New Roman" w:cs="Times New Roman"/>
          <w:sz w:val="24"/>
          <w:szCs w:val="24"/>
        </w:rPr>
        <w:t>CEO</w:t>
      </w:r>
      <w:r>
        <w:rPr>
          <w:rFonts w:ascii="Times New Roman" w:eastAsia="楷体" w:hAnsi="Times New Roman" w:cs="Times New Roman"/>
          <w:sz w:val="24"/>
          <w:szCs w:val="24"/>
        </w:rPr>
        <w:t>）：郝志刚先生</w:t>
      </w:r>
    </w:p>
    <w:p w14:paraId="62B728AC" w14:textId="77777777" w:rsidR="009904B7" w:rsidRDefault="009F396C">
      <w:pPr>
        <w:spacing w:after="0"/>
        <w:ind w:firstLineChars="192" w:firstLine="461"/>
        <w:rPr>
          <w:rFonts w:ascii="Times New Roman" w:eastAsia="楷体" w:hAnsi="Times New Roman" w:cs="Times New Roman"/>
          <w:sz w:val="24"/>
          <w:szCs w:val="24"/>
        </w:rPr>
      </w:pPr>
      <w:r>
        <w:rPr>
          <w:rFonts w:ascii="Times New Roman" w:eastAsia="楷体" w:hAnsi="Times New Roman" w:cs="Times New Roman"/>
          <w:sz w:val="24"/>
          <w:szCs w:val="24"/>
        </w:rPr>
        <w:t>首席运营官兼副总经理：</w:t>
      </w:r>
      <w:r>
        <w:rPr>
          <w:rFonts w:ascii="Times New Roman" w:eastAsia="楷体" w:hAnsi="Times New Roman" w:cs="Times New Roman"/>
          <w:sz w:val="24"/>
          <w:szCs w:val="24"/>
        </w:rPr>
        <w:t>Frederic Jacquin</w:t>
      </w:r>
      <w:r>
        <w:rPr>
          <w:rFonts w:ascii="Times New Roman" w:eastAsia="楷体" w:hAnsi="Times New Roman" w:cs="Times New Roman"/>
          <w:sz w:val="24"/>
          <w:szCs w:val="24"/>
        </w:rPr>
        <w:t>先生</w:t>
      </w:r>
    </w:p>
    <w:p w14:paraId="62B728AD" w14:textId="77777777" w:rsidR="009904B7" w:rsidRDefault="009F396C">
      <w:pPr>
        <w:spacing w:after="0"/>
        <w:ind w:firstLineChars="192" w:firstLine="461"/>
        <w:rPr>
          <w:rFonts w:ascii="Times New Roman" w:eastAsia="楷体" w:hAnsi="Times New Roman" w:cs="Times New Roman"/>
          <w:sz w:val="24"/>
          <w:szCs w:val="24"/>
        </w:rPr>
      </w:pPr>
      <w:r>
        <w:rPr>
          <w:rFonts w:ascii="Times New Roman" w:eastAsia="楷体" w:hAnsi="Times New Roman" w:cs="Times New Roman"/>
          <w:sz w:val="24"/>
          <w:szCs w:val="24"/>
        </w:rPr>
        <w:t>首席财务官：程亚娟女士</w:t>
      </w:r>
    </w:p>
    <w:p w14:paraId="62B728AE" w14:textId="77777777" w:rsidR="009904B7" w:rsidRDefault="009F396C">
      <w:pPr>
        <w:spacing w:after="0"/>
        <w:ind w:firstLineChars="192" w:firstLine="461"/>
        <w:rPr>
          <w:rFonts w:ascii="Times New Roman" w:eastAsia="楷体" w:hAnsi="Times New Roman" w:cs="Times New Roman"/>
          <w:sz w:val="24"/>
          <w:szCs w:val="24"/>
        </w:rPr>
      </w:pPr>
      <w:r>
        <w:rPr>
          <w:rFonts w:ascii="Times New Roman" w:eastAsia="楷体" w:hAnsi="Times New Roman" w:cs="Times New Roman"/>
          <w:sz w:val="24"/>
          <w:szCs w:val="24"/>
        </w:rPr>
        <w:t>董事会秘书：蔡昀女士</w:t>
      </w:r>
    </w:p>
    <w:p w14:paraId="62B728AF" w14:textId="77777777" w:rsidR="009904B7" w:rsidRDefault="009F396C">
      <w:pPr>
        <w:pStyle w:val="af1"/>
        <w:numPr>
          <w:ilvl w:val="0"/>
          <w:numId w:val="1"/>
        </w:numPr>
        <w:spacing w:before="100" w:beforeAutospacing="1"/>
        <w:ind w:left="0" w:firstLineChars="0" w:firstLine="0"/>
        <w:rPr>
          <w:rFonts w:ascii="Times New Roman" w:eastAsia="楷体" w:hAnsi="Times New Roman"/>
          <w:sz w:val="24"/>
          <w:szCs w:val="24"/>
        </w:rPr>
      </w:pPr>
      <w:r>
        <w:rPr>
          <w:rFonts w:ascii="Times New Roman" w:eastAsia="楷体" w:hAnsi="Times New Roman"/>
          <w:sz w:val="24"/>
          <w:szCs w:val="24"/>
        </w:rPr>
        <w:t>会议地点</w:t>
      </w:r>
    </w:p>
    <w:p w14:paraId="62B728B0" w14:textId="77777777" w:rsidR="009904B7" w:rsidRDefault="009F396C">
      <w:pPr>
        <w:pStyle w:val="af1"/>
        <w:ind w:leftChars="216" w:left="475" w:firstLineChars="0" w:firstLine="0"/>
        <w:rPr>
          <w:rFonts w:ascii="Times New Roman" w:eastAsia="楷体" w:hAnsi="Times New Roman"/>
          <w:sz w:val="24"/>
          <w:szCs w:val="24"/>
        </w:rPr>
      </w:pPr>
      <w:r>
        <w:rPr>
          <w:rFonts w:ascii="Times New Roman" w:eastAsia="楷体" w:hAnsi="Times New Roman"/>
          <w:sz w:val="24"/>
          <w:szCs w:val="24"/>
        </w:rPr>
        <w:t>Teams</w:t>
      </w:r>
      <w:r>
        <w:rPr>
          <w:rFonts w:ascii="Times New Roman" w:eastAsia="楷体" w:hAnsi="Times New Roman"/>
          <w:sz w:val="24"/>
          <w:szCs w:val="24"/>
        </w:rPr>
        <w:t>线上会议</w:t>
      </w:r>
    </w:p>
    <w:p w14:paraId="62B728B1" w14:textId="77777777" w:rsidR="009904B7" w:rsidRDefault="009F396C">
      <w:pPr>
        <w:pStyle w:val="af1"/>
        <w:numPr>
          <w:ilvl w:val="0"/>
          <w:numId w:val="2"/>
        </w:numPr>
        <w:snapToGrid w:val="0"/>
        <w:spacing w:before="100" w:beforeAutospacing="1"/>
        <w:ind w:firstLineChars="0"/>
        <w:rPr>
          <w:rFonts w:ascii="Times New Roman" w:eastAsia="楷体" w:hAnsi="Times New Roman"/>
          <w:sz w:val="24"/>
          <w:szCs w:val="24"/>
        </w:rPr>
      </w:pPr>
      <w:r>
        <w:rPr>
          <w:rFonts w:ascii="Times New Roman" w:eastAsia="楷体" w:hAnsi="Times New Roman"/>
          <w:sz w:val="24"/>
          <w:szCs w:val="24"/>
        </w:rPr>
        <w:t>主要内容</w:t>
      </w:r>
    </w:p>
    <w:p w14:paraId="62B728B2" w14:textId="77777777" w:rsidR="009904B7" w:rsidRDefault="009F396C">
      <w:pPr>
        <w:pStyle w:val="af1"/>
        <w:ind w:left="480" w:firstLineChars="0" w:firstLine="0"/>
        <w:rPr>
          <w:rFonts w:ascii="Times New Roman" w:eastAsia="楷体" w:hAnsi="Times New Roman"/>
          <w:sz w:val="24"/>
          <w:szCs w:val="24"/>
        </w:rPr>
      </w:pPr>
      <w:r>
        <w:rPr>
          <w:rFonts w:ascii="Times New Roman" w:eastAsia="楷体" w:hAnsi="Times New Roman"/>
          <w:sz w:val="24"/>
          <w:szCs w:val="24"/>
        </w:rPr>
        <w:t>公司就投资者普遍关注的问题进行回答。沟通内容如下：</w:t>
      </w:r>
    </w:p>
    <w:p w14:paraId="62B728B3" w14:textId="77777777" w:rsidR="009904B7" w:rsidRDefault="009904B7">
      <w:pPr>
        <w:pStyle w:val="af1"/>
        <w:ind w:left="480" w:firstLineChars="0" w:firstLine="0"/>
        <w:rPr>
          <w:rFonts w:ascii="Times New Roman" w:eastAsia="楷体" w:hAnsi="Times New Roman"/>
          <w:sz w:val="24"/>
          <w:szCs w:val="24"/>
        </w:rPr>
      </w:pPr>
    </w:p>
    <w:p w14:paraId="62B728B4" w14:textId="7EE83041" w:rsidR="009904B7" w:rsidRPr="00961850" w:rsidRDefault="009F396C" w:rsidP="00961850">
      <w:pPr>
        <w:pStyle w:val="af1"/>
        <w:numPr>
          <w:ilvl w:val="3"/>
          <w:numId w:val="2"/>
        </w:numPr>
        <w:ind w:left="504" w:firstLineChars="0"/>
        <w:rPr>
          <w:rFonts w:ascii="Times New Roman" w:eastAsia="楷体" w:hAnsi="Times New Roman"/>
          <w:sz w:val="24"/>
          <w:szCs w:val="24"/>
        </w:rPr>
      </w:pPr>
      <w:r w:rsidRPr="00961850">
        <w:rPr>
          <w:rFonts w:ascii="Times New Roman" w:eastAsia="楷体" w:hAnsi="Times New Roman"/>
          <w:sz w:val="24"/>
          <w:szCs w:val="24"/>
        </w:rPr>
        <w:t>蛋氨酸的价格趋势？</w:t>
      </w:r>
    </w:p>
    <w:p w14:paraId="62B728B5" w14:textId="6DA7A986" w:rsidR="009904B7" w:rsidRDefault="009F396C" w:rsidP="00961850">
      <w:pPr>
        <w:pStyle w:val="af1"/>
        <w:numPr>
          <w:ilvl w:val="0"/>
          <w:numId w:val="3"/>
        </w:numPr>
        <w:spacing w:line="278" w:lineRule="auto"/>
        <w:ind w:left="993" w:firstLineChars="0" w:hanging="426"/>
        <w:contextualSpacing/>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关于蛋氨</w:t>
      </w:r>
      <w:proofErr w:type="gramStart"/>
      <w:r>
        <w:rPr>
          <w:rFonts w:ascii="Times New Roman" w:eastAsia="楷体" w:hAnsi="Times New Roman"/>
          <w:color w:val="5B9BD5" w:themeColor="accent1"/>
          <w:sz w:val="24"/>
          <w:szCs w:val="24"/>
        </w:rPr>
        <w:t>酸价格</w:t>
      </w:r>
      <w:proofErr w:type="gramEnd"/>
      <w:r>
        <w:rPr>
          <w:rFonts w:ascii="Times New Roman" w:eastAsia="楷体" w:hAnsi="Times New Roman"/>
          <w:color w:val="5B9BD5" w:themeColor="accent1"/>
          <w:sz w:val="24"/>
          <w:szCs w:val="24"/>
        </w:rPr>
        <w:t>走势，全球市场对蛋氨酸的需求展现出持续强劲的增长态势，尤其在禽类养殖领域，需求韧性尤为突出，为价格提供了坚实支撑。从区域角度来看，中国市场受阶段性供需博弈影响，价格处于动态调整区间，近期呈现下行</w:t>
      </w:r>
      <w:r>
        <w:rPr>
          <w:rFonts w:ascii="Times New Roman" w:eastAsia="楷体" w:hAnsi="Times New Roman" w:hint="eastAsia"/>
          <w:color w:val="5B9BD5" w:themeColor="accent1"/>
          <w:sz w:val="24"/>
          <w:szCs w:val="24"/>
        </w:rPr>
        <w:t>趋势</w:t>
      </w:r>
      <w:r>
        <w:rPr>
          <w:rFonts w:ascii="Times New Roman" w:eastAsia="楷体" w:hAnsi="Times New Roman"/>
          <w:color w:val="5B9BD5" w:themeColor="accent1"/>
          <w:sz w:val="24"/>
          <w:szCs w:val="24"/>
        </w:rPr>
        <w:t>，但整体</w:t>
      </w:r>
      <w:r>
        <w:rPr>
          <w:rFonts w:ascii="Times New Roman" w:eastAsia="楷体" w:hAnsi="Times New Roman" w:hint="eastAsia"/>
          <w:color w:val="5B9BD5" w:themeColor="accent1"/>
          <w:sz w:val="24"/>
          <w:szCs w:val="24"/>
        </w:rPr>
        <w:t>价格</w:t>
      </w:r>
      <w:r>
        <w:rPr>
          <w:rFonts w:ascii="Times New Roman" w:eastAsia="楷体" w:hAnsi="Times New Roman"/>
          <w:color w:val="5B9BD5" w:themeColor="accent1"/>
          <w:sz w:val="24"/>
          <w:szCs w:val="24"/>
        </w:rPr>
        <w:t>仍</w:t>
      </w:r>
      <w:r>
        <w:rPr>
          <w:rFonts w:ascii="Times New Roman" w:eastAsia="楷体" w:hAnsi="Times New Roman" w:hint="eastAsia"/>
          <w:color w:val="5B9BD5" w:themeColor="accent1"/>
          <w:sz w:val="24"/>
          <w:szCs w:val="24"/>
        </w:rPr>
        <w:t>处于</w:t>
      </w:r>
      <w:r>
        <w:rPr>
          <w:rFonts w:ascii="Times New Roman" w:eastAsia="楷体" w:hAnsi="Times New Roman"/>
          <w:color w:val="5B9BD5" w:themeColor="accent1"/>
          <w:sz w:val="24"/>
          <w:szCs w:val="24"/>
        </w:rPr>
        <w:t>相对</w:t>
      </w:r>
      <w:r>
        <w:rPr>
          <w:rFonts w:ascii="Times New Roman" w:eastAsia="楷体" w:hAnsi="Times New Roman" w:hint="eastAsia"/>
          <w:color w:val="5B9BD5" w:themeColor="accent1"/>
          <w:sz w:val="24"/>
          <w:szCs w:val="24"/>
        </w:rPr>
        <w:t>高位区间</w:t>
      </w:r>
      <w:r>
        <w:rPr>
          <w:rFonts w:ascii="Times New Roman" w:eastAsia="楷体" w:hAnsi="Times New Roman"/>
          <w:color w:val="5B9BD5" w:themeColor="accent1"/>
          <w:sz w:val="24"/>
          <w:szCs w:val="24"/>
        </w:rPr>
        <w:t>；</w:t>
      </w:r>
      <w:r>
        <w:rPr>
          <w:rFonts w:ascii="Times New Roman" w:eastAsia="楷体" w:hAnsi="Times New Roman" w:hint="eastAsia"/>
          <w:color w:val="5B9BD5" w:themeColor="accent1"/>
          <w:sz w:val="24"/>
          <w:szCs w:val="24"/>
        </w:rPr>
        <w:t>同时，</w:t>
      </w:r>
      <w:r>
        <w:rPr>
          <w:rFonts w:ascii="Times New Roman" w:eastAsia="楷体" w:hAnsi="Times New Roman"/>
          <w:color w:val="5B9BD5" w:themeColor="accent1"/>
          <w:sz w:val="24"/>
          <w:szCs w:val="24"/>
        </w:rPr>
        <w:t>海外市场</w:t>
      </w:r>
      <w:r>
        <w:rPr>
          <w:rFonts w:ascii="Times New Roman" w:eastAsia="楷体" w:hAnsi="Times New Roman" w:hint="eastAsia"/>
          <w:color w:val="5B9BD5" w:themeColor="accent1"/>
          <w:sz w:val="24"/>
          <w:szCs w:val="24"/>
        </w:rPr>
        <w:t>下行趋势比较温和，</w:t>
      </w:r>
      <w:r>
        <w:rPr>
          <w:rFonts w:ascii="Times New Roman" w:eastAsia="楷体" w:hAnsi="Times New Roman"/>
          <w:color w:val="5B9BD5" w:themeColor="accent1"/>
          <w:sz w:val="24"/>
          <w:szCs w:val="24"/>
        </w:rPr>
        <w:t>价格维持历史高位。预计第三季度全球需求韧性仍将支撑价格</w:t>
      </w:r>
      <w:r w:rsidR="00961850">
        <w:rPr>
          <w:rFonts w:ascii="Times New Roman" w:eastAsia="楷体" w:hAnsi="Times New Roman" w:hint="eastAsia"/>
          <w:color w:val="5B9BD5" w:themeColor="accent1"/>
          <w:sz w:val="24"/>
          <w:szCs w:val="24"/>
        </w:rPr>
        <w:t>保持</w:t>
      </w:r>
      <w:r>
        <w:rPr>
          <w:rFonts w:ascii="Times New Roman" w:eastAsia="楷体" w:hAnsi="Times New Roman"/>
          <w:color w:val="5B9BD5" w:themeColor="accent1"/>
          <w:sz w:val="24"/>
          <w:szCs w:val="24"/>
        </w:rPr>
        <w:t>强势格局。</w:t>
      </w:r>
      <w:r>
        <w:rPr>
          <w:rFonts w:ascii="Times New Roman" w:eastAsia="楷体" w:hAnsi="Times New Roman" w:hint="eastAsia"/>
          <w:color w:val="5B9BD5" w:themeColor="accent1"/>
          <w:sz w:val="24"/>
          <w:szCs w:val="24"/>
        </w:rPr>
        <w:t>但</w:t>
      </w:r>
      <w:r>
        <w:rPr>
          <w:rFonts w:ascii="Times New Roman" w:eastAsia="楷体" w:hAnsi="Times New Roman"/>
          <w:color w:val="5B9BD5" w:themeColor="accent1"/>
          <w:sz w:val="24"/>
          <w:szCs w:val="24"/>
        </w:rPr>
        <w:t>值得注意的是，中东地缘局势的反复及潜在新产能释放带来的供给端不确定性，或将导致价格波动加剧。公司将持续密切关注市场环境的动态变化，持续依托全球化布局与卓越运营能力，通过动态定价机制和区域资源协同，在保障客户稳定供应的同时实现价值最大化。</w:t>
      </w:r>
    </w:p>
    <w:p w14:paraId="62B728B6" w14:textId="77777777" w:rsidR="009904B7" w:rsidRPr="004A543F" w:rsidRDefault="009904B7" w:rsidP="004A543F">
      <w:pPr>
        <w:spacing w:line="278" w:lineRule="auto"/>
        <w:contextualSpacing/>
        <w:rPr>
          <w:rFonts w:ascii="Times New Roman" w:eastAsia="楷体" w:hAnsi="Times New Roman"/>
          <w:color w:val="5B9BD5" w:themeColor="accent1"/>
          <w:sz w:val="24"/>
          <w:szCs w:val="24"/>
        </w:rPr>
      </w:pPr>
    </w:p>
    <w:p w14:paraId="62B728B7" w14:textId="3AB6974C" w:rsidR="009904B7" w:rsidRPr="004A543F" w:rsidRDefault="009F396C" w:rsidP="00C10CEC">
      <w:pPr>
        <w:pStyle w:val="af1"/>
        <w:numPr>
          <w:ilvl w:val="3"/>
          <w:numId w:val="2"/>
        </w:numPr>
        <w:ind w:left="504" w:firstLineChars="0"/>
        <w:rPr>
          <w:rFonts w:ascii="Times New Roman" w:eastAsia="楷体" w:hAnsi="Times New Roman"/>
          <w:sz w:val="24"/>
          <w:szCs w:val="24"/>
        </w:rPr>
      </w:pPr>
      <w:r w:rsidRPr="004A543F">
        <w:rPr>
          <w:rFonts w:ascii="Times New Roman" w:eastAsia="楷体" w:hAnsi="Times New Roman"/>
          <w:sz w:val="24"/>
          <w:szCs w:val="24"/>
        </w:rPr>
        <w:t>公司蛋氨酸产能及各生产基地的开工情况以及原材料价格上涨对公司盈利的影响程度？</w:t>
      </w:r>
    </w:p>
    <w:p w14:paraId="62B728BA" w14:textId="7FCD887E" w:rsidR="009904B7" w:rsidRDefault="009F396C" w:rsidP="00C10CEC">
      <w:pPr>
        <w:pStyle w:val="af1"/>
        <w:numPr>
          <w:ilvl w:val="0"/>
          <w:numId w:val="3"/>
        </w:numPr>
        <w:spacing w:line="278" w:lineRule="auto"/>
        <w:ind w:left="993" w:firstLineChars="0" w:hanging="426"/>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安迪苏是全球液体蛋氨酸的领导者，正努力成为全球第一大蛋氨酸生产商</w:t>
      </w:r>
      <w:r w:rsidR="000918A9">
        <w:rPr>
          <w:rFonts w:ascii="Times New Roman" w:eastAsia="楷体" w:hAnsi="Times New Roman" w:hint="eastAsia"/>
          <w:color w:val="5B9BD5" w:themeColor="accent1"/>
          <w:sz w:val="24"/>
        </w:rPr>
        <w:t>，</w:t>
      </w:r>
      <w:r>
        <w:rPr>
          <w:rFonts w:ascii="Times New Roman" w:eastAsia="楷体" w:hAnsi="Times New Roman"/>
          <w:color w:val="5B9BD5" w:themeColor="accent1"/>
          <w:sz w:val="24"/>
        </w:rPr>
        <w:t>是全球少数几家能够同时生产液体和固体蛋氨酸的蛋氨酸生产</w:t>
      </w:r>
      <w:r>
        <w:rPr>
          <w:rFonts w:ascii="Times New Roman" w:eastAsia="楷体" w:hAnsi="Times New Roman"/>
          <w:color w:val="5B9BD5" w:themeColor="accent1"/>
          <w:sz w:val="24"/>
        </w:rPr>
        <w:lastRenderedPageBreak/>
        <w:t>商之一</w:t>
      </w:r>
      <w:r w:rsidR="00C10CEC">
        <w:rPr>
          <w:rFonts w:ascii="Times New Roman" w:eastAsia="楷体" w:hAnsi="Times New Roman" w:hint="eastAsia"/>
          <w:color w:val="5B9BD5" w:themeColor="accent1"/>
          <w:sz w:val="24"/>
        </w:rPr>
        <w:t>，</w:t>
      </w:r>
      <w:r>
        <w:rPr>
          <w:rFonts w:ascii="Times New Roman" w:eastAsia="楷体" w:hAnsi="Times New Roman"/>
          <w:color w:val="5B9BD5" w:themeColor="accent1"/>
          <w:sz w:val="24"/>
        </w:rPr>
        <w:t>在中国</w:t>
      </w:r>
      <w:r w:rsidR="00980256">
        <w:rPr>
          <w:rFonts w:ascii="Times New Roman" w:eastAsia="楷体" w:hAnsi="Times New Roman" w:hint="eastAsia"/>
          <w:color w:val="5B9BD5" w:themeColor="accent1"/>
          <w:sz w:val="24"/>
        </w:rPr>
        <w:t>、</w:t>
      </w:r>
      <w:r>
        <w:rPr>
          <w:rFonts w:ascii="Times New Roman" w:eastAsia="楷体" w:hAnsi="Times New Roman"/>
          <w:color w:val="5B9BD5" w:themeColor="accent1"/>
          <w:sz w:val="24"/>
        </w:rPr>
        <w:t>欧洲均拥有生产平台。</w:t>
      </w:r>
      <w:r>
        <w:rPr>
          <w:rFonts w:ascii="Times New Roman" w:eastAsia="楷体" w:hAnsi="Times New Roman"/>
          <w:color w:val="5B9BD5" w:themeColor="accent1"/>
          <w:sz w:val="24"/>
        </w:rPr>
        <w:t>2025</w:t>
      </w:r>
      <w:r>
        <w:rPr>
          <w:rFonts w:ascii="Times New Roman" w:eastAsia="楷体" w:hAnsi="Times New Roman"/>
          <w:color w:val="5B9BD5" w:themeColor="accent1"/>
          <w:sz w:val="24"/>
        </w:rPr>
        <w:t>年，公司完成了欧洲基地</w:t>
      </w:r>
      <w:r>
        <w:rPr>
          <w:rFonts w:ascii="Times New Roman" w:eastAsia="楷体" w:hAnsi="Times New Roman"/>
          <w:color w:val="5B9BD5" w:themeColor="accent1"/>
          <w:sz w:val="24"/>
        </w:rPr>
        <w:t>4</w:t>
      </w:r>
      <w:r>
        <w:rPr>
          <w:rFonts w:ascii="Times New Roman" w:eastAsia="楷体" w:hAnsi="Times New Roman"/>
          <w:color w:val="5B9BD5" w:themeColor="accent1"/>
          <w:sz w:val="24"/>
        </w:rPr>
        <w:t>万吨</w:t>
      </w:r>
      <w:r>
        <w:rPr>
          <w:rFonts w:ascii="Times New Roman" w:eastAsia="楷体" w:hAnsi="Times New Roman"/>
          <w:color w:val="5B9BD5" w:themeColor="accent1"/>
          <w:sz w:val="24"/>
        </w:rPr>
        <w:t>/</w:t>
      </w:r>
      <w:r>
        <w:rPr>
          <w:rFonts w:ascii="Times New Roman" w:eastAsia="楷体" w:hAnsi="Times New Roman"/>
          <w:color w:val="5B9BD5" w:themeColor="accent1"/>
          <w:sz w:val="24"/>
        </w:rPr>
        <w:t>年液体蛋氨酸产能扩张项目，使安迪苏能够应对不断增长的市场</w:t>
      </w:r>
      <w:r w:rsidR="006F38C4">
        <w:rPr>
          <w:rFonts w:ascii="Times New Roman" w:eastAsia="楷体" w:hAnsi="Times New Roman" w:hint="eastAsia"/>
          <w:color w:val="5B9BD5" w:themeColor="accent1"/>
          <w:sz w:val="24"/>
        </w:rPr>
        <w:t>需求</w:t>
      </w:r>
      <w:r>
        <w:rPr>
          <w:rFonts w:ascii="Times New Roman" w:eastAsia="楷体" w:hAnsi="Times New Roman"/>
          <w:color w:val="5B9BD5" w:themeColor="accent1"/>
          <w:sz w:val="24"/>
        </w:rPr>
        <w:t>，并进一步提高竞争力。同时，南京工厂</w:t>
      </w:r>
      <w:r>
        <w:rPr>
          <w:rFonts w:ascii="Times New Roman" w:eastAsia="楷体" w:hAnsi="Times New Roman"/>
          <w:color w:val="5B9BD5" w:themeColor="accent1"/>
          <w:sz w:val="24"/>
        </w:rPr>
        <w:t>3</w:t>
      </w:r>
      <w:r>
        <w:rPr>
          <w:rFonts w:ascii="Times New Roman" w:eastAsia="楷体" w:hAnsi="Times New Roman"/>
          <w:color w:val="5B9BD5" w:themeColor="accent1"/>
          <w:sz w:val="24"/>
        </w:rPr>
        <w:t>万吨级产能提升项目目前按计划推进，泉州基地</w:t>
      </w:r>
      <w:r>
        <w:rPr>
          <w:rFonts w:ascii="Times New Roman" w:eastAsia="楷体" w:hAnsi="Times New Roman"/>
          <w:color w:val="5B9BD5" w:themeColor="accent1"/>
          <w:sz w:val="24"/>
        </w:rPr>
        <w:t>15</w:t>
      </w:r>
      <w:r>
        <w:rPr>
          <w:rFonts w:ascii="Times New Roman" w:eastAsia="楷体" w:hAnsi="Times New Roman"/>
          <w:color w:val="5B9BD5" w:themeColor="accent1"/>
          <w:sz w:val="24"/>
        </w:rPr>
        <w:t>万吨固体蛋氨酸新产能建设已进入收尾阶段，</w:t>
      </w:r>
      <w:r>
        <w:rPr>
          <w:rFonts w:ascii="Times New Roman" w:eastAsia="楷体" w:hAnsi="Times New Roman" w:hint="eastAsia"/>
          <w:color w:val="5B9BD5" w:themeColor="accent1"/>
          <w:sz w:val="24"/>
        </w:rPr>
        <w:t>项目</w:t>
      </w:r>
      <w:r>
        <w:rPr>
          <w:rFonts w:ascii="Times New Roman" w:eastAsia="楷体" w:hAnsi="Times New Roman"/>
          <w:color w:val="5B9BD5" w:themeColor="accent1"/>
          <w:sz w:val="24"/>
        </w:rPr>
        <w:t>投产</w:t>
      </w:r>
      <w:r>
        <w:rPr>
          <w:rFonts w:ascii="Times New Roman" w:eastAsia="楷体" w:hAnsi="Times New Roman" w:hint="eastAsia"/>
          <w:color w:val="5B9BD5" w:themeColor="accent1"/>
          <w:sz w:val="24"/>
        </w:rPr>
        <w:t>后将</w:t>
      </w:r>
      <w:r>
        <w:rPr>
          <w:rFonts w:ascii="Times New Roman" w:eastAsia="楷体" w:hAnsi="Times New Roman"/>
          <w:color w:val="5B9BD5" w:themeColor="accent1"/>
          <w:sz w:val="24"/>
        </w:rPr>
        <w:t>强化供应能力</w:t>
      </w:r>
      <w:r>
        <w:rPr>
          <w:rFonts w:ascii="Times New Roman" w:eastAsia="楷体" w:hAnsi="Times New Roman" w:hint="eastAsia"/>
          <w:color w:val="5B9BD5" w:themeColor="accent1"/>
          <w:sz w:val="24"/>
        </w:rPr>
        <w:t>并提升竞争水平</w:t>
      </w:r>
      <w:r>
        <w:rPr>
          <w:rFonts w:ascii="Times New Roman" w:eastAsia="楷体" w:hAnsi="Times New Roman"/>
          <w:color w:val="5B9BD5" w:themeColor="accent1"/>
          <w:sz w:val="24"/>
        </w:rPr>
        <w:t>。公司依托全球采购体系与卓越运营能力，目前产能利用率</w:t>
      </w:r>
      <w:r>
        <w:rPr>
          <w:rFonts w:ascii="Times New Roman" w:eastAsia="楷体" w:hAnsi="Times New Roman" w:hint="eastAsia"/>
          <w:color w:val="5B9BD5" w:themeColor="accent1"/>
          <w:sz w:val="24"/>
        </w:rPr>
        <w:t>保持正常水平</w:t>
      </w:r>
      <w:r>
        <w:rPr>
          <w:rFonts w:ascii="Times New Roman" w:eastAsia="楷体" w:hAnsi="Times New Roman"/>
          <w:color w:val="5B9BD5" w:themeColor="accent1"/>
          <w:sz w:val="24"/>
        </w:rPr>
        <w:t>。</w:t>
      </w:r>
    </w:p>
    <w:p w14:paraId="62B728BB" w14:textId="52F32E8B" w:rsidR="009904B7" w:rsidRDefault="009F396C" w:rsidP="00C10CEC">
      <w:pPr>
        <w:pStyle w:val="af1"/>
        <w:numPr>
          <w:ilvl w:val="0"/>
          <w:numId w:val="3"/>
        </w:numPr>
        <w:spacing w:line="278" w:lineRule="auto"/>
        <w:ind w:left="993" w:firstLineChars="0" w:hanging="426"/>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面对原材料价格波动挑战，安迪苏构建了多维竞争优势：依托</w:t>
      </w:r>
      <w:r>
        <w:rPr>
          <w:rFonts w:ascii="Times New Roman" w:eastAsia="楷体" w:hAnsi="Times New Roman" w:hint="eastAsia"/>
          <w:color w:val="5B9BD5" w:themeColor="accent1"/>
          <w:sz w:val="24"/>
        </w:rPr>
        <w:t>中国和欧洲生产计划调配，并通过强化区域市场价格跟踪与定价管理，捕捉市场机会，</w:t>
      </w:r>
      <w:r w:rsidR="00E868F6">
        <w:rPr>
          <w:rFonts w:ascii="Times New Roman" w:eastAsia="楷体" w:hAnsi="Times New Roman" w:hint="eastAsia"/>
          <w:color w:val="5B9BD5" w:themeColor="accent1"/>
          <w:sz w:val="24"/>
        </w:rPr>
        <w:t>同时</w:t>
      </w:r>
      <w:r>
        <w:rPr>
          <w:rFonts w:ascii="Times New Roman" w:eastAsia="楷体" w:hAnsi="Times New Roman" w:hint="eastAsia"/>
          <w:color w:val="5B9BD5" w:themeColor="accent1"/>
          <w:sz w:val="24"/>
        </w:rPr>
        <w:t>向下游传导原材料价格，</w:t>
      </w:r>
      <w:r>
        <w:rPr>
          <w:rFonts w:ascii="Times New Roman" w:eastAsia="楷体" w:hAnsi="Times New Roman"/>
          <w:color w:val="5B9BD5" w:themeColor="accent1"/>
          <w:sz w:val="24"/>
        </w:rPr>
        <w:t>实现毛利润贡献增长；同步推进</w:t>
      </w:r>
      <w:r>
        <w:rPr>
          <w:rFonts w:ascii="Times New Roman" w:eastAsia="楷体" w:hAnsi="Times New Roman" w:hint="eastAsia"/>
          <w:color w:val="5B9BD5" w:themeColor="accent1"/>
          <w:sz w:val="24"/>
        </w:rPr>
        <w:t>降本增效措施，包括数字化应用、</w:t>
      </w:r>
      <w:r>
        <w:rPr>
          <w:rFonts w:ascii="Times New Roman" w:eastAsia="楷体" w:hAnsi="Times New Roman"/>
          <w:color w:val="5B9BD5" w:themeColor="accent1"/>
          <w:sz w:val="24"/>
        </w:rPr>
        <w:t>蒸汽发电、废水再利用等项目，持续降低单位能耗与原料消耗，进一步巩固成本优势。这一系列举措有效对冲了大宗商品价格波动风险，推动公司盈利中枢稳步上移。公司二季度财务数据显示毛利率已呈现改善趋势，且增长态势有望延续至第三季度。</w:t>
      </w:r>
    </w:p>
    <w:p w14:paraId="62B728BC" w14:textId="77777777" w:rsidR="009904B7" w:rsidRDefault="009904B7">
      <w:pPr>
        <w:pStyle w:val="af1"/>
        <w:spacing w:after="160" w:line="278" w:lineRule="auto"/>
        <w:ind w:left="800" w:firstLineChars="0" w:firstLine="0"/>
        <w:contextualSpacing/>
        <w:rPr>
          <w:rFonts w:ascii="Times New Roman" w:eastAsia="楷体" w:hAnsi="Times New Roman"/>
          <w:color w:val="5B9BD5" w:themeColor="accent1"/>
          <w:sz w:val="24"/>
        </w:rPr>
      </w:pPr>
    </w:p>
    <w:p w14:paraId="62B728BE" w14:textId="6561816D" w:rsidR="009904B7" w:rsidRPr="0097222F" w:rsidRDefault="009F396C" w:rsidP="00C10CEC">
      <w:pPr>
        <w:pStyle w:val="af1"/>
        <w:numPr>
          <w:ilvl w:val="3"/>
          <w:numId w:val="2"/>
        </w:numPr>
        <w:ind w:left="504" w:firstLineChars="0"/>
        <w:rPr>
          <w:rFonts w:ascii="Times New Roman" w:eastAsia="楷体" w:hAnsi="Times New Roman"/>
          <w:sz w:val="24"/>
          <w:szCs w:val="24"/>
        </w:rPr>
      </w:pPr>
      <w:r w:rsidRPr="0097222F">
        <w:rPr>
          <w:rFonts w:ascii="Times New Roman" w:eastAsia="楷体" w:hAnsi="Times New Roman"/>
          <w:sz w:val="24"/>
          <w:szCs w:val="24"/>
        </w:rPr>
        <w:t>公司</w:t>
      </w:r>
      <w:proofErr w:type="gramStart"/>
      <w:r w:rsidRPr="0097222F">
        <w:rPr>
          <w:rFonts w:ascii="Times New Roman" w:eastAsia="楷体" w:hAnsi="Times New Roman"/>
          <w:sz w:val="24"/>
          <w:szCs w:val="24"/>
        </w:rPr>
        <w:t>目前蛋</w:t>
      </w:r>
      <w:proofErr w:type="gramEnd"/>
      <w:r w:rsidRPr="0097222F">
        <w:rPr>
          <w:rFonts w:ascii="Times New Roman" w:eastAsia="楷体" w:hAnsi="Times New Roman"/>
          <w:sz w:val="24"/>
          <w:szCs w:val="24"/>
        </w:rPr>
        <w:t>氨酸定价基于国内市场、海外市场的比重？南京工厂的出口比例？</w:t>
      </w:r>
    </w:p>
    <w:p w14:paraId="62B728C0" w14:textId="280755B8" w:rsidR="009904B7" w:rsidRDefault="009F396C">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作为一家全球化动物营养添加剂生产企业，安迪苏</w:t>
      </w:r>
      <w:r>
        <w:rPr>
          <w:rFonts w:ascii="Times New Roman" w:eastAsia="楷体" w:hAnsi="Times New Roman" w:hint="eastAsia"/>
          <w:color w:val="5B9BD5" w:themeColor="accent1"/>
          <w:sz w:val="24"/>
        </w:rPr>
        <w:t>拥有全球化的</w:t>
      </w:r>
      <w:r>
        <w:rPr>
          <w:rFonts w:ascii="Times New Roman" w:eastAsia="楷体" w:hAnsi="Times New Roman"/>
          <w:color w:val="5B9BD5" w:themeColor="accent1"/>
          <w:sz w:val="24"/>
        </w:rPr>
        <w:t>销售和分销网络、产能</w:t>
      </w:r>
      <w:r>
        <w:rPr>
          <w:rFonts w:ascii="Times New Roman" w:eastAsia="楷体" w:hAnsi="Times New Roman" w:hint="eastAsia"/>
          <w:color w:val="5B9BD5" w:themeColor="accent1"/>
          <w:sz w:val="24"/>
        </w:rPr>
        <w:t>分布</w:t>
      </w:r>
      <w:r>
        <w:rPr>
          <w:rFonts w:ascii="Times New Roman" w:eastAsia="楷体" w:hAnsi="Times New Roman"/>
          <w:color w:val="5B9BD5" w:themeColor="accent1"/>
          <w:sz w:val="24"/>
        </w:rPr>
        <w:t>以及研发</w:t>
      </w:r>
      <w:r>
        <w:rPr>
          <w:rFonts w:ascii="Times New Roman" w:eastAsia="楷体" w:hAnsi="Times New Roman" w:hint="eastAsia"/>
          <w:color w:val="5B9BD5" w:themeColor="accent1"/>
          <w:sz w:val="24"/>
        </w:rPr>
        <w:t>与</w:t>
      </w:r>
      <w:r>
        <w:rPr>
          <w:rFonts w:ascii="Times New Roman" w:eastAsia="楷体" w:hAnsi="Times New Roman"/>
          <w:color w:val="5B9BD5" w:themeColor="accent1"/>
          <w:sz w:val="24"/>
        </w:rPr>
        <w:t>创新</w:t>
      </w:r>
      <w:r>
        <w:rPr>
          <w:rFonts w:ascii="Times New Roman" w:eastAsia="楷体" w:hAnsi="Times New Roman" w:hint="eastAsia"/>
          <w:color w:val="5B9BD5" w:themeColor="accent1"/>
          <w:sz w:val="24"/>
        </w:rPr>
        <w:t>布局</w:t>
      </w:r>
      <w:r>
        <w:rPr>
          <w:rFonts w:ascii="Times New Roman" w:eastAsia="楷体" w:hAnsi="Times New Roman"/>
          <w:color w:val="5B9BD5" w:themeColor="accent1"/>
          <w:sz w:val="24"/>
        </w:rPr>
        <w:t>。就蛋氨酸而言，安迪苏是全球少数几家能够同时生产液体和固体蛋氨酸的蛋氨酸生产商之一</w:t>
      </w:r>
      <w:r>
        <w:rPr>
          <w:rFonts w:ascii="Times New Roman" w:eastAsia="楷体" w:hAnsi="Times New Roman"/>
          <w:color w:val="5B9BD5" w:themeColor="accent1"/>
          <w:sz w:val="24"/>
        </w:rPr>
        <w:t>,</w:t>
      </w:r>
      <w:r>
        <w:rPr>
          <w:rFonts w:ascii="Times New Roman" w:eastAsia="楷体" w:hAnsi="Times New Roman"/>
          <w:color w:val="5B9BD5" w:themeColor="accent1"/>
          <w:sz w:val="24"/>
        </w:rPr>
        <w:t>并在中国和欧洲均拥有生产平台。</w:t>
      </w:r>
      <w:r>
        <w:rPr>
          <w:rFonts w:ascii="Times New Roman" w:eastAsia="楷体" w:hAnsi="Times New Roman" w:hint="eastAsia"/>
          <w:color w:val="5B9BD5" w:themeColor="accent1"/>
          <w:sz w:val="24"/>
        </w:rPr>
        <w:t>得益于</w:t>
      </w:r>
      <w:r>
        <w:rPr>
          <w:rFonts w:ascii="Times New Roman" w:eastAsia="楷体" w:hAnsi="Times New Roman"/>
          <w:color w:val="5B9BD5" w:themeColor="accent1"/>
          <w:sz w:val="24"/>
        </w:rPr>
        <w:t>全球化</w:t>
      </w:r>
      <w:r>
        <w:rPr>
          <w:rFonts w:ascii="Times New Roman" w:eastAsia="楷体" w:hAnsi="Times New Roman" w:hint="eastAsia"/>
          <w:color w:val="5B9BD5" w:themeColor="accent1"/>
          <w:sz w:val="24"/>
        </w:rPr>
        <w:t>的</w:t>
      </w:r>
      <w:r>
        <w:rPr>
          <w:rFonts w:ascii="Times New Roman" w:eastAsia="楷体" w:hAnsi="Times New Roman"/>
          <w:color w:val="5B9BD5" w:themeColor="accent1"/>
          <w:sz w:val="24"/>
        </w:rPr>
        <w:t>销售布局</w:t>
      </w:r>
      <w:r>
        <w:rPr>
          <w:rFonts w:ascii="Times New Roman" w:eastAsia="楷体" w:hAnsi="Times New Roman" w:hint="eastAsia"/>
          <w:color w:val="5B9BD5" w:themeColor="accent1"/>
          <w:sz w:val="24"/>
        </w:rPr>
        <w:t>，公司可及时根据市场情况进行</w:t>
      </w:r>
      <w:r>
        <w:rPr>
          <w:rFonts w:ascii="Times New Roman" w:eastAsia="楷体" w:hAnsi="Times New Roman"/>
          <w:color w:val="5B9BD5" w:themeColor="accent1"/>
          <w:sz w:val="24"/>
        </w:rPr>
        <w:t>产能调配，以应对市场变化，保障公司的盈利能力。南京工厂超半数产品服务海外市场。</w:t>
      </w:r>
    </w:p>
    <w:p w14:paraId="62B728C1" w14:textId="77777777" w:rsidR="009904B7" w:rsidRDefault="009904B7">
      <w:pPr>
        <w:pStyle w:val="af1"/>
        <w:ind w:left="434" w:firstLineChars="0" w:firstLine="0"/>
        <w:rPr>
          <w:rFonts w:ascii="Times New Roman" w:eastAsia="楷体" w:hAnsi="Times New Roman"/>
          <w:sz w:val="24"/>
          <w:szCs w:val="24"/>
        </w:rPr>
      </w:pPr>
    </w:p>
    <w:p w14:paraId="62B728C3" w14:textId="7A8E9B81" w:rsidR="009904B7" w:rsidRPr="00825252" w:rsidRDefault="009F396C" w:rsidP="00C10CEC">
      <w:pPr>
        <w:pStyle w:val="af1"/>
        <w:numPr>
          <w:ilvl w:val="3"/>
          <w:numId w:val="2"/>
        </w:numPr>
        <w:ind w:left="504" w:firstLineChars="0"/>
        <w:rPr>
          <w:rFonts w:ascii="Times New Roman" w:eastAsia="楷体" w:hAnsi="Times New Roman"/>
          <w:sz w:val="24"/>
          <w:szCs w:val="24"/>
        </w:rPr>
      </w:pPr>
      <w:r w:rsidRPr="00825252">
        <w:rPr>
          <w:rFonts w:ascii="Times New Roman" w:eastAsia="楷体" w:hAnsi="Times New Roman"/>
          <w:sz w:val="24"/>
          <w:szCs w:val="24"/>
        </w:rPr>
        <w:t>液体蛋氨酸价格较固体蛋氨酸更具韧性的原因？</w:t>
      </w:r>
    </w:p>
    <w:p w14:paraId="5E7AEBE6" w14:textId="15291D81" w:rsidR="00EB4A12" w:rsidRPr="00CA216F" w:rsidRDefault="009F396C" w:rsidP="00CA216F">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从技术维度来看，</w:t>
      </w:r>
      <w:r>
        <w:rPr>
          <w:rFonts w:ascii="Times New Roman" w:eastAsia="楷体" w:hAnsi="Times New Roman" w:hint="eastAsia"/>
          <w:color w:val="5B9BD5" w:themeColor="accent1"/>
          <w:sz w:val="24"/>
        </w:rPr>
        <w:t>客户从</w:t>
      </w:r>
      <w:r>
        <w:rPr>
          <w:rFonts w:ascii="Times New Roman" w:eastAsia="楷体" w:hAnsi="Times New Roman"/>
          <w:color w:val="5B9BD5" w:themeColor="accent1"/>
          <w:sz w:val="24"/>
        </w:rPr>
        <w:t>固体蛋氨酸向液体蛋氨酸的转</w:t>
      </w:r>
      <w:r>
        <w:rPr>
          <w:rFonts w:ascii="Times New Roman" w:eastAsia="楷体" w:hAnsi="Times New Roman" w:hint="eastAsia"/>
          <w:color w:val="5B9BD5" w:themeColor="accent1"/>
          <w:sz w:val="24"/>
        </w:rPr>
        <w:t>换</w:t>
      </w:r>
      <w:r>
        <w:rPr>
          <w:rFonts w:ascii="Times New Roman" w:eastAsia="楷体" w:hAnsi="Times New Roman"/>
          <w:color w:val="5B9BD5" w:themeColor="accent1"/>
          <w:sz w:val="24"/>
        </w:rPr>
        <w:t>存在</w:t>
      </w:r>
      <w:r>
        <w:rPr>
          <w:rFonts w:ascii="Times New Roman" w:eastAsia="楷体" w:hAnsi="Times New Roman" w:hint="eastAsia"/>
          <w:color w:val="5B9BD5" w:themeColor="accent1"/>
          <w:sz w:val="24"/>
        </w:rPr>
        <w:t>工业化要求</w:t>
      </w:r>
      <w:r>
        <w:rPr>
          <w:rFonts w:ascii="Times New Roman" w:eastAsia="楷体" w:hAnsi="Times New Roman"/>
          <w:color w:val="5B9BD5" w:themeColor="accent1"/>
          <w:sz w:val="24"/>
        </w:rPr>
        <w:t>，不仅需历经严谨的技术验证，还需配套喷涂设备投入</w:t>
      </w:r>
      <w:r>
        <w:rPr>
          <w:rFonts w:ascii="Times New Roman" w:eastAsia="楷体" w:hAnsi="Times New Roman" w:hint="eastAsia"/>
          <w:color w:val="5B9BD5" w:themeColor="accent1"/>
          <w:sz w:val="24"/>
        </w:rPr>
        <w:t>和技术服务等</w:t>
      </w:r>
      <w:r>
        <w:rPr>
          <w:rFonts w:ascii="Times New Roman" w:eastAsia="楷体" w:hAnsi="Times New Roman"/>
          <w:color w:val="5B9BD5" w:themeColor="accent1"/>
          <w:sz w:val="24"/>
        </w:rPr>
        <w:t>。因此，客户一旦选择使用液体蛋氨酸，</w:t>
      </w:r>
      <w:r w:rsidR="005B069C">
        <w:rPr>
          <w:rFonts w:ascii="Times New Roman" w:eastAsia="楷体" w:hAnsi="Times New Roman" w:hint="eastAsia"/>
          <w:color w:val="5B9BD5" w:themeColor="accent1"/>
          <w:sz w:val="24"/>
        </w:rPr>
        <w:t>鉴于</w:t>
      </w:r>
      <w:r>
        <w:rPr>
          <w:rFonts w:ascii="Times New Roman" w:eastAsia="楷体" w:hAnsi="Times New Roman" w:hint="eastAsia"/>
          <w:color w:val="5B9BD5" w:themeColor="accent1"/>
          <w:sz w:val="24"/>
        </w:rPr>
        <w:t>其相较固体蛋氨酸对于下游客户拥有更好的经济性</w:t>
      </w:r>
      <w:r w:rsidR="00C46D77">
        <w:rPr>
          <w:rFonts w:ascii="Times New Roman" w:eastAsia="楷体" w:hAnsi="Times New Roman" w:hint="eastAsia"/>
          <w:color w:val="5B9BD5" w:themeColor="accent1"/>
          <w:sz w:val="24"/>
        </w:rPr>
        <w:t>，且具备多项</w:t>
      </w:r>
      <w:r>
        <w:rPr>
          <w:rFonts w:ascii="Times New Roman" w:eastAsia="楷体" w:hAnsi="Times New Roman" w:hint="eastAsia"/>
          <w:color w:val="5B9BD5" w:themeColor="accent1"/>
          <w:sz w:val="24"/>
        </w:rPr>
        <w:t>附加价值，</w:t>
      </w:r>
      <w:r>
        <w:rPr>
          <w:rFonts w:ascii="Times New Roman" w:eastAsia="楷体" w:hAnsi="Times New Roman"/>
          <w:color w:val="5B9BD5" w:themeColor="accent1"/>
          <w:sz w:val="24"/>
        </w:rPr>
        <w:t>便难以再切换回固体</w:t>
      </w:r>
      <w:r>
        <w:rPr>
          <w:rFonts w:ascii="Times New Roman" w:eastAsia="楷体" w:hAnsi="Times New Roman" w:hint="eastAsia"/>
          <w:color w:val="5B9BD5" w:themeColor="accent1"/>
          <w:sz w:val="24"/>
        </w:rPr>
        <w:t>产品</w:t>
      </w:r>
      <w:r w:rsidR="00C46D77">
        <w:rPr>
          <w:rFonts w:ascii="Times New Roman" w:eastAsia="楷体" w:hAnsi="Times New Roman" w:hint="eastAsia"/>
          <w:color w:val="5B9BD5" w:themeColor="accent1"/>
          <w:sz w:val="24"/>
        </w:rPr>
        <w:t>。</w:t>
      </w:r>
      <w:r>
        <w:rPr>
          <w:rFonts w:ascii="Times New Roman" w:eastAsia="楷体" w:hAnsi="Times New Roman"/>
          <w:color w:val="5B9BD5" w:themeColor="accent1"/>
          <w:sz w:val="24"/>
        </w:rPr>
        <w:t>这使得液体蛋氨酸的客户展现出极高的忠诚度与粘性，进而推动其市场需求呈现高度稳定态势，能够紧密贴合客户生产节奏，实现持续稳健的增长。</w:t>
      </w:r>
    </w:p>
    <w:p w14:paraId="059AD578" w14:textId="502B77CD" w:rsidR="00EB4A12" w:rsidRDefault="009F396C" w:rsidP="00794CF2">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从销售维度来看，液体蛋氨酸多采用直销模式，我们与客户构建起深度绑定的合作关系，有效规避了市场过度波动；同时，</w:t>
      </w:r>
      <w:r w:rsidR="00BD4989">
        <w:rPr>
          <w:rFonts w:ascii="Times New Roman" w:eastAsia="楷体" w:hAnsi="Times New Roman" w:hint="eastAsia"/>
          <w:color w:val="5B9BD5" w:themeColor="accent1"/>
          <w:sz w:val="24"/>
        </w:rPr>
        <w:t>公司</w:t>
      </w:r>
      <w:r>
        <w:rPr>
          <w:rFonts w:ascii="Times New Roman" w:eastAsia="楷体" w:hAnsi="Times New Roman"/>
          <w:color w:val="5B9BD5" w:themeColor="accent1"/>
          <w:sz w:val="24"/>
        </w:rPr>
        <w:t>除提供优质产品外，液体蛋氨酸更需配套定制化解决方案与专业服务，进一步夯实了与客户的紧密联结。</w:t>
      </w:r>
    </w:p>
    <w:p w14:paraId="670DBFD3" w14:textId="77777777" w:rsidR="00C10CEC" w:rsidRPr="00794CF2" w:rsidRDefault="00C10CEC" w:rsidP="00C10CEC">
      <w:pPr>
        <w:pStyle w:val="af1"/>
        <w:spacing w:after="160" w:line="278" w:lineRule="auto"/>
        <w:ind w:left="800" w:firstLineChars="0" w:firstLine="0"/>
        <w:contextualSpacing/>
        <w:rPr>
          <w:rFonts w:ascii="Times New Roman" w:eastAsia="楷体" w:hAnsi="Times New Roman"/>
          <w:color w:val="5B9BD5" w:themeColor="accent1"/>
          <w:sz w:val="24"/>
        </w:rPr>
      </w:pPr>
    </w:p>
    <w:p w14:paraId="62B728CA" w14:textId="2809FFC2" w:rsidR="009904B7" w:rsidRPr="00794CF2" w:rsidRDefault="009F396C" w:rsidP="00C10CEC">
      <w:pPr>
        <w:pStyle w:val="af1"/>
        <w:numPr>
          <w:ilvl w:val="3"/>
          <w:numId w:val="2"/>
        </w:numPr>
        <w:ind w:left="504" w:firstLineChars="0"/>
        <w:rPr>
          <w:rFonts w:ascii="Times New Roman" w:eastAsia="楷体" w:hAnsi="Times New Roman"/>
          <w:sz w:val="24"/>
          <w:szCs w:val="24"/>
        </w:rPr>
      </w:pPr>
      <w:r w:rsidRPr="00794CF2">
        <w:rPr>
          <w:rFonts w:ascii="Times New Roman" w:eastAsia="楷体" w:hAnsi="Times New Roman"/>
          <w:sz w:val="24"/>
          <w:szCs w:val="24"/>
        </w:rPr>
        <w:t>泉州工厂的投产、销售规划？</w:t>
      </w:r>
    </w:p>
    <w:p w14:paraId="62B728CF" w14:textId="77777777" w:rsidR="009904B7" w:rsidRDefault="009F396C">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泉州固体蛋氨酸工厂目前严格依照既定规划有序推进，将按计划启动试</w:t>
      </w:r>
      <w:r>
        <w:rPr>
          <w:rFonts w:ascii="Times New Roman" w:eastAsia="楷体" w:hAnsi="Times New Roman"/>
          <w:color w:val="5B9BD5" w:themeColor="accent1"/>
          <w:sz w:val="24"/>
        </w:rPr>
        <w:lastRenderedPageBreak/>
        <w:t>生产，并于</w:t>
      </w:r>
      <w:r>
        <w:rPr>
          <w:rFonts w:ascii="Times New Roman" w:eastAsia="楷体" w:hAnsi="Times New Roman"/>
          <w:color w:val="5B9BD5" w:themeColor="accent1"/>
          <w:sz w:val="24"/>
        </w:rPr>
        <w:t>2027</w:t>
      </w:r>
      <w:r>
        <w:rPr>
          <w:rFonts w:ascii="Times New Roman" w:eastAsia="楷体" w:hAnsi="Times New Roman"/>
          <w:color w:val="5B9BD5" w:themeColor="accent1"/>
          <w:sz w:val="24"/>
        </w:rPr>
        <w:t>年正式向市场投放新产品。针对明年的生产与销售布局，我们将以市场需求为核心导向，立足生产实际，精细谋划、灵活调整，实现资源的高效统筹与动态优化。</w:t>
      </w:r>
    </w:p>
    <w:p w14:paraId="62B728D0" w14:textId="77777777" w:rsidR="009904B7" w:rsidRDefault="009F396C">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首先，得益于安迪苏深耕蛋氨酸领域多年，积累了深厚的技术底蕴与项目经验，泉州工厂固体蛋氨酸项目建设进度可控，我们有信心确保泉州工厂如期投产，精准满足市场需求。</w:t>
      </w:r>
    </w:p>
    <w:p w14:paraId="62B728D1" w14:textId="77777777" w:rsidR="009904B7" w:rsidRDefault="009F396C">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其次，公司在欧洲已拥有成熟的固体蛋氨酸生产基地，虽规模相对有限，却为市场拓展奠定了坚实基础。为推动泉州固体蛋氨酸在未来市场的销售，今年我们已前瞻性地开拓新区域</w:t>
      </w:r>
      <w:r>
        <w:rPr>
          <w:rFonts w:ascii="Times New Roman" w:eastAsia="楷体" w:hAnsi="Times New Roman" w:hint="eastAsia"/>
          <w:color w:val="5B9BD5" w:themeColor="accent1"/>
          <w:sz w:val="24"/>
        </w:rPr>
        <w:t>、新</w:t>
      </w:r>
      <w:r>
        <w:rPr>
          <w:rFonts w:ascii="Times New Roman" w:eastAsia="楷体" w:hAnsi="Times New Roman"/>
          <w:color w:val="5B9BD5" w:themeColor="accent1"/>
          <w:sz w:val="24"/>
        </w:rPr>
        <w:t>市场，为明年销售工作的顺利开展提供了有力支撑。</w:t>
      </w:r>
    </w:p>
    <w:p w14:paraId="62B728D2" w14:textId="655D9CA7" w:rsidR="009904B7" w:rsidRDefault="00CE5E12">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hint="eastAsia"/>
          <w:color w:val="5B9BD5" w:themeColor="accent1"/>
          <w:sz w:val="24"/>
        </w:rPr>
        <w:t>最后</w:t>
      </w:r>
      <w:r w:rsidR="009F396C">
        <w:rPr>
          <w:rFonts w:ascii="Times New Roman" w:eastAsia="楷体" w:hAnsi="Times New Roman"/>
          <w:color w:val="5B9BD5" w:themeColor="accent1"/>
          <w:sz w:val="24"/>
        </w:rPr>
        <w:t>，在生产规划方面，公司已拟定清晰方案，并将紧密贴合市场动态需求灵活调整。我们将秉持产品精准投放策略，确保产品供给与客户需求精准匹配，全力维护市场价格的平稳运行。</w:t>
      </w:r>
    </w:p>
    <w:p w14:paraId="2D7FC6CF" w14:textId="77777777" w:rsidR="00C10CEC" w:rsidRDefault="00C10CEC" w:rsidP="00C10CEC">
      <w:pPr>
        <w:pStyle w:val="af1"/>
        <w:spacing w:after="160" w:line="278" w:lineRule="auto"/>
        <w:ind w:left="800" w:firstLineChars="0" w:firstLine="0"/>
        <w:contextualSpacing/>
        <w:rPr>
          <w:rFonts w:ascii="Times New Roman" w:eastAsia="楷体" w:hAnsi="Times New Roman"/>
          <w:color w:val="5B9BD5" w:themeColor="accent1"/>
          <w:sz w:val="24"/>
        </w:rPr>
      </w:pPr>
    </w:p>
    <w:p w14:paraId="62B728D5" w14:textId="662BC6CB" w:rsidR="009904B7" w:rsidRPr="003B2EE4" w:rsidRDefault="009F396C" w:rsidP="00C10CEC">
      <w:pPr>
        <w:pStyle w:val="af1"/>
        <w:numPr>
          <w:ilvl w:val="3"/>
          <w:numId w:val="2"/>
        </w:numPr>
        <w:ind w:left="504" w:firstLineChars="0"/>
        <w:rPr>
          <w:rFonts w:ascii="Times New Roman" w:eastAsia="楷体" w:hAnsi="Times New Roman"/>
          <w:sz w:val="24"/>
          <w:szCs w:val="24"/>
        </w:rPr>
      </w:pPr>
      <w:r w:rsidRPr="003B2EE4">
        <w:rPr>
          <w:rFonts w:ascii="Times New Roman" w:eastAsia="楷体" w:hAnsi="Times New Roman"/>
          <w:sz w:val="24"/>
          <w:szCs w:val="24"/>
        </w:rPr>
        <w:t>公司年报中提到的服务美元区的蛋氨酸生产平台目前的布局情况？</w:t>
      </w:r>
    </w:p>
    <w:p w14:paraId="62B728D7" w14:textId="70E920D7" w:rsidR="009904B7" w:rsidRDefault="009F396C">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我们始终紧密贴合市场需求，以加速发展为驱动，积极研判潜在的新项目布局机遇。目前，公司正对相关投资机会展开审慎评估。依托欧洲与中国两大核心平台，我们现阶段的核心任务是全力保障现有产能，尤其是新增产能的高效释放。与此同时，鉴于当下地缘政治局势错综复杂，我们正对潜在投资区域进行全面考量。公司将秉持审慎原则，优先满足现有核心区域的产能需求，再综合评估新增产能的可行性。</w:t>
      </w:r>
    </w:p>
    <w:p w14:paraId="794EE933" w14:textId="77777777" w:rsidR="00C10CEC" w:rsidRDefault="00C10CEC" w:rsidP="00C10CEC">
      <w:pPr>
        <w:pStyle w:val="af1"/>
        <w:spacing w:after="160" w:line="278" w:lineRule="auto"/>
        <w:ind w:left="800" w:firstLineChars="0" w:firstLine="0"/>
        <w:contextualSpacing/>
        <w:rPr>
          <w:rFonts w:ascii="Times New Roman" w:eastAsia="楷体" w:hAnsi="Times New Roman"/>
          <w:color w:val="5B9BD5" w:themeColor="accent1"/>
          <w:sz w:val="24"/>
        </w:rPr>
      </w:pPr>
    </w:p>
    <w:p w14:paraId="62B728DA" w14:textId="6BDEDD6F" w:rsidR="009904B7" w:rsidRPr="006F59AF" w:rsidRDefault="009F396C" w:rsidP="00C10CEC">
      <w:pPr>
        <w:pStyle w:val="af1"/>
        <w:numPr>
          <w:ilvl w:val="3"/>
          <w:numId w:val="2"/>
        </w:numPr>
        <w:ind w:left="504" w:firstLineChars="0"/>
        <w:rPr>
          <w:rFonts w:ascii="Times New Roman" w:eastAsia="楷体" w:hAnsi="Times New Roman"/>
          <w:sz w:val="24"/>
          <w:szCs w:val="24"/>
        </w:rPr>
      </w:pPr>
      <w:r w:rsidRPr="006F59AF">
        <w:rPr>
          <w:rFonts w:ascii="Times New Roman" w:eastAsia="楷体" w:hAnsi="Times New Roman"/>
          <w:sz w:val="24"/>
          <w:szCs w:val="24"/>
        </w:rPr>
        <w:t>蛋氨酸市场价格与实际成交价格的差异及时间差？</w:t>
      </w:r>
    </w:p>
    <w:p w14:paraId="62B728DC" w14:textId="77777777" w:rsidR="009904B7" w:rsidRDefault="009F396C">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公开平台发布的蛋氨酸报价是从即时市场动态的角度反应蛋氨酸的价格，公开报价可作为研判价格走势的</w:t>
      </w:r>
      <w:r>
        <w:rPr>
          <w:rFonts w:ascii="Times New Roman" w:eastAsia="楷体" w:hAnsi="Times New Roman" w:hint="eastAsia"/>
          <w:color w:val="5B9BD5" w:themeColor="accent1"/>
          <w:sz w:val="24"/>
        </w:rPr>
        <w:t>参考</w:t>
      </w:r>
      <w:r>
        <w:rPr>
          <w:rFonts w:ascii="Times New Roman" w:eastAsia="楷体" w:hAnsi="Times New Roman"/>
          <w:color w:val="5B9BD5" w:themeColor="accent1"/>
          <w:sz w:val="24"/>
        </w:rPr>
        <w:t>。不过需要特别说明的是，公司蛋氨酸的定价机制与现货价</w:t>
      </w:r>
      <w:r>
        <w:rPr>
          <w:rFonts w:ascii="Times New Roman" w:eastAsia="楷体" w:hAnsi="Times New Roman" w:hint="eastAsia"/>
          <w:color w:val="5B9BD5" w:themeColor="accent1"/>
          <w:sz w:val="24"/>
        </w:rPr>
        <w:t>变动机制</w:t>
      </w:r>
      <w:r>
        <w:rPr>
          <w:rFonts w:ascii="Times New Roman" w:eastAsia="楷体" w:hAnsi="Times New Roman"/>
          <w:color w:val="5B9BD5" w:themeColor="accent1"/>
          <w:sz w:val="24"/>
        </w:rPr>
        <w:t>存在</w:t>
      </w:r>
      <w:r>
        <w:rPr>
          <w:rFonts w:ascii="Times New Roman" w:eastAsia="楷体" w:hAnsi="Times New Roman" w:hint="eastAsia"/>
          <w:color w:val="5B9BD5" w:themeColor="accent1"/>
          <w:sz w:val="24"/>
        </w:rPr>
        <w:t>差异</w:t>
      </w:r>
      <w:r>
        <w:rPr>
          <w:rFonts w:ascii="Times New Roman" w:eastAsia="楷体" w:hAnsi="Times New Roman"/>
          <w:color w:val="5B9BD5" w:themeColor="accent1"/>
          <w:sz w:val="24"/>
        </w:rPr>
        <w:t>。公司全球各区域的销售定价策略</w:t>
      </w:r>
      <w:r>
        <w:rPr>
          <w:rFonts w:ascii="Times New Roman" w:eastAsia="楷体" w:hAnsi="Times New Roman" w:hint="eastAsia"/>
          <w:color w:val="5B9BD5" w:themeColor="accent1"/>
          <w:sz w:val="24"/>
        </w:rPr>
        <w:t>需</w:t>
      </w:r>
      <w:r>
        <w:rPr>
          <w:rFonts w:ascii="Times New Roman" w:eastAsia="楷体" w:hAnsi="Times New Roman"/>
          <w:color w:val="5B9BD5" w:themeColor="accent1"/>
          <w:sz w:val="24"/>
        </w:rPr>
        <w:t>高度贴合当地</w:t>
      </w:r>
      <w:r>
        <w:rPr>
          <w:rFonts w:ascii="Times New Roman" w:eastAsia="楷体" w:hAnsi="Times New Roman" w:hint="eastAsia"/>
          <w:color w:val="5B9BD5" w:themeColor="accent1"/>
          <w:sz w:val="24"/>
        </w:rPr>
        <w:t>市场</w:t>
      </w:r>
      <w:r>
        <w:rPr>
          <w:rFonts w:ascii="Times New Roman" w:eastAsia="楷体" w:hAnsi="Times New Roman"/>
          <w:color w:val="5B9BD5" w:themeColor="accent1"/>
          <w:sz w:val="24"/>
        </w:rPr>
        <w:t>实际</w:t>
      </w:r>
      <w:r>
        <w:rPr>
          <w:rFonts w:ascii="Times New Roman" w:eastAsia="楷体" w:hAnsi="Times New Roman" w:hint="eastAsia"/>
          <w:color w:val="5B9BD5" w:themeColor="accent1"/>
          <w:sz w:val="24"/>
        </w:rPr>
        <w:t>，且</w:t>
      </w:r>
      <w:r>
        <w:rPr>
          <w:rFonts w:ascii="Times New Roman" w:eastAsia="楷体" w:hAnsi="Times New Roman"/>
          <w:color w:val="5B9BD5" w:themeColor="accent1"/>
          <w:sz w:val="24"/>
        </w:rPr>
        <w:t>因市场特性</w:t>
      </w:r>
      <w:r>
        <w:rPr>
          <w:rFonts w:ascii="Times New Roman" w:eastAsia="楷体" w:hAnsi="Times New Roman" w:hint="eastAsia"/>
          <w:color w:val="5B9BD5" w:themeColor="accent1"/>
          <w:sz w:val="24"/>
        </w:rPr>
        <w:t>而</w:t>
      </w:r>
      <w:r>
        <w:rPr>
          <w:rFonts w:ascii="Times New Roman" w:eastAsia="楷体" w:hAnsi="Times New Roman"/>
          <w:color w:val="5B9BD5" w:themeColor="accent1"/>
          <w:sz w:val="24"/>
        </w:rPr>
        <w:t>呈现差异化。具体而言：中国市场侧重现货定价逻辑，即便依托协议框架，定价仍保持动态调整；美国、拉美市场以长协模式为核心主导；欧洲</w:t>
      </w:r>
      <w:r>
        <w:rPr>
          <w:rFonts w:ascii="Times New Roman" w:eastAsia="楷体" w:hAnsi="Times New Roman" w:hint="eastAsia"/>
          <w:color w:val="5B9BD5" w:themeColor="accent1"/>
          <w:sz w:val="24"/>
        </w:rPr>
        <w:t>市场处于前两者之间，</w:t>
      </w:r>
      <w:r>
        <w:rPr>
          <w:rFonts w:ascii="Times New Roman" w:eastAsia="楷体" w:hAnsi="Times New Roman"/>
          <w:color w:val="5B9BD5" w:themeColor="accent1"/>
          <w:sz w:val="24"/>
        </w:rPr>
        <w:t>现货</w:t>
      </w:r>
      <w:r>
        <w:rPr>
          <w:rFonts w:ascii="Times New Roman" w:eastAsia="楷体" w:hAnsi="Times New Roman" w:hint="eastAsia"/>
          <w:color w:val="5B9BD5" w:themeColor="accent1"/>
          <w:sz w:val="24"/>
        </w:rPr>
        <w:t>价</w:t>
      </w:r>
      <w:r>
        <w:rPr>
          <w:rFonts w:ascii="Times New Roman" w:eastAsia="楷体" w:hAnsi="Times New Roman"/>
          <w:color w:val="5B9BD5" w:themeColor="accent1"/>
          <w:sz w:val="24"/>
        </w:rPr>
        <w:t>与长协定价</w:t>
      </w:r>
      <w:r>
        <w:rPr>
          <w:rFonts w:ascii="Times New Roman" w:eastAsia="楷体" w:hAnsi="Times New Roman" w:hint="eastAsia"/>
          <w:color w:val="5B9BD5" w:themeColor="accent1"/>
          <w:sz w:val="24"/>
        </w:rPr>
        <w:t>相对</w:t>
      </w:r>
      <w:r>
        <w:rPr>
          <w:rFonts w:ascii="Times New Roman" w:eastAsia="楷体" w:hAnsi="Times New Roman"/>
          <w:color w:val="5B9BD5" w:themeColor="accent1"/>
          <w:sz w:val="24"/>
        </w:rPr>
        <w:t>均衡。</w:t>
      </w:r>
    </w:p>
    <w:p w14:paraId="528BF6F3" w14:textId="77777777" w:rsidR="00C10CEC" w:rsidRDefault="00C10CEC" w:rsidP="00C10CEC">
      <w:pPr>
        <w:pStyle w:val="af1"/>
        <w:spacing w:after="160" w:line="278" w:lineRule="auto"/>
        <w:ind w:left="800" w:firstLineChars="0" w:firstLine="0"/>
        <w:contextualSpacing/>
        <w:rPr>
          <w:rFonts w:ascii="Times New Roman" w:eastAsia="楷体" w:hAnsi="Times New Roman"/>
          <w:color w:val="5B9BD5" w:themeColor="accent1"/>
          <w:sz w:val="24"/>
        </w:rPr>
      </w:pPr>
    </w:p>
    <w:p w14:paraId="62B728DF" w14:textId="32E9B36E" w:rsidR="009904B7" w:rsidRPr="0051457B" w:rsidRDefault="009F396C" w:rsidP="00C10CEC">
      <w:pPr>
        <w:pStyle w:val="af1"/>
        <w:numPr>
          <w:ilvl w:val="3"/>
          <w:numId w:val="2"/>
        </w:numPr>
        <w:ind w:left="504" w:firstLineChars="0"/>
        <w:rPr>
          <w:rFonts w:ascii="Times New Roman" w:eastAsia="楷体" w:hAnsi="Times New Roman"/>
          <w:sz w:val="24"/>
          <w:szCs w:val="24"/>
        </w:rPr>
      </w:pPr>
      <w:r w:rsidRPr="0051457B">
        <w:rPr>
          <w:rFonts w:ascii="Times New Roman" w:eastAsia="楷体" w:hAnsi="Times New Roman"/>
          <w:sz w:val="24"/>
          <w:szCs w:val="24"/>
        </w:rPr>
        <w:t>公司后续是否有检修计划？</w:t>
      </w:r>
      <w:r w:rsidRPr="0051457B">
        <w:rPr>
          <w:rFonts w:ascii="Times New Roman" w:eastAsia="楷体" w:hAnsi="Times New Roman"/>
          <w:sz w:val="24"/>
          <w:szCs w:val="24"/>
        </w:rPr>
        <w:t xml:space="preserve"> </w:t>
      </w:r>
    </w:p>
    <w:p w14:paraId="62B728E1" w14:textId="4686481C" w:rsidR="009904B7" w:rsidRDefault="009F396C">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Pr>
          <w:rFonts w:ascii="Times New Roman" w:eastAsia="楷体" w:hAnsi="Times New Roman"/>
          <w:color w:val="5B9BD5" w:themeColor="accent1"/>
          <w:sz w:val="24"/>
        </w:rPr>
        <w:t>国内</w:t>
      </w:r>
      <w:r w:rsidR="0051457B">
        <w:rPr>
          <w:rFonts w:ascii="Times New Roman" w:eastAsia="楷体" w:hAnsi="Times New Roman" w:hint="eastAsia"/>
          <w:color w:val="5B9BD5" w:themeColor="accent1"/>
          <w:sz w:val="24"/>
        </w:rPr>
        <w:t>方面，</w:t>
      </w:r>
      <w:r>
        <w:rPr>
          <w:rFonts w:ascii="Times New Roman" w:eastAsia="楷体" w:hAnsi="Times New Roman"/>
          <w:color w:val="5B9BD5" w:themeColor="accent1"/>
          <w:sz w:val="24"/>
        </w:rPr>
        <w:t>南京工厂预计将于第四季度开展检修工作；而欧洲区域方面，鉴于</w:t>
      </w:r>
      <w:r>
        <w:rPr>
          <w:rFonts w:ascii="Times New Roman" w:eastAsia="楷体" w:hAnsi="Times New Roman"/>
          <w:color w:val="5B9BD5" w:themeColor="accent1"/>
          <w:sz w:val="24"/>
        </w:rPr>
        <w:t>4</w:t>
      </w:r>
      <w:r>
        <w:rPr>
          <w:rFonts w:ascii="Times New Roman" w:eastAsia="楷体" w:hAnsi="Times New Roman"/>
          <w:color w:val="5B9BD5" w:themeColor="accent1"/>
          <w:sz w:val="24"/>
        </w:rPr>
        <w:t>万吨脱瓶颈项目刚刚落地，当前生产将以高负荷状态稳步推进，暂无明确的检修安排。</w:t>
      </w:r>
    </w:p>
    <w:p w14:paraId="684A1962" w14:textId="77777777" w:rsidR="00C10CEC" w:rsidRDefault="00C10CEC" w:rsidP="00C10CEC">
      <w:pPr>
        <w:pStyle w:val="af1"/>
        <w:spacing w:after="160" w:line="278" w:lineRule="auto"/>
        <w:ind w:left="800" w:firstLineChars="0" w:firstLine="0"/>
        <w:contextualSpacing/>
        <w:rPr>
          <w:rFonts w:ascii="Times New Roman" w:eastAsia="楷体" w:hAnsi="Times New Roman"/>
          <w:color w:val="5B9BD5" w:themeColor="accent1"/>
          <w:sz w:val="24"/>
        </w:rPr>
      </w:pPr>
    </w:p>
    <w:p w14:paraId="62B728E4" w14:textId="321098B7" w:rsidR="009904B7" w:rsidRPr="0051457B" w:rsidRDefault="009F396C" w:rsidP="00C10CEC">
      <w:pPr>
        <w:pStyle w:val="af1"/>
        <w:numPr>
          <w:ilvl w:val="3"/>
          <w:numId w:val="2"/>
        </w:numPr>
        <w:ind w:left="504" w:firstLineChars="0"/>
        <w:rPr>
          <w:rFonts w:ascii="Times New Roman" w:eastAsia="楷体" w:hAnsi="Times New Roman"/>
          <w:sz w:val="24"/>
          <w:szCs w:val="24"/>
        </w:rPr>
      </w:pPr>
      <w:r w:rsidRPr="0051457B">
        <w:rPr>
          <w:rFonts w:ascii="Times New Roman" w:eastAsia="楷体" w:hAnsi="Times New Roman"/>
          <w:sz w:val="24"/>
          <w:szCs w:val="24"/>
        </w:rPr>
        <w:t>维生素价格展望</w:t>
      </w:r>
    </w:p>
    <w:p w14:paraId="62B728E7" w14:textId="3B4558EB" w:rsidR="009904B7" w:rsidRPr="00515E2F" w:rsidRDefault="009F396C" w:rsidP="00515E2F">
      <w:pPr>
        <w:pStyle w:val="af1"/>
        <w:numPr>
          <w:ilvl w:val="0"/>
          <w:numId w:val="3"/>
        </w:numPr>
        <w:spacing w:after="160" w:line="278" w:lineRule="auto"/>
        <w:ind w:firstLineChars="0"/>
        <w:contextualSpacing/>
        <w:rPr>
          <w:rFonts w:ascii="Times New Roman" w:eastAsia="楷体" w:hAnsi="Times New Roman"/>
          <w:color w:val="5B9BD5" w:themeColor="accent1"/>
          <w:sz w:val="24"/>
        </w:rPr>
      </w:pPr>
      <w:r w:rsidRPr="00515E2F">
        <w:rPr>
          <w:rFonts w:ascii="Times New Roman" w:eastAsia="楷体" w:hAnsi="Times New Roman"/>
          <w:color w:val="5B9BD5" w:themeColor="accent1"/>
          <w:sz w:val="24"/>
        </w:rPr>
        <w:t>从长期来看，维生素行业的根本供需格局并未改变，市场将持续处于供应过剩的状态。在维生素市场竞争日益激烈的背景下，安迪苏致力于为</w:t>
      </w:r>
      <w:r w:rsidRPr="00515E2F">
        <w:rPr>
          <w:rFonts w:ascii="Times New Roman" w:eastAsia="楷体" w:hAnsi="Times New Roman" w:hint="eastAsia"/>
          <w:color w:val="5B9BD5" w:themeColor="accent1"/>
          <w:sz w:val="24"/>
        </w:rPr>
        <w:lastRenderedPageBreak/>
        <w:t>客户提供</w:t>
      </w:r>
      <w:r w:rsidRPr="00515E2F">
        <w:rPr>
          <w:rFonts w:ascii="Times New Roman" w:eastAsia="楷体" w:hAnsi="Times New Roman"/>
          <w:color w:val="5B9BD5" w:themeColor="accent1"/>
          <w:sz w:val="24"/>
        </w:rPr>
        <w:t>精选维生素产品</w:t>
      </w:r>
      <w:r w:rsidRPr="00515E2F">
        <w:rPr>
          <w:rFonts w:ascii="Times New Roman" w:eastAsia="楷体" w:hAnsi="Times New Roman" w:hint="eastAsia"/>
          <w:color w:val="5B9BD5" w:themeColor="accent1"/>
          <w:sz w:val="24"/>
        </w:rPr>
        <w:t>一站式服务</w:t>
      </w:r>
      <w:r w:rsidRPr="00515E2F">
        <w:rPr>
          <w:rFonts w:ascii="Times New Roman" w:eastAsia="楷体" w:hAnsi="Times New Roman"/>
          <w:color w:val="5B9BD5" w:themeColor="accent1"/>
          <w:sz w:val="24"/>
        </w:rPr>
        <w:t>，</w:t>
      </w:r>
      <w:r w:rsidRPr="00515E2F">
        <w:rPr>
          <w:rFonts w:ascii="Times New Roman" w:eastAsia="楷体" w:hAnsi="Times New Roman" w:hint="eastAsia"/>
          <w:color w:val="5B9BD5" w:themeColor="accent1"/>
          <w:sz w:val="24"/>
        </w:rPr>
        <w:t>以</w:t>
      </w:r>
      <w:r w:rsidRPr="00515E2F">
        <w:rPr>
          <w:rFonts w:ascii="Times New Roman" w:eastAsia="楷体" w:hAnsi="Times New Roman"/>
          <w:color w:val="5B9BD5" w:themeColor="accent1"/>
          <w:sz w:val="24"/>
        </w:rPr>
        <w:t>交付高质量、可全程追溯的维生素产品组合</w:t>
      </w:r>
      <w:r w:rsidRPr="00515E2F">
        <w:rPr>
          <w:rFonts w:ascii="Times New Roman" w:eastAsia="楷体" w:hAnsi="Times New Roman" w:hint="eastAsia"/>
          <w:color w:val="5B9BD5" w:themeColor="accent1"/>
          <w:sz w:val="24"/>
        </w:rPr>
        <w:t>为主要战略定位</w:t>
      </w:r>
      <w:r w:rsidRPr="00515E2F">
        <w:rPr>
          <w:rFonts w:ascii="Times New Roman" w:eastAsia="楷体" w:hAnsi="Times New Roman"/>
          <w:color w:val="5B9BD5" w:themeColor="accent1"/>
          <w:sz w:val="24"/>
        </w:rPr>
        <w:t>。安迪苏将</w:t>
      </w:r>
      <w:r w:rsidRPr="00515E2F">
        <w:rPr>
          <w:rFonts w:ascii="Times New Roman" w:eastAsia="楷体" w:hAnsi="Times New Roman" w:hint="eastAsia"/>
          <w:color w:val="5B9BD5" w:themeColor="accent1"/>
          <w:sz w:val="24"/>
        </w:rPr>
        <w:t>探索通过</w:t>
      </w:r>
      <w:r w:rsidRPr="00515E2F">
        <w:rPr>
          <w:rFonts w:ascii="Times New Roman" w:eastAsia="楷体" w:hAnsi="Times New Roman"/>
          <w:color w:val="5B9BD5" w:themeColor="accent1"/>
          <w:sz w:val="24"/>
        </w:rPr>
        <w:t>协同运营、战略性利用欧洲制造平台、提供全面解决方案</w:t>
      </w:r>
      <w:r w:rsidR="00C10CEC">
        <w:rPr>
          <w:rFonts w:ascii="Times New Roman" w:eastAsia="楷体" w:hAnsi="Times New Roman" w:hint="eastAsia"/>
          <w:color w:val="5B9BD5" w:themeColor="accent1"/>
          <w:sz w:val="24"/>
        </w:rPr>
        <w:t>及</w:t>
      </w:r>
      <w:r w:rsidRPr="00515E2F">
        <w:rPr>
          <w:rFonts w:ascii="Times New Roman" w:eastAsia="楷体" w:hAnsi="Times New Roman"/>
          <w:color w:val="5B9BD5" w:themeColor="accent1"/>
          <w:sz w:val="24"/>
        </w:rPr>
        <w:t>深化与行业伙伴的合作</w:t>
      </w:r>
      <w:r w:rsidRPr="00515E2F">
        <w:rPr>
          <w:rFonts w:ascii="Times New Roman" w:eastAsia="楷体" w:hAnsi="Times New Roman" w:hint="eastAsia"/>
          <w:color w:val="5B9BD5" w:themeColor="accent1"/>
          <w:sz w:val="24"/>
        </w:rPr>
        <w:t>等方式</w:t>
      </w:r>
      <w:r w:rsidRPr="00515E2F">
        <w:rPr>
          <w:rFonts w:ascii="Times New Roman" w:eastAsia="楷体" w:hAnsi="Times New Roman"/>
          <w:color w:val="5B9BD5" w:themeColor="accent1"/>
          <w:sz w:val="24"/>
        </w:rPr>
        <w:t>，持续</w:t>
      </w:r>
      <w:r w:rsidRPr="00515E2F">
        <w:rPr>
          <w:rFonts w:ascii="Times New Roman" w:eastAsia="楷体" w:hAnsi="Times New Roman" w:hint="eastAsia"/>
          <w:color w:val="5B9BD5" w:themeColor="accent1"/>
          <w:sz w:val="24"/>
        </w:rPr>
        <w:t>提升</w:t>
      </w:r>
      <w:r w:rsidRPr="00515E2F">
        <w:rPr>
          <w:rFonts w:ascii="Times New Roman" w:eastAsia="楷体" w:hAnsi="Times New Roman"/>
          <w:color w:val="5B9BD5" w:themeColor="accent1"/>
          <w:sz w:val="24"/>
        </w:rPr>
        <w:t>维生素业务的竞争优势。</w:t>
      </w:r>
    </w:p>
    <w:p w14:paraId="62B728E9" w14:textId="36CC4065" w:rsidR="009904B7" w:rsidRPr="00051A5E" w:rsidRDefault="009F396C" w:rsidP="00C10CEC">
      <w:pPr>
        <w:pStyle w:val="af1"/>
        <w:numPr>
          <w:ilvl w:val="3"/>
          <w:numId w:val="2"/>
        </w:numPr>
        <w:ind w:left="504" w:firstLineChars="0"/>
        <w:rPr>
          <w:rFonts w:ascii="Times New Roman" w:eastAsia="楷体" w:hAnsi="Times New Roman"/>
          <w:sz w:val="24"/>
          <w:szCs w:val="24"/>
        </w:rPr>
      </w:pPr>
      <w:r w:rsidRPr="00051A5E">
        <w:rPr>
          <w:rFonts w:ascii="Times New Roman" w:eastAsia="楷体" w:hAnsi="Times New Roman"/>
          <w:sz w:val="24"/>
          <w:szCs w:val="24"/>
        </w:rPr>
        <w:t>特种产品增速展望及核心增长动因</w:t>
      </w:r>
      <w:r w:rsidRPr="00051A5E">
        <w:rPr>
          <w:rFonts w:ascii="Times New Roman" w:eastAsia="楷体" w:hAnsi="Times New Roman"/>
          <w:sz w:val="24"/>
          <w:szCs w:val="24"/>
        </w:rPr>
        <w:t>?  </w:t>
      </w:r>
    </w:p>
    <w:p w14:paraId="62B728EE" w14:textId="522A03FA"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2026</w:t>
      </w:r>
      <w:r>
        <w:rPr>
          <w:rFonts w:ascii="Times New Roman" w:eastAsia="楷体" w:hAnsi="Times New Roman"/>
          <w:color w:val="5B9BD5" w:themeColor="accent1"/>
          <w:sz w:val="24"/>
          <w:szCs w:val="24"/>
        </w:rPr>
        <w:t>年上半年，特种产品业务的销售（</w:t>
      </w:r>
      <w:r>
        <w:rPr>
          <w:rFonts w:ascii="Times New Roman" w:eastAsia="楷体" w:hAnsi="Times New Roman"/>
          <w:color w:val="5B9BD5" w:themeColor="accent1"/>
          <w:sz w:val="24"/>
          <w:szCs w:val="24"/>
        </w:rPr>
        <w:t>+16%</w:t>
      </w:r>
      <w:r>
        <w:rPr>
          <w:rFonts w:ascii="Times New Roman" w:eastAsia="楷体" w:hAnsi="Times New Roman"/>
          <w:color w:val="5B9BD5" w:themeColor="accent1"/>
          <w:sz w:val="24"/>
          <w:szCs w:val="24"/>
        </w:rPr>
        <w:t>，人民币</w:t>
      </w:r>
      <w:r>
        <w:rPr>
          <w:rFonts w:ascii="Times New Roman" w:eastAsia="楷体" w:hAnsi="Times New Roman"/>
          <w:color w:val="5B9BD5" w:themeColor="accent1"/>
          <w:sz w:val="24"/>
          <w:szCs w:val="24"/>
        </w:rPr>
        <w:t>23.7</w:t>
      </w:r>
      <w:r>
        <w:rPr>
          <w:rFonts w:ascii="Times New Roman" w:eastAsia="楷体" w:hAnsi="Times New Roman"/>
          <w:color w:val="5B9BD5" w:themeColor="accent1"/>
          <w:sz w:val="24"/>
          <w:szCs w:val="24"/>
        </w:rPr>
        <w:t>亿元）和毛利（</w:t>
      </w:r>
      <w:r>
        <w:rPr>
          <w:rFonts w:ascii="Times New Roman" w:eastAsia="楷体" w:hAnsi="Times New Roman"/>
          <w:color w:val="5B9BD5" w:themeColor="accent1"/>
          <w:sz w:val="24"/>
          <w:szCs w:val="24"/>
        </w:rPr>
        <w:t>+22%</w:t>
      </w:r>
      <w:r>
        <w:rPr>
          <w:rFonts w:ascii="Times New Roman" w:eastAsia="楷体" w:hAnsi="Times New Roman"/>
          <w:color w:val="5B9BD5" w:themeColor="accent1"/>
          <w:sz w:val="24"/>
          <w:szCs w:val="24"/>
        </w:rPr>
        <w:t>，人民币</w:t>
      </w:r>
      <w:r>
        <w:rPr>
          <w:rFonts w:ascii="Times New Roman" w:eastAsia="楷体" w:hAnsi="Times New Roman"/>
          <w:color w:val="5B9BD5" w:themeColor="accent1"/>
          <w:sz w:val="24"/>
          <w:szCs w:val="24"/>
        </w:rPr>
        <w:t>10.1</w:t>
      </w:r>
      <w:r>
        <w:rPr>
          <w:rFonts w:ascii="Times New Roman" w:eastAsia="楷体" w:hAnsi="Times New Roman"/>
          <w:color w:val="5B9BD5" w:themeColor="accent1"/>
          <w:sz w:val="24"/>
          <w:szCs w:val="24"/>
        </w:rPr>
        <w:t>亿元）均实现了双位数的同比增长，尤其</w:t>
      </w:r>
      <w:r>
        <w:rPr>
          <w:rFonts w:ascii="Times New Roman" w:eastAsia="楷体" w:hAnsi="Times New Roman"/>
          <w:color w:val="5B9BD5" w:themeColor="accent1"/>
          <w:sz w:val="24"/>
          <w:szCs w:val="24"/>
        </w:rPr>
        <w:t>6</w:t>
      </w:r>
      <w:r>
        <w:rPr>
          <w:rFonts w:ascii="Times New Roman" w:eastAsia="楷体" w:hAnsi="Times New Roman"/>
          <w:color w:val="5B9BD5" w:themeColor="accent1"/>
          <w:sz w:val="24"/>
          <w:szCs w:val="24"/>
        </w:rPr>
        <w:t>月更创单月销售记录</w:t>
      </w:r>
      <w:r>
        <w:rPr>
          <w:rFonts w:ascii="Times New Roman" w:eastAsia="楷体" w:hAnsi="Times New Roman" w:hint="eastAsia"/>
          <w:color w:val="5B9BD5" w:themeColor="accent1"/>
          <w:sz w:val="24"/>
          <w:szCs w:val="24"/>
        </w:rPr>
        <w:t>。这</w:t>
      </w:r>
      <w:r>
        <w:rPr>
          <w:rFonts w:ascii="Times New Roman" w:eastAsia="楷体" w:hAnsi="Times New Roman"/>
          <w:color w:val="5B9BD5" w:themeColor="accent1"/>
          <w:sz w:val="24"/>
          <w:szCs w:val="24"/>
        </w:rPr>
        <w:t>主要得益于需求端的持续旺盛以及核心品类的强劲增长动能，我们坚信这一良好势头将得以持续。</w:t>
      </w:r>
    </w:p>
    <w:p w14:paraId="62B728EF" w14:textId="077D4125"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公司特种品业务的核心增量主要来自两大板块：一是反刍动物类产品：作为公司特种品的核心支柱，</w:t>
      </w:r>
      <w:r w:rsidR="00C10CEC">
        <w:rPr>
          <w:rFonts w:ascii="Times New Roman" w:eastAsia="楷体" w:hAnsi="Times New Roman" w:hint="eastAsia"/>
          <w:color w:val="5B9BD5" w:themeColor="accent1"/>
          <w:sz w:val="24"/>
          <w:szCs w:val="24"/>
        </w:rPr>
        <w:t>我们</w:t>
      </w:r>
      <w:r w:rsidR="006F58F6">
        <w:rPr>
          <w:rFonts w:ascii="Times New Roman" w:eastAsia="楷体" w:hAnsi="Times New Roman" w:hint="eastAsia"/>
          <w:color w:val="5B9BD5" w:themeColor="accent1"/>
          <w:sz w:val="24"/>
          <w:szCs w:val="24"/>
        </w:rPr>
        <w:t>依托</w:t>
      </w:r>
      <w:r>
        <w:rPr>
          <w:rFonts w:ascii="Times New Roman" w:eastAsia="楷体" w:hAnsi="Times New Roman"/>
          <w:color w:val="5B9BD5" w:themeColor="accent1"/>
          <w:sz w:val="24"/>
          <w:szCs w:val="24"/>
        </w:rPr>
        <w:t>领先的反刍动物包被技术，产品在提高牛奶质量和产量、改善奶牛整体健康状况方面成效显著。计划</w:t>
      </w:r>
      <w:r>
        <w:rPr>
          <w:rFonts w:ascii="Times New Roman" w:eastAsia="楷体" w:hAnsi="Times New Roman"/>
          <w:color w:val="5B9BD5" w:themeColor="accent1"/>
          <w:sz w:val="24"/>
          <w:szCs w:val="24"/>
        </w:rPr>
        <w:t>2026</w:t>
      </w:r>
      <w:r>
        <w:rPr>
          <w:rFonts w:ascii="Times New Roman" w:eastAsia="楷体" w:hAnsi="Times New Roman"/>
          <w:color w:val="5B9BD5" w:themeColor="accent1"/>
          <w:sz w:val="24"/>
          <w:szCs w:val="24"/>
        </w:rPr>
        <w:t>年下半年推出的新产品将助其进一步提升销售表现。目前，北美及欧洲地区反刍动物业务增长势头良好，中国市场已初现复苏迹象。二是提升动物健康类产品：以有机硒、益生菌、植物提取物为代表的动物健康产品需求增长坚实。这类产品能够有效提升动物健康水平与生产效率，契合行业对高效养殖的核心诉求，市场需求持续旺盛。而在国内市场，安迪苏凭借</w:t>
      </w:r>
      <w:r w:rsidR="00A77801">
        <w:rPr>
          <w:rFonts w:ascii="Times New Roman" w:eastAsia="楷体" w:hAnsi="Times New Roman" w:hint="eastAsia"/>
          <w:color w:val="5B9BD5" w:themeColor="accent1"/>
          <w:sz w:val="24"/>
          <w:szCs w:val="24"/>
        </w:rPr>
        <w:t>研、</w:t>
      </w:r>
      <w:r>
        <w:rPr>
          <w:rFonts w:ascii="Times New Roman" w:eastAsia="楷体" w:hAnsi="Times New Roman"/>
          <w:color w:val="5B9BD5" w:themeColor="accent1"/>
          <w:sz w:val="24"/>
          <w:szCs w:val="24"/>
        </w:rPr>
        <w:t>产、</w:t>
      </w:r>
      <w:r>
        <w:rPr>
          <w:rFonts w:ascii="Times New Roman" w:eastAsia="楷体" w:hAnsi="Times New Roman" w:hint="eastAsia"/>
          <w:color w:val="5B9BD5" w:themeColor="accent1"/>
          <w:sz w:val="24"/>
          <w:szCs w:val="24"/>
        </w:rPr>
        <w:t>销</w:t>
      </w:r>
      <w:r>
        <w:rPr>
          <w:rFonts w:ascii="Times New Roman" w:eastAsia="楷体" w:hAnsi="Times New Roman"/>
          <w:color w:val="5B9BD5" w:themeColor="accent1"/>
          <w:sz w:val="24"/>
          <w:szCs w:val="24"/>
        </w:rPr>
        <w:t>一体的优势，积极向市场推出符合中国市场需求，尤其以帮助下游客户提高生产效率为主的特种饲料添加剂，亦实现了强劲增长。</w:t>
      </w:r>
    </w:p>
    <w:p w14:paraId="44238314" w14:textId="06306B62" w:rsidR="0003700E" w:rsidRDefault="009F396C" w:rsidP="0003700E">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总体而言，源于安迪苏超过</w:t>
      </w:r>
      <w:r>
        <w:rPr>
          <w:rFonts w:ascii="Times New Roman" w:eastAsia="楷体" w:hAnsi="Times New Roman"/>
          <w:color w:val="5B9BD5" w:themeColor="accent1"/>
          <w:sz w:val="24"/>
          <w:szCs w:val="24"/>
        </w:rPr>
        <w:t>85</w:t>
      </w:r>
      <w:r>
        <w:rPr>
          <w:rFonts w:ascii="Times New Roman" w:eastAsia="楷体" w:hAnsi="Times New Roman"/>
          <w:color w:val="5B9BD5" w:themeColor="accent1"/>
          <w:sz w:val="24"/>
          <w:szCs w:val="24"/>
        </w:rPr>
        <w:t>年的动物营养与健康的行业经验</w:t>
      </w:r>
      <w:r w:rsidR="0042292A">
        <w:rPr>
          <w:rFonts w:ascii="Times New Roman" w:eastAsia="楷体" w:hAnsi="Times New Roman" w:hint="eastAsia"/>
          <w:color w:val="5B9BD5" w:themeColor="accent1"/>
          <w:sz w:val="24"/>
          <w:szCs w:val="24"/>
        </w:rPr>
        <w:t>、</w:t>
      </w:r>
      <w:r>
        <w:rPr>
          <w:rFonts w:ascii="Times New Roman" w:eastAsia="楷体" w:hAnsi="Times New Roman"/>
          <w:color w:val="5B9BD5" w:themeColor="accent1"/>
          <w:sz w:val="24"/>
          <w:szCs w:val="24"/>
        </w:rPr>
        <w:t>公司对于特种品市场需求不断的挖掘和对于市场的引导和培育，伴随特种品新产品的加速推出</w:t>
      </w:r>
      <w:r w:rsidR="0042292A">
        <w:rPr>
          <w:rFonts w:ascii="Times New Roman" w:eastAsia="楷体" w:hAnsi="Times New Roman" w:hint="eastAsia"/>
          <w:color w:val="5B9BD5" w:themeColor="accent1"/>
          <w:sz w:val="24"/>
          <w:szCs w:val="24"/>
        </w:rPr>
        <w:t>、</w:t>
      </w:r>
      <w:r>
        <w:rPr>
          <w:rFonts w:ascii="Times New Roman" w:eastAsia="楷体" w:hAnsi="Times New Roman"/>
          <w:color w:val="5B9BD5" w:themeColor="accent1"/>
          <w:sz w:val="24"/>
          <w:szCs w:val="24"/>
        </w:rPr>
        <w:t>现有产品价格的不断优化</w:t>
      </w:r>
      <w:r w:rsidR="0042292A">
        <w:rPr>
          <w:rFonts w:ascii="Times New Roman" w:eastAsia="楷体" w:hAnsi="Times New Roman" w:hint="eastAsia"/>
          <w:color w:val="5B9BD5" w:themeColor="accent1"/>
          <w:sz w:val="24"/>
          <w:szCs w:val="24"/>
        </w:rPr>
        <w:t>和</w:t>
      </w:r>
      <w:r>
        <w:rPr>
          <w:rFonts w:ascii="Times New Roman" w:eastAsia="楷体" w:hAnsi="Times New Roman"/>
          <w:color w:val="5B9BD5" w:themeColor="accent1"/>
          <w:sz w:val="24"/>
          <w:szCs w:val="24"/>
        </w:rPr>
        <w:t>特种品生产布局的不断完善，公司对</w:t>
      </w:r>
      <w:r>
        <w:rPr>
          <w:rFonts w:ascii="Times New Roman" w:eastAsia="楷体" w:hAnsi="Times New Roman"/>
          <w:color w:val="5B9BD5" w:themeColor="accent1"/>
          <w:sz w:val="24"/>
          <w:szCs w:val="24"/>
        </w:rPr>
        <w:t>2026</w:t>
      </w:r>
      <w:r>
        <w:rPr>
          <w:rFonts w:ascii="Times New Roman" w:eastAsia="楷体" w:hAnsi="Times New Roman"/>
          <w:color w:val="5B9BD5" w:themeColor="accent1"/>
          <w:sz w:val="24"/>
          <w:szCs w:val="24"/>
        </w:rPr>
        <w:t>年的特种品业务有盈利的增长充满信心。</w:t>
      </w:r>
    </w:p>
    <w:p w14:paraId="16CC2A26" w14:textId="77777777" w:rsidR="00515E2F" w:rsidRDefault="00515E2F" w:rsidP="00515E2F">
      <w:pPr>
        <w:pStyle w:val="af1"/>
        <w:ind w:left="874" w:firstLineChars="0" w:firstLine="0"/>
        <w:rPr>
          <w:rFonts w:ascii="Times New Roman" w:eastAsia="楷体" w:hAnsi="Times New Roman"/>
          <w:color w:val="5B9BD5" w:themeColor="accent1"/>
          <w:sz w:val="24"/>
          <w:szCs w:val="24"/>
        </w:rPr>
      </w:pPr>
    </w:p>
    <w:p w14:paraId="62B728F3" w14:textId="7C44C12E" w:rsidR="009904B7" w:rsidRPr="0003700E" w:rsidRDefault="009F396C" w:rsidP="00C10CEC">
      <w:pPr>
        <w:pStyle w:val="af1"/>
        <w:numPr>
          <w:ilvl w:val="3"/>
          <w:numId w:val="2"/>
        </w:numPr>
        <w:ind w:left="504" w:firstLineChars="0"/>
        <w:rPr>
          <w:rFonts w:ascii="Times New Roman" w:eastAsia="楷体" w:hAnsi="Times New Roman"/>
          <w:color w:val="5B9BD5" w:themeColor="accent1"/>
          <w:sz w:val="24"/>
          <w:szCs w:val="24"/>
        </w:rPr>
      </w:pPr>
      <w:r w:rsidRPr="0003700E">
        <w:rPr>
          <w:rFonts w:ascii="Times New Roman" w:eastAsia="楷体" w:hAnsi="Times New Roman"/>
          <w:sz w:val="24"/>
          <w:szCs w:val="24"/>
        </w:rPr>
        <w:t>关于探索宠物市场，公司具体如何考量及后续计划？</w:t>
      </w:r>
      <w:r w:rsidRPr="0003700E">
        <w:rPr>
          <w:rFonts w:ascii="Times New Roman" w:eastAsia="楷体" w:hAnsi="Times New Roman"/>
          <w:sz w:val="24"/>
          <w:szCs w:val="24"/>
        </w:rPr>
        <w:t> </w:t>
      </w:r>
    </w:p>
    <w:p w14:paraId="62B728F5" w14:textId="77017C1A"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针对宠物市场的探索布局，我们正处于战略启动的初期阶段，正稳步推进相关可行性研究。当前的核心工作，是聚焦现有饲料市场所应用的特种产品，深入论证其应用于宠物营养领域的适配性，科学评估其对宠物健康所能创造的积极价值。研发创新作为安迪苏的核心增长引擎，我们始终坚守严谨审慎的产品上市准则，唯有历经充分实验验证</w:t>
      </w:r>
      <w:r w:rsidR="00755AD3">
        <w:rPr>
          <w:rFonts w:ascii="Times New Roman" w:eastAsia="楷体" w:hAnsi="Times New Roman" w:hint="eastAsia"/>
          <w:color w:val="5B9BD5" w:themeColor="accent1"/>
          <w:sz w:val="24"/>
          <w:szCs w:val="24"/>
        </w:rPr>
        <w:t>，</w:t>
      </w:r>
      <w:r>
        <w:rPr>
          <w:rFonts w:ascii="Times New Roman" w:eastAsia="楷体" w:hAnsi="Times New Roman"/>
          <w:color w:val="5B9BD5" w:themeColor="accent1"/>
          <w:sz w:val="24"/>
          <w:szCs w:val="24"/>
        </w:rPr>
        <w:t>明确价值成效后，方能正式推向市场。</w:t>
      </w:r>
    </w:p>
    <w:p w14:paraId="2449B8DD" w14:textId="77777777" w:rsidR="00515E2F" w:rsidRDefault="00515E2F" w:rsidP="00515E2F">
      <w:pPr>
        <w:pStyle w:val="af1"/>
        <w:ind w:left="874" w:firstLineChars="0" w:firstLine="0"/>
        <w:rPr>
          <w:rFonts w:ascii="Times New Roman" w:eastAsia="楷体" w:hAnsi="Times New Roman"/>
          <w:color w:val="5B9BD5" w:themeColor="accent1"/>
          <w:sz w:val="24"/>
          <w:szCs w:val="24"/>
        </w:rPr>
      </w:pPr>
    </w:p>
    <w:p w14:paraId="62B728F8" w14:textId="6E08BD08" w:rsidR="009904B7" w:rsidRPr="00F138BE" w:rsidRDefault="009F396C" w:rsidP="00C10CEC">
      <w:pPr>
        <w:pStyle w:val="af1"/>
        <w:numPr>
          <w:ilvl w:val="3"/>
          <w:numId w:val="2"/>
        </w:numPr>
        <w:ind w:left="504" w:firstLineChars="0"/>
        <w:rPr>
          <w:rFonts w:ascii="Times New Roman" w:eastAsia="楷体" w:hAnsi="Times New Roman"/>
          <w:sz w:val="24"/>
          <w:szCs w:val="24"/>
        </w:rPr>
      </w:pPr>
      <w:r w:rsidRPr="00F138BE">
        <w:rPr>
          <w:rFonts w:ascii="Times New Roman" w:eastAsia="楷体" w:hAnsi="Times New Roman"/>
          <w:sz w:val="24"/>
          <w:szCs w:val="24"/>
        </w:rPr>
        <w:t>公司降本工作的举措</w:t>
      </w:r>
      <w:r w:rsidRPr="00F138BE">
        <w:rPr>
          <w:rFonts w:ascii="Times New Roman" w:eastAsia="楷体" w:hAnsi="Times New Roman"/>
          <w:sz w:val="24"/>
          <w:szCs w:val="24"/>
        </w:rPr>
        <w:t>?   </w:t>
      </w:r>
    </w:p>
    <w:p w14:paraId="62B728FE" w14:textId="77777777"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就动物营养行业而言，当前市场竞争态势愈发激烈，成本管控能力已成为企业核心竞争力的关键所在。过去数年，安迪苏始终将成本领先作为核心战略，持续深耕降本增效工作。具体而言，我们的降本举措主要围绕三大维度推进：</w:t>
      </w:r>
    </w:p>
    <w:p w14:paraId="62B728FF" w14:textId="77777777"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第一，</w:t>
      </w:r>
      <w:r>
        <w:rPr>
          <w:rFonts w:ascii="Times New Roman" w:eastAsia="楷体" w:hAnsi="Times New Roman" w:hint="eastAsia"/>
          <w:color w:val="5B9BD5" w:themeColor="accent1"/>
          <w:sz w:val="24"/>
          <w:szCs w:val="24"/>
        </w:rPr>
        <w:t>压降</w:t>
      </w:r>
      <w:r>
        <w:rPr>
          <w:rFonts w:ascii="Times New Roman" w:eastAsia="楷体" w:hAnsi="Times New Roman"/>
          <w:color w:val="5B9BD5" w:themeColor="accent1"/>
          <w:sz w:val="24"/>
          <w:szCs w:val="24"/>
        </w:rPr>
        <w:t>原料与能耗成本。充分借助股东中化集团的平台协同优势，实现资源高效整合，获取更具竞争力的原料与能源价格。在欧洲市场，我们正着手对战略采购协议开展系统性重谈，通过优化采购条款，</w:t>
      </w:r>
      <w:r>
        <w:rPr>
          <w:rFonts w:ascii="Times New Roman" w:eastAsia="楷体" w:hAnsi="Times New Roman" w:hint="eastAsia"/>
          <w:color w:val="5B9BD5" w:themeColor="accent1"/>
          <w:sz w:val="24"/>
          <w:szCs w:val="24"/>
        </w:rPr>
        <w:t>降低</w:t>
      </w:r>
      <w:r>
        <w:rPr>
          <w:rFonts w:ascii="Times New Roman" w:eastAsia="楷体" w:hAnsi="Times New Roman"/>
          <w:color w:val="5B9BD5" w:themeColor="accent1"/>
          <w:sz w:val="24"/>
          <w:szCs w:val="24"/>
        </w:rPr>
        <w:t>原料与能耗成本。</w:t>
      </w:r>
    </w:p>
    <w:p w14:paraId="62B72900" w14:textId="77777777"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第二，深耕原料与能耗的使用效率提升。</w:t>
      </w:r>
      <w:r>
        <w:rPr>
          <w:rFonts w:ascii="Times New Roman" w:eastAsia="楷体" w:hAnsi="Times New Roman"/>
          <w:color w:val="5B9BD5" w:themeColor="accent1"/>
          <w:sz w:val="24"/>
          <w:szCs w:val="24"/>
        </w:rPr>
        <w:t xml:space="preserve"> </w:t>
      </w:r>
      <w:r>
        <w:rPr>
          <w:rFonts w:ascii="Times New Roman" w:eastAsia="楷体" w:hAnsi="Times New Roman"/>
          <w:color w:val="5B9BD5" w:themeColor="accent1"/>
          <w:sz w:val="24"/>
          <w:szCs w:val="24"/>
        </w:rPr>
        <w:t>安迪苏始终将研发创新与工艺优化作为降本的核心驱动力，持续通过技术升级降低单位原料及能</w:t>
      </w:r>
      <w:r>
        <w:rPr>
          <w:rFonts w:ascii="Times New Roman" w:eastAsia="楷体" w:hAnsi="Times New Roman"/>
          <w:color w:val="5B9BD5" w:themeColor="accent1"/>
          <w:sz w:val="24"/>
          <w:szCs w:val="24"/>
        </w:rPr>
        <w:lastRenderedPageBreak/>
        <w:t>源消耗。南京工厂正全面落地数字化改造项目，并积极探索人工智能技术应用，以智能化手段优化生产流程，降低单耗水平。同时，我们大力推进蒸汽发电、废水循环利用等重大技改项目，从源头减少资源耗用。在欧洲平台，我们同步推进专项工艺改进项目，通过技术革新，切实提升原料与能耗的利用效率。</w:t>
      </w:r>
    </w:p>
    <w:p w14:paraId="62B72901" w14:textId="740B52B2"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第三，强化全流程费用的精细化管控。我们坚持对各项费用进行深度拆解与精准挖潜，依托六西格玛管理、绿色低碳项目等工具，实现费用的刚性管控。在产能扩张过程中，我们注重通过规模效应实现降本增效。此外，我们持续优化供应链管理体系，不仅强化价格谈判，更通过提升运输效率、优化仓储布局，实现供应</w:t>
      </w:r>
      <w:proofErr w:type="gramStart"/>
      <w:r>
        <w:rPr>
          <w:rFonts w:ascii="Times New Roman" w:eastAsia="楷体" w:hAnsi="Times New Roman"/>
          <w:color w:val="5B9BD5" w:themeColor="accent1"/>
          <w:sz w:val="24"/>
          <w:szCs w:val="24"/>
        </w:rPr>
        <w:t>链成本</w:t>
      </w:r>
      <w:proofErr w:type="gramEnd"/>
      <w:r>
        <w:rPr>
          <w:rFonts w:ascii="Times New Roman" w:eastAsia="楷体" w:hAnsi="Times New Roman"/>
          <w:color w:val="5B9BD5" w:themeColor="accent1"/>
          <w:sz w:val="24"/>
          <w:szCs w:val="24"/>
        </w:rPr>
        <w:t>的整体压降。同时，在日常运维、销售及管理费用管控方面，我们建立</w:t>
      </w:r>
      <w:proofErr w:type="gramStart"/>
      <w:r>
        <w:rPr>
          <w:rFonts w:ascii="Times New Roman" w:eastAsia="楷体" w:hAnsi="Times New Roman"/>
          <w:color w:val="5B9BD5" w:themeColor="accent1"/>
          <w:sz w:val="24"/>
          <w:szCs w:val="24"/>
        </w:rPr>
        <w:t>多维度管控</w:t>
      </w:r>
      <w:proofErr w:type="gramEnd"/>
      <w:r>
        <w:rPr>
          <w:rFonts w:ascii="Times New Roman" w:eastAsia="楷体" w:hAnsi="Times New Roman"/>
          <w:color w:val="5B9BD5" w:themeColor="accent1"/>
          <w:sz w:val="24"/>
          <w:szCs w:val="24"/>
        </w:rPr>
        <w:t>机制，推动费用使用效率与价值创造最大化。值得一提的是，公司持续推进</w:t>
      </w:r>
      <w:r w:rsidR="005D4831">
        <w:rPr>
          <w:rFonts w:ascii="Times New Roman" w:eastAsia="楷体" w:hAnsi="Times New Roman" w:hint="eastAsia"/>
          <w:color w:val="5B9BD5" w:themeColor="accent1"/>
          <w:sz w:val="24"/>
          <w:szCs w:val="24"/>
        </w:rPr>
        <w:t>“</w:t>
      </w:r>
      <w:r>
        <w:rPr>
          <w:rFonts w:ascii="Times New Roman" w:eastAsia="楷体" w:hAnsi="Times New Roman"/>
          <w:color w:val="5B9BD5" w:themeColor="accent1"/>
          <w:sz w:val="24"/>
          <w:szCs w:val="24"/>
        </w:rPr>
        <w:t>雄鹰项目</w:t>
      </w:r>
      <w:r w:rsidR="005D4831">
        <w:rPr>
          <w:rFonts w:ascii="Times New Roman" w:eastAsia="楷体" w:hAnsi="Times New Roman" w:hint="eastAsia"/>
          <w:color w:val="5B9BD5" w:themeColor="accent1"/>
          <w:sz w:val="24"/>
          <w:szCs w:val="24"/>
        </w:rPr>
        <w:t>”</w:t>
      </w:r>
      <w:r>
        <w:rPr>
          <w:rFonts w:ascii="Times New Roman" w:eastAsia="楷体" w:hAnsi="Times New Roman"/>
          <w:color w:val="5B9BD5" w:themeColor="accent1"/>
          <w:sz w:val="24"/>
          <w:szCs w:val="24"/>
        </w:rPr>
        <w:t>，过去七年累计实现降本约</w:t>
      </w:r>
      <w:r>
        <w:rPr>
          <w:rFonts w:ascii="Times New Roman" w:eastAsia="楷体" w:hAnsi="Times New Roman"/>
          <w:color w:val="5B9BD5" w:themeColor="accent1"/>
          <w:sz w:val="24"/>
          <w:szCs w:val="24"/>
        </w:rPr>
        <w:t>12</w:t>
      </w:r>
      <w:r>
        <w:rPr>
          <w:rFonts w:ascii="Times New Roman" w:eastAsia="楷体" w:hAnsi="Times New Roman"/>
          <w:color w:val="5B9BD5" w:themeColor="accent1"/>
          <w:sz w:val="24"/>
          <w:szCs w:val="24"/>
        </w:rPr>
        <w:t>亿元人民币。</w:t>
      </w:r>
    </w:p>
    <w:p w14:paraId="62B72902" w14:textId="77777777"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综上，通过在价格管控、资源耗用优化及费用精细化管理上的全面发力，</w:t>
      </w:r>
      <w:r>
        <w:rPr>
          <w:rFonts w:ascii="Times New Roman" w:eastAsia="楷体" w:hAnsi="Times New Roman" w:hint="eastAsia"/>
          <w:color w:val="5B9BD5" w:themeColor="accent1"/>
          <w:sz w:val="24"/>
          <w:szCs w:val="24"/>
        </w:rPr>
        <w:t>促进</w:t>
      </w:r>
      <w:r>
        <w:rPr>
          <w:rFonts w:ascii="Times New Roman" w:eastAsia="楷体" w:hAnsi="Times New Roman"/>
          <w:color w:val="5B9BD5" w:themeColor="accent1"/>
          <w:sz w:val="24"/>
          <w:szCs w:val="24"/>
        </w:rPr>
        <w:t>安迪苏在激烈的市场竞争中保持领先地位。</w:t>
      </w:r>
    </w:p>
    <w:p w14:paraId="7CC795E7" w14:textId="77777777" w:rsidR="00515E2F" w:rsidRDefault="00515E2F" w:rsidP="00515E2F">
      <w:pPr>
        <w:pStyle w:val="af1"/>
        <w:ind w:left="874" w:firstLineChars="0" w:firstLine="0"/>
        <w:rPr>
          <w:rFonts w:ascii="Times New Roman" w:eastAsia="楷体" w:hAnsi="Times New Roman"/>
          <w:color w:val="5B9BD5" w:themeColor="accent1"/>
          <w:sz w:val="24"/>
          <w:szCs w:val="24"/>
        </w:rPr>
      </w:pPr>
    </w:p>
    <w:p w14:paraId="62B72905" w14:textId="73EB6179" w:rsidR="009904B7" w:rsidRPr="00134C50" w:rsidRDefault="009F396C" w:rsidP="00C10CEC">
      <w:pPr>
        <w:pStyle w:val="af1"/>
        <w:numPr>
          <w:ilvl w:val="3"/>
          <w:numId w:val="2"/>
        </w:numPr>
        <w:ind w:left="504" w:firstLineChars="0"/>
        <w:rPr>
          <w:rFonts w:ascii="Times New Roman" w:eastAsia="楷体" w:hAnsi="Times New Roman"/>
          <w:sz w:val="24"/>
          <w:szCs w:val="24"/>
        </w:rPr>
      </w:pPr>
      <w:r w:rsidRPr="00134C50">
        <w:rPr>
          <w:rFonts w:ascii="Times New Roman" w:eastAsia="楷体" w:hAnsi="Times New Roman"/>
          <w:sz w:val="24"/>
          <w:szCs w:val="24"/>
        </w:rPr>
        <w:t>2026</w:t>
      </w:r>
      <w:r w:rsidRPr="00134C50">
        <w:rPr>
          <w:rFonts w:ascii="Times New Roman" w:eastAsia="楷体" w:hAnsi="Times New Roman"/>
          <w:sz w:val="24"/>
          <w:szCs w:val="24"/>
        </w:rPr>
        <w:t>年业绩展望</w:t>
      </w:r>
      <w:r w:rsidRPr="00134C50">
        <w:rPr>
          <w:rFonts w:ascii="Times New Roman" w:eastAsia="楷体" w:hAnsi="Times New Roman"/>
          <w:sz w:val="24"/>
          <w:szCs w:val="24"/>
        </w:rPr>
        <w:t>    </w:t>
      </w:r>
    </w:p>
    <w:p w14:paraId="62B72908" w14:textId="71706122"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安全和</w:t>
      </w:r>
      <w:proofErr w:type="gramStart"/>
      <w:r>
        <w:rPr>
          <w:rFonts w:ascii="Times New Roman" w:eastAsia="楷体" w:hAnsi="Times New Roman"/>
          <w:color w:val="5B9BD5" w:themeColor="accent1"/>
          <w:sz w:val="24"/>
          <w:szCs w:val="24"/>
        </w:rPr>
        <w:t>可</w:t>
      </w:r>
      <w:proofErr w:type="gramEnd"/>
      <w:r>
        <w:rPr>
          <w:rFonts w:ascii="Times New Roman" w:eastAsia="楷体" w:hAnsi="Times New Roman"/>
          <w:color w:val="5B9BD5" w:themeColor="accent1"/>
          <w:sz w:val="24"/>
          <w:szCs w:val="24"/>
        </w:rPr>
        <w:t>持续性仍然是安迪苏管理的重中之重。在地缘政治压力不断加大的背景下，市场波动性和不确定性预计将持续存在。市场需求预计将保持强劲，但未来新增的蛋氨酸产能进入市场使得行业竞争更加激烈。安迪苏将充分利用其全球化的运营能力</w:t>
      </w:r>
      <w:r w:rsidR="0008636D">
        <w:rPr>
          <w:rFonts w:ascii="Times New Roman" w:eastAsia="楷体" w:hAnsi="Times New Roman" w:hint="eastAsia"/>
          <w:color w:val="5B9BD5" w:themeColor="accent1"/>
          <w:sz w:val="24"/>
          <w:szCs w:val="24"/>
        </w:rPr>
        <w:t>、</w:t>
      </w:r>
      <w:r>
        <w:rPr>
          <w:rFonts w:ascii="Times New Roman" w:eastAsia="楷体" w:hAnsi="Times New Roman"/>
          <w:color w:val="5B9BD5" w:themeColor="accent1"/>
          <w:sz w:val="24"/>
          <w:szCs w:val="24"/>
        </w:rPr>
        <w:t>销售网络以及一流的客户服务，快速响应客户需求，实现盈利水平最大化。</w:t>
      </w:r>
    </w:p>
    <w:p w14:paraId="62B72909" w14:textId="7F4B59E5" w:rsidR="009904B7" w:rsidRDefault="009F396C">
      <w:pPr>
        <w:pStyle w:val="af1"/>
        <w:numPr>
          <w:ilvl w:val="0"/>
          <w:numId w:val="4"/>
        </w:numPr>
        <w:ind w:firstLineChars="0"/>
        <w:rPr>
          <w:rFonts w:ascii="Times New Roman" w:eastAsia="楷体" w:hAnsi="Times New Roman"/>
          <w:color w:val="5B9BD5" w:themeColor="accent1"/>
          <w:sz w:val="24"/>
          <w:szCs w:val="24"/>
        </w:rPr>
      </w:pPr>
      <w:r>
        <w:rPr>
          <w:rFonts w:ascii="Times New Roman" w:eastAsia="楷体" w:hAnsi="Times New Roman"/>
          <w:color w:val="5B9BD5" w:themeColor="accent1"/>
          <w:sz w:val="24"/>
          <w:szCs w:val="24"/>
        </w:rPr>
        <w:t>公司业务预计将凭借以下举措的成功实施，继续保持良好的经营势头：通过提升主要工厂的运营绩效和新建的固体蛋氨</w:t>
      </w:r>
      <w:proofErr w:type="gramStart"/>
      <w:r>
        <w:rPr>
          <w:rFonts w:ascii="Times New Roman" w:eastAsia="楷体" w:hAnsi="Times New Roman"/>
          <w:color w:val="5B9BD5" w:themeColor="accent1"/>
          <w:sz w:val="24"/>
          <w:szCs w:val="24"/>
        </w:rPr>
        <w:t>酸工厂</w:t>
      </w:r>
      <w:proofErr w:type="gramEnd"/>
      <w:r>
        <w:rPr>
          <w:rFonts w:ascii="Times New Roman" w:eastAsia="楷体" w:hAnsi="Times New Roman"/>
          <w:color w:val="5B9BD5" w:themeColor="accent1"/>
          <w:sz w:val="24"/>
          <w:szCs w:val="24"/>
        </w:rPr>
        <w:t>不断扩充蛋氨酸产能，以持续支持公司进一步提升蛋氨</w:t>
      </w:r>
      <w:proofErr w:type="gramStart"/>
      <w:r>
        <w:rPr>
          <w:rFonts w:ascii="Times New Roman" w:eastAsia="楷体" w:hAnsi="Times New Roman"/>
          <w:color w:val="5B9BD5" w:themeColor="accent1"/>
          <w:sz w:val="24"/>
          <w:szCs w:val="24"/>
        </w:rPr>
        <w:t>酸产品</w:t>
      </w:r>
      <w:proofErr w:type="gramEnd"/>
      <w:r>
        <w:rPr>
          <w:rFonts w:ascii="Times New Roman" w:eastAsia="楷体" w:hAnsi="Times New Roman"/>
          <w:color w:val="5B9BD5" w:themeColor="accent1"/>
          <w:sz w:val="24"/>
          <w:szCs w:val="24"/>
        </w:rPr>
        <w:t>销量；对蛋氨</w:t>
      </w:r>
      <w:proofErr w:type="gramStart"/>
      <w:r>
        <w:rPr>
          <w:rFonts w:ascii="Times New Roman" w:eastAsia="楷体" w:hAnsi="Times New Roman"/>
          <w:color w:val="5B9BD5" w:themeColor="accent1"/>
          <w:sz w:val="24"/>
          <w:szCs w:val="24"/>
        </w:rPr>
        <w:t>酸产品</w:t>
      </w:r>
      <w:proofErr w:type="gramEnd"/>
      <w:r>
        <w:rPr>
          <w:rFonts w:ascii="Times New Roman" w:eastAsia="楷体" w:hAnsi="Times New Roman"/>
          <w:color w:val="5B9BD5" w:themeColor="accent1"/>
          <w:sz w:val="24"/>
          <w:szCs w:val="24"/>
        </w:rPr>
        <w:t>开展灵活机动的价格管理；中国和欧洲生产平台使安迪苏可以灵活优化全球供应成本以应对地缘政治危机；</w:t>
      </w:r>
      <w:r w:rsidR="0008636D">
        <w:rPr>
          <w:rFonts w:ascii="Times New Roman" w:eastAsia="楷体" w:hAnsi="Times New Roman"/>
          <w:color w:val="5B9BD5" w:themeColor="accent1"/>
          <w:sz w:val="24"/>
          <w:szCs w:val="24"/>
        </w:rPr>
        <w:t>针对运营表现仍有提升空间的工厂和业务</w:t>
      </w:r>
      <w:r w:rsidR="0008636D">
        <w:rPr>
          <w:rFonts w:ascii="Times New Roman" w:eastAsia="楷体" w:hAnsi="Times New Roman" w:hint="eastAsia"/>
          <w:color w:val="5B9BD5" w:themeColor="accent1"/>
          <w:sz w:val="24"/>
          <w:szCs w:val="24"/>
        </w:rPr>
        <w:t>，</w:t>
      </w:r>
      <w:r>
        <w:rPr>
          <w:rFonts w:ascii="Times New Roman" w:eastAsia="楷体" w:hAnsi="Times New Roman"/>
          <w:color w:val="5B9BD5" w:themeColor="accent1"/>
          <w:sz w:val="24"/>
          <w:szCs w:val="24"/>
        </w:rPr>
        <w:t>继续高效开展运营效率提升计划；推行积极主动的产品价格组合管理来提升盈利能力，并通过加速推出新品来促进特种产品业务发展。同时，安迪苏将为未来增长持续投入：强化研发与创新力度，例如在中国、欧洲建立中试基地等，持续优化生产工艺，加速打造兼具可持续性与创新性的产品解决方案；依托人工智能技术能力，加速数字化转型进程。</w:t>
      </w:r>
    </w:p>
    <w:p w14:paraId="62B7290A" w14:textId="77777777" w:rsidR="009904B7" w:rsidRDefault="009904B7">
      <w:pPr>
        <w:pStyle w:val="af1"/>
        <w:spacing w:after="160" w:line="278" w:lineRule="auto"/>
        <w:ind w:left="800" w:firstLineChars="0" w:firstLine="0"/>
        <w:contextualSpacing/>
        <w:rPr>
          <w:rFonts w:ascii="Times New Roman" w:eastAsia="楷体" w:hAnsi="Times New Roman"/>
          <w:color w:val="5B9BD5" w:themeColor="accent1"/>
          <w:sz w:val="24"/>
        </w:rPr>
      </w:pPr>
    </w:p>
    <w:p w14:paraId="62B7290B" w14:textId="77777777" w:rsidR="009904B7" w:rsidRDefault="009904B7">
      <w:pPr>
        <w:pStyle w:val="af1"/>
        <w:spacing w:line="278" w:lineRule="auto"/>
        <w:ind w:left="800" w:firstLineChars="0" w:firstLine="0"/>
        <w:contextualSpacing/>
        <w:rPr>
          <w:rFonts w:ascii="Times New Roman" w:eastAsia="楷体" w:hAnsi="Times New Roman"/>
          <w:color w:val="5B9BD5" w:themeColor="accent1"/>
          <w:sz w:val="24"/>
        </w:rPr>
      </w:pPr>
    </w:p>
    <w:p w14:paraId="62B7290C" w14:textId="77777777" w:rsidR="009904B7" w:rsidRDefault="009904B7">
      <w:pPr>
        <w:spacing w:after="0" w:line="240" w:lineRule="auto"/>
        <w:ind w:right="142"/>
        <w:jc w:val="right"/>
        <w:rPr>
          <w:rFonts w:ascii="Times New Roman" w:eastAsia="楷体" w:hAnsi="Times New Roman" w:cs="Times New Roman"/>
          <w:sz w:val="24"/>
          <w:szCs w:val="24"/>
        </w:rPr>
      </w:pPr>
    </w:p>
    <w:p w14:paraId="62B7290D" w14:textId="77777777" w:rsidR="009904B7" w:rsidRDefault="009904B7">
      <w:pPr>
        <w:spacing w:after="0" w:line="240" w:lineRule="auto"/>
        <w:ind w:right="142"/>
        <w:jc w:val="right"/>
        <w:rPr>
          <w:rFonts w:ascii="Times New Roman" w:eastAsia="楷体" w:hAnsi="Times New Roman" w:cs="Times New Roman"/>
          <w:sz w:val="24"/>
          <w:szCs w:val="24"/>
        </w:rPr>
      </w:pPr>
    </w:p>
    <w:p w14:paraId="62B7290E" w14:textId="77777777" w:rsidR="009904B7" w:rsidRDefault="009904B7">
      <w:pPr>
        <w:spacing w:after="0" w:line="240" w:lineRule="auto"/>
        <w:ind w:right="142"/>
        <w:jc w:val="right"/>
        <w:rPr>
          <w:rFonts w:ascii="Times New Roman" w:eastAsia="楷体" w:hAnsi="Times New Roman" w:cs="Times New Roman"/>
          <w:sz w:val="24"/>
          <w:szCs w:val="24"/>
        </w:rPr>
      </w:pPr>
    </w:p>
    <w:p w14:paraId="62B7290F" w14:textId="77777777" w:rsidR="009904B7" w:rsidRDefault="009F396C">
      <w:pPr>
        <w:spacing w:after="0" w:line="240" w:lineRule="auto"/>
        <w:ind w:right="142"/>
        <w:jc w:val="right"/>
        <w:rPr>
          <w:rFonts w:ascii="Times New Roman" w:eastAsia="楷体" w:hAnsi="Times New Roman" w:cs="Times New Roman"/>
          <w:sz w:val="24"/>
          <w:szCs w:val="24"/>
        </w:rPr>
      </w:pPr>
      <w:r>
        <w:rPr>
          <w:rFonts w:ascii="Times New Roman" w:eastAsia="楷体" w:hAnsi="Times New Roman" w:cs="Times New Roman"/>
          <w:sz w:val="24"/>
          <w:szCs w:val="24"/>
        </w:rPr>
        <w:t>蓝星安迪苏股份有限公司</w:t>
      </w:r>
    </w:p>
    <w:p w14:paraId="62B72910" w14:textId="77777777" w:rsidR="009904B7" w:rsidRDefault="009F396C">
      <w:pPr>
        <w:spacing w:after="0" w:line="240" w:lineRule="auto"/>
        <w:ind w:right="142"/>
        <w:jc w:val="right"/>
        <w:rPr>
          <w:rFonts w:ascii="Times New Roman" w:eastAsia="楷体" w:hAnsi="Times New Roman" w:cs="Times New Roman"/>
          <w:sz w:val="24"/>
          <w:szCs w:val="24"/>
          <w:lang w:val="en-US"/>
        </w:rPr>
      </w:pPr>
      <w:r>
        <w:rPr>
          <w:rFonts w:ascii="Times New Roman" w:eastAsia="楷体" w:hAnsi="Times New Roman" w:cs="Times New Roman"/>
          <w:sz w:val="24"/>
          <w:szCs w:val="24"/>
        </w:rPr>
        <w:t>2026</w:t>
      </w:r>
      <w:r>
        <w:rPr>
          <w:rFonts w:ascii="Times New Roman" w:eastAsia="楷体" w:hAnsi="Times New Roman" w:cs="Times New Roman"/>
          <w:sz w:val="24"/>
          <w:szCs w:val="24"/>
        </w:rPr>
        <w:t>年</w:t>
      </w:r>
      <w:r>
        <w:rPr>
          <w:rFonts w:ascii="Times New Roman" w:eastAsia="楷体" w:hAnsi="Times New Roman" w:cs="Times New Roman"/>
          <w:sz w:val="24"/>
          <w:szCs w:val="24"/>
        </w:rPr>
        <w:t>7</w:t>
      </w:r>
      <w:r>
        <w:rPr>
          <w:rFonts w:ascii="Times New Roman" w:eastAsia="楷体" w:hAnsi="Times New Roman" w:cs="Times New Roman"/>
          <w:sz w:val="24"/>
          <w:szCs w:val="24"/>
        </w:rPr>
        <w:t>月</w:t>
      </w:r>
      <w:r>
        <w:rPr>
          <w:rFonts w:ascii="Times New Roman" w:eastAsia="楷体" w:hAnsi="Times New Roman" w:cs="Times New Roman"/>
          <w:sz w:val="24"/>
          <w:szCs w:val="24"/>
        </w:rPr>
        <w:t>24</w:t>
      </w:r>
      <w:r>
        <w:rPr>
          <w:rFonts w:ascii="Times New Roman" w:eastAsia="楷体" w:hAnsi="Times New Roman" w:cs="Times New Roman"/>
          <w:sz w:val="24"/>
          <w:szCs w:val="24"/>
        </w:rPr>
        <w:t>日</w:t>
      </w:r>
      <w:r>
        <w:rPr>
          <w:rFonts w:ascii="Times New Roman" w:eastAsia="楷体" w:hAnsi="Times New Roman" w:cs="Times New Roman"/>
          <w:sz w:val="24"/>
          <w:szCs w:val="24"/>
          <w:lang w:val="en-US"/>
        </w:rPr>
        <w:br w:type="page"/>
      </w:r>
    </w:p>
    <w:p w14:paraId="62B72912" w14:textId="7383F4E3" w:rsidR="009904B7" w:rsidRPr="003F6CB8" w:rsidRDefault="009F396C">
      <w:pPr>
        <w:jc w:val="both"/>
        <w:rPr>
          <w:rFonts w:ascii="Times New Roman" w:eastAsia="楷体" w:hAnsi="Times New Roman" w:cs="Times New Roman"/>
          <w:sz w:val="24"/>
          <w:szCs w:val="24"/>
        </w:rPr>
      </w:pPr>
      <w:bookmarkStart w:id="0" w:name="_Hlk150434639"/>
      <w:r>
        <w:rPr>
          <w:rFonts w:ascii="Times New Roman" w:eastAsia="楷体" w:hAnsi="Times New Roman" w:cs="Times New Roman"/>
          <w:sz w:val="24"/>
          <w:szCs w:val="24"/>
        </w:rPr>
        <w:lastRenderedPageBreak/>
        <w:t>附件清单（排名不分先后）：</w:t>
      </w:r>
    </w:p>
    <w:tbl>
      <w:tblPr>
        <w:tblW w:w="7083"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66"/>
      </w:tblGrid>
      <w:tr w:rsidR="003F6CB8" w14:paraId="62B72917" w14:textId="77777777" w:rsidTr="003F6CB8">
        <w:trPr>
          <w:trHeight w:val="276"/>
        </w:trPr>
        <w:tc>
          <w:tcPr>
            <w:tcW w:w="817" w:type="dxa"/>
            <w:noWrap/>
            <w:vAlign w:val="center"/>
          </w:tcPr>
          <w:bookmarkEnd w:id="0"/>
          <w:p w14:paraId="62B72914" w14:textId="77777777" w:rsidR="003F6CB8" w:rsidRDefault="003F6CB8" w:rsidP="003F6CB8">
            <w:pPr>
              <w:spacing w:after="0" w:line="240" w:lineRule="auto"/>
              <w:rPr>
                <w:rFonts w:ascii="Times New Roman" w:eastAsia="楷体" w:hAnsi="Times New Roman" w:cs="Times New Roman"/>
                <w:sz w:val="24"/>
                <w:szCs w:val="24"/>
                <w:lang w:val="en-US"/>
              </w:rPr>
            </w:pPr>
            <w:r>
              <w:rPr>
                <w:rFonts w:ascii="Times New Roman" w:eastAsia="楷体" w:hAnsi="Times New Roman" w:cs="Times New Roman"/>
                <w:sz w:val="24"/>
                <w:szCs w:val="24"/>
                <w:lang w:val="en-US"/>
              </w:rPr>
              <w:t>序号</w:t>
            </w:r>
          </w:p>
        </w:tc>
        <w:tc>
          <w:tcPr>
            <w:tcW w:w="6266" w:type="dxa"/>
            <w:noWrap/>
            <w:vAlign w:val="center"/>
          </w:tcPr>
          <w:p w14:paraId="62B72915"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机构名称</w:t>
            </w:r>
          </w:p>
        </w:tc>
      </w:tr>
      <w:tr w:rsidR="003F6CB8" w14:paraId="62B7291B" w14:textId="77777777" w:rsidTr="003F6CB8">
        <w:trPr>
          <w:trHeight w:val="276"/>
        </w:trPr>
        <w:tc>
          <w:tcPr>
            <w:tcW w:w="817" w:type="dxa"/>
            <w:noWrap/>
            <w:vAlign w:val="center"/>
          </w:tcPr>
          <w:p w14:paraId="62B72918"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1</w:t>
            </w:r>
          </w:p>
        </w:tc>
        <w:tc>
          <w:tcPr>
            <w:tcW w:w="6266" w:type="dxa"/>
            <w:noWrap/>
          </w:tcPr>
          <w:p w14:paraId="62B72919"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sz w:val="24"/>
                <w:szCs w:val="24"/>
              </w:rPr>
              <w:t>开源证券</w:t>
            </w:r>
          </w:p>
        </w:tc>
      </w:tr>
      <w:tr w:rsidR="003F6CB8" w14:paraId="62B7291F" w14:textId="77777777" w:rsidTr="003F6CB8">
        <w:trPr>
          <w:trHeight w:val="276"/>
        </w:trPr>
        <w:tc>
          <w:tcPr>
            <w:tcW w:w="817" w:type="dxa"/>
            <w:noWrap/>
            <w:vAlign w:val="center"/>
          </w:tcPr>
          <w:p w14:paraId="62B7291C"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2</w:t>
            </w:r>
          </w:p>
        </w:tc>
        <w:tc>
          <w:tcPr>
            <w:tcW w:w="6266" w:type="dxa"/>
            <w:noWrap/>
          </w:tcPr>
          <w:p w14:paraId="62B7291D"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sz w:val="24"/>
                <w:szCs w:val="24"/>
              </w:rPr>
              <w:t>国信证券</w:t>
            </w:r>
          </w:p>
        </w:tc>
      </w:tr>
      <w:tr w:rsidR="003F6CB8" w14:paraId="62B72923" w14:textId="77777777" w:rsidTr="003F6CB8">
        <w:trPr>
          <w:trHeight w:val="276"/>
        </w:trPr>
        <w:tc>
          <w:tcPr>
            <w:tcW w:w="817" w:type="dxa"/>
            <w:noWrap/>
            <w:vAlign w:val="center"/>
          </w:tcPr>
          <w:p w14:paraId="62B72920"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3</w:t>
            </w:r>
          </w:p>
        </w:tc>
        <w:tc>
          <w:tcPr>
            <w:tcW w:w="6266" w:type="dxa"/>
            <w:noWrap/>
          </w:tcPr>
          <w:p w14:paraId="62B72921" w14:textId="77777777" w:rsidR="003F6CB8" w:rsidRDefault="003F6CB8" w:rsidP="003F6CB8">
            <w:pPr>
              <w:spacing w:after="0" w:line="240" w:lineRule="auto"/>
              <w:rPr>
                <w:rFonts w:ascii="Times New Roman" w:eastAsia="楷体" w:hAnsi="Times New Roman" w:cs="Times New Roman"/>
                <w:sz w:val="24"/>
                <w:szCs w:val="24"/>
              </w:rPr>
            </w:pPr>
            <w:r>
              <w:rPr>
                <w:rFonts w:ascii="Times New Roman" w:eastAsia="楷体" w:hAnsi="Times New Roman" w:cs="Times New Roman"/>
                <w:sz w:val="24"/>
                <w:szCs w:val="24"/>
              </w:rPr>
              <w:t>天风证券</w:t>
            </w:r>
          </w:p>
        </w:tc>
      </w:tr>
      <w:tr w:rsidR="003F6CB8" w14:paraId="62B72927" w14:textId="77777777" w:rsidTr="003F6CB8">
        <w:trPr>
          <w:trHeight w:val="276"/>
        </w:trPr>
        <w:tc>
          <w:tcPr>
            <w:tcW w:w="817" w:type="dxa"/>
            <w:noWrap/>
            <w:vAlign w:val="center"/>
          </w:tcPr>
          <w:p w14:paraId="62B72924"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4</w:t>
            </w:r>
          </w:p>
        </w:tc>
        <w:tc>
          <w:tcPr>
            <w:tcW w:w="6266" w:type="dxa"/>
            <w:noWrap/>
          </w:tcPr>
          <w:p w14:paraId="62B72925"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sz w:val="24"/>
                <w:szCs w:val="24"/>
              </w:rPr>
              <w:t>华西证券</w:t>
            </w:r>
          </w:p>
        </w:tc>
      </w:tr>
      <w:tr w:rsidR="003F6CB8" w14:paraId="62B7292B" w14:textId="77777777" w:rsidTr="003F6CB8">
        <w:trPr>
          <w:trHeight w:val="276"/>
        </w:trPr>
        <w:tc>
          <w:tcPr>
            <w:tcW w:w="817" w:type="dxa"/>
            <w:noWrap/>
            <w:vAlign w:val="center"/>
          </w:tcPr>
          <w:p w14:paraId="62B72928"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5</w:t>
            </w:r>
          </w:p>
        </w:tc>
        <w:tc>
          <w:tcPr>
            <w:tcW w:w="6266" w:type="dxa"/>
            <w:noWrap/>
          </w:tcPr>
          <w:p w14:paraId="62B72929"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sz w:val="24"/>
                <w:szCs w:val="24"/>
              </w:rPr>
              <w:t>华泰证券</w:t>
            </w:r>
          </w:p>
        </w:tc>
      </w:tr>
      <w:tr w:rsidR="003F6CB8" w14:paraId="62B7292F" w14:textId="77777777" w:rsidTr="003F6CB8">
        <w:trPr>
          <w:trHeight w:val="276"/>
        </w:trPr>
        <w:tc>
          <w:tcPr>
            <w:tcW w:w="817" w:type="dxa"/>
            <w:noWrap/>
            <w:vAlign w:val="center"/>
          </w:tcPr>
          <w:p w14:paraId="62B7292C"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6</w:t>
            </w:r>
          </w:p>
        </w:tc>
        <w:tc>
          <w:tcPr>
            <w:tcW w:w="6266" w:type="dxa"/>
            <w:noWrap/>
          </w:tcPr>
          <w:p w14:paraId="62B7292D"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sz w:val="24"/>
                <w:szCs w:val="24"/>
              </w:rPr>
              <w:t>东兴证券</w:t>
            </w:r>
          </w:p>
        </w:tc>
      </w:tr>
      <w:tr w:rsidR="003F6CB8" w14:paraId="62B72933" w14:textId="77777777" w:rsidTr="003F6CB8">
        <w:trPr>
          <w:trHeight w:val="276"/>
        </w:trPr>
        <w:tc>
          <w:tcPr>
            <w:tcW w:w="817" w:type="dxa"/>
            <w:noWrap/>
            <w:vAlign w:val="center"/>
          </w:tcPr>
          <w:p w14:paraId="62B72930"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7</w:t>
            </w:r>
          </w:p>
        </w:tc>
        <w:tc>
          <w:tcPr>
            <w:tcW w:w="6266" w:type="dxa"/>
            <w:noWrap/>
          </w:tcPr>
          <w:p w14:paraId="62B72931"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sz w:val="24"/>
                <w:szCs w:val="24"/>
              </w:rPr>
              <w:t>国投证券</w:t>
            </w:r>
          </w:p>
        </w:tc>
      </w:tr>
      <w:tr w:rsidR="003F6CB8" w14:paraId="62B72937" w14:textId="77777777" w:rsidTr="003F6CB8">
        <w:trPr>
          <w:trHeight w:val="276"/>
        </w:trPr>
        <w:tc>
          <w:tcPr>
            <w:tcW w:w="817" w:type="dxa"/>
            <w:noWrap/>
            <w:vAlign w:val="center"/>
          </w:tcPr>
          <w:p w14:paraId="62B72934"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8</w:t>
            </w:r>
          </w:p>
        </w:tc>
        <w:tc>
          <w:tcPr>
            <w:tcW w:w="6266" w:type="dxa"/>
            <w:noWrap/>
          </w:tcPr>
          <w:p w14:paraId="62B72935" w14:textId="77777777" w:rsidR="003F6CB8" w:rsidRDefault="003F6CB8" w:rsidP="003F6CB8">
            <w:pPr>
              <w:spacing w:after="0" w:line="240" w:lineRule="auto"/>
              <w:rPr>
                <w:rFonts w:ascii="Times New Roman" w:eastAsia="楷体" w:hAnsi="Times New Roman" w:cs="Times New Roman"/>
                <w:sz w:val="24"/>
                <w:szCs w:val="24"/>
              </w:rPr>
            </w:pPr>
            <w:r>
              <w:rPr>
                <w:rFonts w:ascii="Times New Roman" w:eastAsia="楷体" w:hAnsi="Times New Roman" w:cs="Times New Roman"/>
                <w:sz w:val="24"/>
                <w:szCs w:val="24"/>
              </w:rPr>
              <w:t>勤</w:t>
            </w:r>
            <w:proofErr w:type="gramStart"/>
            <w:r>
              <w:rPr>
                <w:rFonts w:ascii="Times New Roman" w:eastAsia="楷体" w:hAnsi="Times New Roman" w:cs="Times New Roman"/>
                <w:sz w:val="24"/>
                <w:szCs w:val="24"/>
              </w:rPr>
              <w:t>辰资产</w:t>
            </w:r>
            <w:proofErr w:type="gramEnd"/>
          </w:p>
        </w:tc>
      </w:tr>
      <w:tr w:rsidR="003F6CB8" w14:paraId="62B7293B" w14:textId="77777777" w:rsidTr="003F6CB8">
        <w:trPr>
          <w:trHeight w:val="276"/>
        </w:trPr>
        <w:tc>
          <w:tcPr>
            <w:tcW w:w="817" w:type="dxa"/>
            <w:noWrap/>
            <w:vAlign w:val="center"/>
          </w:tcPr>
          <w:p w14:paraId="62B72938"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9</w:t>
            </w:r>
          </w:p>
        </w:tc>
        <w:tc>
          <w:tcPr>
            <w:tcW w:w="6266" w:type="dxa"/>
            <w:noWrap/>
          </w:tcPr>
          <w:p w14:paraId="62B72939" w14:textId="77777777" w:rsidR="003F6CB8" w:rsidRDefault="003F6CB8" w:rsidP="003F6CB8">
            <w:pPr>
              <w:spacing w:after="0" w:line="240" w:lineRule="auto"/>
              <w:rPr>
                <w:rFonts w:ascii="Times New Roman" w:eastAsia="楷体" w:hAnsi="Times New Roman" w:cs="Times New Roman"/>
                <w:sz w:val="24"/>
                <w:szCs w:val="24"/>
              </w:rPr>
            </w:pPr>
            <w:r>
              <w:rPr>
                <w:rFonts w:ascii="Times New Roman" w:eastAsia="楷体" w:hAnsi="Times New Roman" w:cs="Times New Roman"/>
                <w:sz w:val="24"/>
                <w:szCs w:val="24"/>
              </w:rPr>
              <w:t>鹏华基金</w:t>
            </w:r>
          </w:p>
        </w:tc>
      </w:tr>
      <w:tr w:rsidR="003F6CB8" w14:paraId="62B7293F" w14:textId="77777777" w:rsidTr="003F6CB8">
        <w:trPr>
          <w:trHeight w:val="276"/>
        </w:trPr>
        <w:tc>
          <w:tcPr>
            <w:tcW w:w="817" w:type="dxa"/>
            <w:noWrap/>
            <w:vAlign w:val="center"/>
          </w:tcPr>
          <w:p w14:paraId="62B7293C"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10</w:t>
            </w:r>
          </w:p>
        </w:tc>
        <w:tc>
          <w:tcPr>
            <w:tcW w:w="6266" w:type="dxa"/>
            <w:noWrap/>
          </w:tcPr>
          <w:p w14:paraId="62B7293D" w14:textId="77777777" w:rsidR="003F6CB8" w:rsidRDefault="003F6CB8" w:rsidP="003F6CB8">
            <w:pPr>
              <w:spacing w:after="0" w:line="240" w:lineRule="auto"/>
              <w:rPr>
                <w:rFonts w:ascii="Times New Roman" w:eastAsia="楷体" w:hAnsi="Times New Roman" w:cs="Times New Roman"/>
                <w:sz w:val="24"/>
                <w:szCs w:val="24"/>
              </w:rPr>
            </w:pPr>
            <w:r>
              <w:rPr>
                <w:rFonts w:ascii="Times New Roman" w:eastAsia="楷体" w:hAnsi="Times New Roman" w:cs="Times New Roman"/>
                <w:sz w:val="24"/>
                <w:szCs w:val="24"/>
              </w:rPr>
              <w:t>中信资管</w:t>
            </w:r>
          </w:p>
        </w:tc>
      </w:tr>
      <w:tr w:rsidR="003F6CB8" w14:paraId="62B72943" w14:textId="77777777" w:rsidTr="003F6CB8">
        <w:trPr>
          <w:trHeight w:val="276"/>
        </w:trPr>
        <w:tc>
          <w:tcPr>
            <w:tcW w:w="817" w:type="dxa"/>
            <w:noWrap/>
            <w:vAlign w:val="center"/>
          </w:tcPr>
          <w:p w14:paraId="62B72940"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11</w:t>
            </w:r>
          </w:p>
        </w:tc>
        <w:tc>
          <w:tcPr>
            <w:tcW w:w="6266" w:type="dxa"/>
            <w:noWrap/>
          </w:tcPr>
          <w:p w14:paraId="62B72941" w14:textId="77777777" w:rsidR="003F6CB8" w:rsidRDefault="003F6CB8" w:rsidP="003F6CB8">
            <w:pPr>
              <w:spacing w:after="0" w:line="240" w:lineRule="auto"/>
              <w:rPr>
                <w:rFonts w:ascii="Times New Roman" w:eastAsia="楷体" w:hAnsi="Times New Roman" w:cs="Times New Roman"/>
                <w:sz w:val="24"/>
                <w:szCs w:val="24"/>
              </w:rPr>
            </w:pPr>
            <w:r>
              <w:rPr>
                <w:rFonts w:ascii="Times New Roman" w:eastAsia="楷体" w:hAnsi="Times New Roman" w:cs="Times New Roman"/>
                <w:sz w:val="24"/>
                <w:szCs w:val="24"/>
              </w:rPr>
              <w:t>上海</w:t>
            </w:r>
            <w:proofErr w:type="gramStart"/>
            <w:r>
              <w:rPr>
                <w:rFonts w:ascii="Times New Roman" w:eastAsia="楷体" w:hAnsi="Times New Roman" w:cs="Times New Roman"/>
                <w:sz w:val="24"/>
                <w:szCs w:val="24"/>
              </w:rPr>
              <w:t>宁泉资产</w:t>
            </w:r>
            <w:proofErr w:type="gramEnd"/>
          </w:p>
        </w:tc>
      </w:tr>
      <w:tr w:rsidR="003F6CB8" w14:paraId="62B72947" w14:textId="77777777" w:rsidTr="003F6CB8">
        <w:trPr>
          <w:trHeight w:val="276"/>
        </w:trPr>
        <w:tc>
          <w:tcPr>
            <w:tcW w:w="817" w:type="dxa"/>
            <w:noWrap/>
            <w:vAlign w:val="center"/>
          </w:tcPr>
          <w:p w14:paraId="62B72944"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12</w:t>
            </w:r>
          </w:p>
        </w:tc>
        <w:tc>
          <w:tcPr>
            <w:tcW w:w="6266" w:type="dxa"/>
            <w:noWrap/>
          </w:tcPr>
          <w:p w14:paraId="62B72945" w14:textId="77777777" w:rsidR="003F6CB8" w:rsidRDefault="003F6CB8" w:rsidP="003F6CB8">
            <w:pPr>
              <w:spacing w:after="0" w:line="240" w:lineRule="auto"/>
              <w:rPr>
                <w:rFonts w:ascii="Times New Roman" w:eastAsia="楷体" w:hAnsi="Times New Roman" w:cs="Times New Roman"/>
                <w:sz w:val="24"/>
                <w:szCs w:val="24"/>
              </w:rPr>
            </w:pPr>
            <w:r>
              <w:rPr>
                <w:rFonts w:ascii="Times New Roman" w:eastAsia="楷体" w:hAnsi="Times New Roman" w:cs="Times New Roman"/>
                <w:sz w:val="24"/>
                <w:szCs w:val="24"/>
              </w:rPr>
              <w:t>杭州东方嘉富资产管理有限公司</w:t>
            </w:r>
          </w:p>
        </w:tc>
      </w:tr>
      <w:tr w:rsidR="003F6CB8" w14:paraId="62B7294B" w14:textId="77777777" w:rsidTr="003F6CB8">
        <w:trPr>
          <w:trHeight w:val="276"/>
        </w:trPr>
        <w:tc>
          <w:tcPr>
            <w:tcW w:w="817" w:type="dxa"/>
            <w:noWrap/>
            <w:vAlign w:val="center"/>
          </w:tcPr>
          <w:p w14:paraId="62B72948"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13</w:t>
            </w:r>
          </w:p>
        </w:tc>
        <w:tc>
          <w:tcPr>
            <w:tcW w:w="6266" w:type="dxa"/>
            <w:noWrap/>
          </w:tcPr>
          <w:p w14:paraId="62B72949" w14:textId="77777777" w:rsidR="003F6CB8" w:rsidRDefault="003F6CB8" w:rsidP="003F6CB8">
            <w:pPr>
              <w:spacing w:after="0" w:line="240" w:lineRule="auto"/>
              <w:rPr>
                <w:rFonts w:ascii="Times New Roman" w:eastAsia="楷体" w:hAnsi="Times New Roman" w:cs="Times New Roman"/>
                <w:color w:val="000000"/>
                <w:sz w:val="24"/>
                <w:szCs w:val="24"/>
              </w:rPr>
            </w:pPr>
            <w:r>
              <w:rPr>
                <w:rFonts w:ascii="Times New Roman" w:eastAsia="楷体" w:hAnsi="Times New Roman" w:cs="Times New Roman"/>
                <w:sz w:val="24"/>
                <w:szCs w:val="24"/>
              </w:rPr>
              <w:t>招商基金</w:t>
            </w:r>
          </w:p>
        </w:tc>
      </w:tr>
      <w:tr w:rsidR="003F6CB8" w14:paraId="62B7294F" w14:textId="77777777" w:rsidTr="003F6CB8">
        <w:trPr>
          <w:trHeight w:val="276"/>
        </w:trPr>
        <w:tc>
          <w:tcPr>
            <w:tcW w:w="817" w:type="dxa"/>
            <w:noWrap/>
            <w:vAlign w:val="center"/>
          </w:tcPr>
          <w:p w14:paraId="62B7294C"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14</w:t>
            </w:r>
          </w:p>
        </w:tc>
        <w:tc>
          <w:tcPr>
            <w:tcW w:w="6266" w:type="dxa"/>
            <w:noWrap/>
          </w:tcPr>
          <w:p w14:paraId="62B7294D" w14:textId="77777777" w:rsidR="003F6CB8" w:rsidRDefault="003F6CB8" w:rsidP="003F6CB8">
            <w:pPr>
              <w:spacing w:after="0" w:line="240" w:lineRule="auto"/>
              <w:rPr>
                <w:rFonts w:ascii="Times New Roman" w:eastAsia="楷体" w:hAnsi="Times New Roman" w:cs="Times New Roman"/>
                <w:color w:val="000000"/>
                <w:sz w:val="24"/>
                <w:szCs w:val="24"/>
              </w:rPr>
            </w:pPr>
            <w:r>
              <w:rPr>
                <w:rFonts w:ascii="Times New Roman" w:eastAsia="楷体" w:hAnsi="Times New Roman" w:cs="Times New Roman"/>
                <w:sz w:val="24"/>
                <w:szCs w:val="24"/>
              </w:rPr>
              <w:t>华</w:t>
            </w:r>
            <w:proofErr w:type="gramStart"/>
            <w:r>
              <w:rPr>
                <w:rFonts w:ascii="Times New Roman" w:eastAsia="楷体" w:hAnsi="Times New Roman" w:cs="Times New Roman"/>
                <w:sz w:val="24"/>
                <w:szCs w:val="24"/>
              </w:rPr>
              <w:t>福资本</w:t>
            </w:r>
            <w:proofErr w:type="gramEnd"/>
            <w:r>
              <w:rPr>
                <w:rFonts w:ascii="Times New Roman" w:eastAsia="楷体" w:hAnsi="Times New Roman" w:cs="Times New Roman"/>
                <w:sz w:val="24"/>
                <w:szCs w:val="24"/>
              </w:rPr>
              <w:t>管理有限公司</w:t>
            </w:r>
          </w:p>
        </w:tc>
      </w:tr>
      <w:tr w:rsidR="003F6CB8" w14:paraId="62B72953" w14:textId="77777777" w:rsidTr="003F6CB8">
        <w:trPr>
          <w:trHeight w:val="276"/>
        </w:trPr>
        <w:tc>
          <w:tcPr>
            <w:tcW w:w="817" w:type="dxa"/>
            <w:noWrap/>
            <w:vAlign w:val="center"/>
          </w:tcPr>
          <w:p w14:paraId="62B72950"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15</w:t>
            </w:r>
          </w:p>
        </w:tc>
        <w:tc>
          <w:tcPr>
            <w:tcW w:w="6266" w:type="dxa"/>
            <w:noWrap/>
          </w:tcPr>
          <w:p w14:paraId="62B72951" w14:textId="77777777" w:rsidR="003F6CB8" w:rsidRDefault="003F6CB8" w:rsidP="003F6CB8">
            <w:pPr>
              <w:spacing w:after="0" w:line="240" w:lineRule="auto"/>
              <w:rPr>
                <w:rFonts w:ascii="Times New Roman" w:eastAsia="楷体" w:hAnsi="Times New Roman" w:cs="Times New Roman"/>
                <w:color w:val="000000"/>
                <w:sz w:val="24"/>
                <w:szCs w:val="24"/>
              </w:rPr>
            </w:pPr>
            <w:r>
              <w:rPr>
                <w:rFonts w:ascii="Times New Roman" w:eastAsia="楷体" w:hAnsi="Times New Roman" w:cs="Times New Roman"/>
                <w:color w:val="000000"/>
                <w:sz w:val="24"/>
                <w:szCs w:val="24"/>
              </w:rPr>
              <w:t>高盛</w:t>
            </w:r>
          </w:p>
        </w:tc>
      </w:tr>
      <w:tr w:rsidR="003F6CB8" w14:paraId="62B72957" w14:textId="77777777" w:rsidTr="003F6CB8">
        <w:trPr>
          <w:trHeight w:val="276"/>
        </w:trPr>
        <w:tc>
          <w:tcPr>
            <w:tcW w:w="817" w:type="dxa"/>
            <w:noWrap/>
            <w:vAlign w:val="center"/>
          </w:tcPr>
          <w:p w14:paraId="62B72954" w14:textId="77777777" w:rsidR="003F6CB8" w:rsidRDefault="003F6CB8" w:rsidP="003F6CB8">
            <w:pPr>
              <w:spacing w:after="0" w:line="240" w:lineRule="auto"/>
              <w:rPr>
                <w:rFonts w:ascii="Times New Roman" w:eastAsia="楷体" w:hAnsi="Times New Roman" w:cs="Times New Roman"/>
                <w:color w:val="000000"/>
                <w:sz w:val="24"/>
                <w:szCs w:val="24"/>
                <w:lang w:val="en-US"/>
              </w:rPr>
            </w:pPr>
            <w:r>
              <w:rPr>
                <w:rFonts w:ascii="Times New Roman" w:eastAsia="楷体" w:hAnsi="Times New Roman" w:cs="Times New Roman"/>
                <w:color w:val="000000"/>
                <w:sz w:val="24"/>
                <w:szCs w:val="24"/>
                <w:lang w:val="en-US"/>
              </w:rPr>
              <w:t>16</w:t>
            </w:r>
          </w:p>
        </w:tc>
        <w:tc>
          <w:tcPr>
            <w:tcW w:w="6266" w:type="dxa"/>
            <w:noWrap/>
          </w:tcPr>
          <w:p w14:paraId="62B72955" w14:textId="77777777" w:rsidR="003F6CB8" w:rsidRDefault="003F6CB8" w:rsidP="003F6CB8">
            <w:pPr>
              <w:spacing w:after="0" w:line="240" w:lineRule="auto"/>
              <w:rPr>
                <w:rFonts w:ascii="Times New Roman" w:eastAsia="楷体" w:hAnsi="Times New Roman" w:cs="Times New Roman"/>
                <w:color w:val="000000"/>
                <w:sz w:val="24"/>
                <w:szCs w:val="24"/>
              </w:rPr>
            </w:pPr>
            <w:r>
              <w:rPr>
                <w:rFonts w:ascii="Times New Roman" w:eastAsia="楷体" w:hAnsi="Times New Roman" w:cs="Times New Roman"/>
                <w:sz w:val="24"/>
                <w:szCs w:val="24"/>
              </w:rPr>
              <w:t>UBS</w:t>
            </w:r>
          </w:p>
        </w:tc>
      </w:tr>
    </w:tbl>
    <w:p w14:paraId="62B72958" w14:textId="77777777" w:rsidR="009904B7" w:rsidRDefault="009904B7">
      <w:pPr>
        <w:rPr>
          <w:rFonts w:ascii="Times New Roman" w:eastAsia="楷体" w:hAnsi="Times New Roman" w:cs="Times New Roman"/>
          <w:sz w:val="24"/>
          <w:szCs w:val="24"/>
          <w:lang w:val="en-US"/>
        </w:rPr>
      </w:pPr>
    </w:p>
    <w:sectPr w:rsidR="009904B7">
      <w:headerReference w:type="default" r:id="rId10"/>
      <w:footerReference w:type="default" r:id="rId11"/>
      <w:pgSz w:w="11906" w:h="16838"/>
      <w:pgMar w:top="1440" w:right="1800" w:bottom="1134" w:left="1800" w:header="851" w:footer="49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F3445" w14:textId="77777777" w:rsidR="00B03AF5" w:rsidRDefault="00B03AF5">
      <w:pPr>
        <w:spacing w:line="240" w:lineRule="auto"/>
      </w:pPr>
      <w:r>
        <w:separator/>
      </w:r>
    </w:p>
  </w:endnote>
  <w:endnote w:type="continuationSeparator" w:id="0">
    <w:p w14:paraId="7A911F53" w14:textId="77777777" w:rsidR="00B03AF5" w:rsidRDefault="00B03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127490"/>
      <w:docPartObj>
        <w:docPartGallery w:val="AutoText"/>
      </w:docPartObj>
    </w:sdtPr>
    <w:sdtEndPr>
      <w:rPr>
        <w:rFonts w:ascii="Times New Roman" w:hAnsi="Times New Roman" w:cs="Times New Roman"/>
      </w:rPr>
    </w:sdtEndPr>
    <w:sdtContent>
      <w:p w14:paraId="62B7295E" w14:textId="77777777" w:rsidR="009904B7" w:rsidRDefault="009F396C">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3</w:t>
        </w:r>
        <w:r>
          <w:rPr>
            <w:rFonts w:ascii="Times New Roman" w:hAnsi="Times New Roman" w:cs="Times New Roman"/>
          </w:rPr>
          <w:fldChar w:fldCharType="end"/>
        </w:r>
        <w:r>
          <w:rPr>
            <w:rFonts w:ascii="Times New Roman" w:hAnsi="Times New Roman" w:cs="Times New Roman" w:hint="eastAsia"/>
          </w:rPr>
          <w:t xml:space="preserve"> of </w:t>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NUMPAGES  \* Arabic  \* MERGEFORMAT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p>
    </w:sdtContent>
  </w:sdt>
  <w:p w14:paraId="62B7295F" w14:textId="77777777" w:rsidR="009904B7" w:rsidRDefault="009904B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A7675" w14:textId="77777777" w:rsidR="00B03AF5" w:rsidRDefault="00B03AF5">
      <w:pPr>
        <w:spacing w:after="0"/>
      </w:pPr>
      <w:r>
        <w:separator/>
      </w:r>
    </w:p>
  </w:footnote>
  <w:footnote w:type="continuationSeparator" w:id="0">
    <w:p w14:paraId="33F02ED9" w14:textId="77777777" w:rsidR="00B03AF5" w:rsidRDefault="00B03A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295D" w14:textId="77777777" w:rsidR="009904B7" w:rsidRDefault="009F396C">
    <w:pPr>
      <w:pStyle w:val="a9"/>
      <w:rPr>
        <w:rFonts w:ascii="Times New Roman" w:eastAsia="楷体" w:hAnsi="Times New Roman" w:cs="Times New Roman"/>
      </w:rPr>
    </w:pPr>
    <w:proofErr w:type="spellStart"/>
    <w:r>
      <w:rPr>
        <w:rFonts w:ascii="Times New Roman" w:eastAsia="楷体" w:hAnsi="Times New Roman" w:cs="Times New Roman"/>
      </w:rPr>
      <w:t>Bluestar</w:t>
    </w:r>
    <w:proofErr w:type="spellEnd"/>
    <w:r>
      <w:rPr>
        <w:rFonts w:ascii="Times New Roman" w:eastAsia="楷体" w:hAnsi="Times New Roman" w:cs="Times New Roman"/>
      </w:rPr>
      <w:t xml:space="preserve"> Adisseo Company</w:t>
    </w:r>
    <w:r>
      <w:rPr>
        <w:rFonts w:ascii="Times New Roman" w:eastAsia="楷体" w:hAnsi="Times New Roman" w:cs="Times New Roman" w:hint="eastAsia"/>
      </w:rPr>
      <w:t xml:space="preserve"> </w:t>
    </w:r>
    <w:r>
      <w:rPr>
        <w:rFonts w:ascii="楷体" w:eastAsia="楷体" w:hAnsi="楷体" w:hint="eastAsia"/>
      </w:rPr>
      <w:t>蓝星安迪苏</w:t>
    </w:r>
    <w:r>
      <w:rPr>
        <w:rFonts w:ascii="楷体" w:eastAsia="楷体" w:hAnsi="楷体"/>
      </w:rPr>
      <w:t>股份有限公司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53B60"/>
    <w:multiLevelType w:val="multilevel"/>
    <w:tmpl w:val="3B753B60"/>
    <w:lvl w:ilvl="0">
      <w:start w:val="1"/>
      <w:numFmt w:val="bullet"/>
      <w:lvlText w:val=""/>
      <w:lvlJc w:val="left"/>
      <w:pPr>
        <w:ind w:left="874" w:hanging="440"/>
      </w:pPr>
      <w:rPr>
        <w:rFonts w:ascii="Wingdings" w:hAnsi="Wingdings" w:hint="default"/>
      </w:rPr>
    </w:lvl>
    <w:lvl w:ilvl="1">
      <w:start w:val="1"/>
      <w:numFmt w:val="bullet"/>
      <w:lvlText w:val=""/>
      <w:lvlJc w:val="left"/>
      <w:pPr>
        <w:ind w:left="1314" w:hanging="440"/>
      </w:pPr>
      <w:rPr>
        <w:rFonts w:ascii="Wingdings" w:hAnsi="Wingdings" w:hint="default"/>
      </w:rPr>
    </w:lvl>
    <w:lvl w:ilvl="2">
      <w:start w:val="1"/>
      <w:numFmt w:val="bullet"/>
      <w:lvlText w:val=""/>
      <w:lvlJc w:val="left"/>
      <w:pPr>
        <w:ind w:left="1754" w:hanging="440"/>
      </w:pPr>
      <w:rPr>
        <w:rFonts w:ascii="Wingdings" w:hAnsi="Wingdings" w:hint="default"/>
      </w:rPr>
    </w:lvl>
    <w:lvl w:ilvl="3">
      <w:start w:val="1"/>
      <w:numFmt w:val="bullet"/>
      <w:lvlText w:val=""/>
      <w:lvlJc w:val="left"/>
      <w:pPr>
        <w:ind w:left="2194" w:hanging="440"/>
      </w:pPr>
      <w:rPr>
        <w:rFonts w:ascii="Wingdings" w:hAnsi="Wingdings" w:hint="default"/>
      </w:rPr>
    </w:lvl>
    <w:lvl w:ilvl="4">
      <w:start w:val="1"/>
      <w:numFmt w:val="bullet"/>
      <w:lvlText w:val=""/>
      <w:lvlJc w:val="left"/>
      <w:pPr>
        <w:ind w:left="2634" w:hanging="440"/>
      </w:pPr>
      <w:rPr>
        <w:rFonts w:ascii="Wingdings" w:hAnsi="Wingdings" w:hint="default"/>
      </w:rPr>
    </w:lvl>
    <w:lvl w:ilvl="5">
      <w:start w:val="1"/>
      <w:numFmt w:val="bullet"/>
      <w:lvlText w:val=""/>
      <w:lvlJc w:val="left"/>
      <w:pPr>
        <w:ind w:left="3074" w:hanging="440"/>
      </w:pPr>
      <w:rPr>
        <w:rFonts w:ascii="Wingdings" w:hAnsi="Wingdings" w:hint="default"/>
      </w:rPr>
    </w:lvl>
    <w:lvl w:ilvl="6">
      <w:start w:val="1"/>
      <w:numFmt w:val="bullet"/>
      <w:lvlText w:val=""/>
      <w:lvlJc w:val="left"/>
      <w:pPr>
        <w:ind w:left="3514" w:hanging="440"/>
      </w:pPr>
      <w:rPr>
        <w:rFonts w:ascii="Wingdings" w:hAnsi="Wingdings" w:hint="default"/>
      </w:rPr>
    </w:lvl>
    <w:lvl w:ilvl="7">
      <w:start w:val="1"/>
      <w:numFmt w:val="bullet"/>
      <w:lvlText w:val=""/>
      <w:lvlJc w:val="left"/>
      <w:pPr>
        <w:ind w:left="3954" w:hanging="440"/>
      </w:pPr>
      <w:rPr>
        <w:rFonts w:ascii="Wingdings" w:hAnsi="Wingdings" w:hint="default"/>
      </w:rPr>
    </w:lvl>
    <w:lvl w:ilvl="8">
      <w:start w:val="1"/>
      <w:numFmt w:val="bullet"/>
      <w:lvlText w:val=""/>
      <w:lvlJc w:val="left"/>
      <w:pPr>
        <w:ind w:left="4394" w:hanging="440"/>
      </w:pPr>
      <w:rPr>
        <w:rFonts w:ascii="Wingdings" w:hAnsi="Wingdings" w:hint="default"/>
      </w:rPr>
    </w:lvl>
  </w:abstractNum>
  <w:abstractNum w:abstractNumId="1" w15:restartNumberingAfterBreak="0">
    <w:nsid w:val="454C386A"/>
    <w:multiLevelType w:val="multilevel"/>
    <w:tmpl w:val="454C386A"/>
    <w:lvl w:ilvl="0">
      <w:start w:val="1"/>
      <w:numFmt w:val="chineseCountingThousand"/>
      <w:suff w:val="nothing"/>
      <w:lvlText w:val="%1、"/>
      <w:lvlJc w:val="left"/>
      <w:pPr>
        <w:ind w:left="420" w:hanging="420"/>
      </w:pPr>
      <w:rPr>
        <w:rFonts w:hint="default"/>
        <w:b w:val="0"/>
        <w:i w:val="0"/>
        <w:color w:val="auto"/>
        <w:lang w:val="en-US"/>
      </w:rPr>
    </w:lvl>
    <w:lvl w:ilvl="1">
      <w:start w:val="1"/>
      <w:numFmt w:val="chineseCountingThousand"/>
      <w:lvlText w:val="(%2)"/>
      <w:lvlJc w:val="left"/>
      <w:pPr>
        <w:ind w:left="1413" w:hanging="420"/>
      </w:pPr>
    </w:lvl>
    <w:lvl w:ilvl="2">
      <w:start w:val="1"/>
      <w:numFmt w:val="lowerRoman"/>
      <w:lvlText w:val="%3."/>
      <w:lvlJc w:val="right"/>
      <w:pPr>
        <w:ind w:left="1260" w:hanging="420"/>
      </w:pPr>
    </w:lvl>
    <w:lvl w:ilvl="3">
      <w:start w:val="1"/>
      <w:numFmt w:val="decimal"/>
      <w:lvlText w:val="%4."/>
      <w:lvlJc w:val="left"/>
      <w:pPr>
        <w:ind w:left="1680" w:hanging="420"/>
      </w:pPr>
      <w:rPr>
        <w:rFonts w:ascii="Times New Roman" w:eastAsia="楷体" w:hAnsi="Times New Roman" w:cstheme="minorBidi"/>
        <w:color w:val="auto"/>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81A078A"/>
    <w:multiLevelType w:val="multilevel"/>
    <w:tmpl w:val="681A078A"/>
    <w:lvl w:ilvl="0">
      <w:start w:val="1"/>
      <w:numFmt w:val="bullet"/>
      <w:lvlText w:val=""/>
      <w:lvlJc w:val="left"/>
      <w:pPr>
        <w:ind w:left="800" w:hanging="440"/>
      </w:pPr>
      <w:rPr>
        <w:rFonts w:ascii="Wingdings" w:hAnsi="Wingdings" w:hint="default"/>
      </w:rPr>
    </w:lvl>
    <w:lvl w:ilvl="1">
      <w:start w:val="1"/>
      <w:numFmt w:val="bullet"/>
      <w:lvlText w:val=""/>
      <w:lvlJc w:val="left"/>
      <w:pPr>
        <w:ind w:left="1240" w:hanging="440"/>
      </w:pPr>
      <w:rPr>
        <w:rFonts w:ascii="Wingdings" w:hAnsi="Wingdings" w:hint="default"/>
      </w:rPr>
    </w:lvl>
    <w:lvl w:ilvl="2">
      <w:start w:val="1"/>
      <w:numFmt w:val="bullet"/>
      <w:lvlText w:val=""/>
      <w:lvlJc w:val="left"/>
      <w:pPr>
        <w:ind w:left="1680" w:hanging="440"/>
      </w:pPr>
      <w:rPr>
        <w:rFonts w:ascii="Wingdings" w:hAnsi="Wingdings" w:hint="default"/>
      </w:rPr>
    </w:lvl>
    <w:lvl w:ilvl="3">
      <w:start w:val="1"/>
      <w:numFmt w:val="bullet"/>
      <w:lvlText w:val=""/>
      <w:lvlJc w:val="left"/>
      <w:pPr>
        <w:ind w:left="2120" w:hanging="440"/>
      </w:pPr>
      <w:rPr>
        <w:rFonts w:ascii="Wingdings" w:hAnsi="Wingdings" w:hint="default"/>
      </w:rPr>
    </w:lvl>
    <w:lvl w:ilvl="4">
      <w:start w:val="1"/>
      <w:numFmt w:val="bullet"/>
      <w:lvlText w:val=""/>
      <w:lvlJc w:val="left"/>
      <w:pPr>
        <w:ind w:left="2560" w:hanging="440"/>
      </w:pPr>
      <w:rPr>
        <w:rFonts w:ascii="Wingdings" w:hAnsi="Wingdings" w:hint="default"/>
      </w:rPr>
    </w:lvl>
    <w:lvl w:ilvl="5">
      <w:start w:val="1"/>
      <w:numFmt w:val="bullet"/>
      <w:lvlText w:val=""/>
      <w:lvlJc w:val="left"/>
      <w:pPr>
        <w:ind w:left="3000" w:hanging="440"/>
      </w:pPr>
      <w:rPr>
        <w:rFonts w:ascii="Wingdings" w:hAnsi="Wingdings" w:hint="default"/>
      </w:rPr>
    </w:lvl>
    <w:lvl w:ilvl="6">
      <w:start w:val="1"/>
      <w:numFmt w:val="bullet"/>
      <w:lvlText w:val=""/>
      <w:lvlJc w:val="left"/>
      <w:pPr>
        <w:ind w:left="3440" w:hanging="440"/>
      </w:pPr>
      <w:rPr>
        <w:rFonts w:ascii="Wingdings" w:hAnsi="Wingdings" w:hint="default"/>
      </w:rPr>
    </w:lvl>
    <w:lvl w:ilvl="7">
      <w:start w:val="1"/>
      <w:numFmt w:val="bullet"/>
      <w:lvlText w:val=""/>
      <w:lvlJc w:val="left"/>
      <w:pPr>
        <w:ind w:left="3880" w:hanging="440"/>
      </w:pPr>
      <w:rPr>
        <w:rFonts w:ascii="Wingdings" w:hAnsi="Wingdings" w:hint="default"/>
      </w:rPr>
    </w:lvl>
    <w:lvl w:ilvl="8">
      <w:start w:val="1"/>
      <w:numFmt w:val="bullet"/>
      <w:lvlText w:val=""/>
      <w:lvlJc w:val="left"/>
      <w:pPr>
        <w:ind w:left="4320" w:hanging="440"/>
      </w:pPr>
      <w:rPr>
        <w:rFonts w:ascii="Wingdings" w:hAnsi="Wingdings" w:hint="default"/>
      </w:rPr>
    </w:lvl>
  </w:abstractNum>
  <w:abstractNum w:abstractNumId="3" w15:restartNumberingAfterBreak="0">
    <w:nsid w:val="6D965A6F"/>
    <w:multiLevelType w:val="multilevel"/>
    <w:tmpl w:val="6D965A6F"/>
    <w:lvl w:ilvl="0">
      <w:numFmt w:val="bullet"/>
      <w:lvlText w:val="-"/>
      <w:lvlJc w:val="left"/>
      <w:pPr>
        <w:ind w:left="1160" w:hanging="360"/>
      </w:pPr>
      <w:rPr>
        <w:rFonts w:ascii="Times New Roman" w:eastAsia="楷体" w:hAnsi="Times New Roman" w:cs="Times New Roman" w:hint="default"/>
      </w:rPr>
    </w:lvl>
    <w:lvl w:ilvl="1">
      <w:start w:val="1"/>
      <w:numFmt w:val="bullet"/>
      <w:lvlText w:val="o"/>
      <w:lvlJc w:val="left"/>
      <w:pPr>
        <w:ind w:left="1880" w:hanging="360"/>
      </w:pPr>
      <w:rPr>
        <w:rFonts w:ascii="Courier New" w:hAnsi="Courier New" w:cs="Courier New" w:hint="default"/>
      </w:rPr>
    </w:lvl>
    <w:lvl w:ilvl="2">
      <w:start w:val="1"/>
      <w:numFmt w:val="bullet"/>
      <w:lvlText w:val=""/>
      <w:lvlJc w:val="left"/>
      <w:pPr>
        <w:ind w:left="2600" w:hanging="360"/>
      </w:pPr>
      <w:rPr>
        <w:rFonts w:ascii="Wingdings" w:hAnsi="Wingdings" w:hint="default"/>
      </w:rPr>
    </w:lvl>
    <w:lvl w:ilvl="3">
      <w:start w:val="1"/>
      <w:numFmt w:val="bullet"/>
      <w:lvlText w:val=""/>
      <w:lvlJc w:val="left"/>
      <w:pPr>
        <w:ind w:left="3320" w:hanging="360"/>
      </w:pPr>
      <w:rPr>
        <w:rFonts w:ascii="Symbol" w:hAnsi="Symbol" w:hint="default"/>
      </w:rPr>
    </w:lvl>
    <w:lvl w:ilvl="4">
      <w:start w:val="1"/>
      <w:numFmt w:val="bullet"/>
      <w:lvlText w:val="o"/>
      <w:lvlJc w:val="left"/>
      <w:pPr>
        <w:ind w:left="4040" w:hanging="360"/>
      </w:pPr>
      <w:rPr>
        <w:rFonts w:ascii="Courier New" w:hAnsi="Courier New" w:cs="Courier New" w:hint="default"/>
      </w:rPr>
    </w:lvl>
    <w:lvl w:ilvl="5">
      <w:start w:val="1"/>
      <w:numFmt w:val="bullet"/>
      <w:lvlText w:val=""/>
      <w:lvlJc w:val="left"/>
      <w:pPr>
        <w:ind w:left="4760" w:hanging="360"/>
      </w:pPr>
      <w:rPr>
        <w:rFonts w:ascii="Wingdings" w:hAnsi="Wingdings" w:hint="default"/>
      </w:rPr>
    </w:lvl>
    <w:lvl w:ilvl="6">
      <w:start w:val="1"/>
      <w:numFmt w:val="bullet"/>
      <w:lvlText w:val=""/>
      <w:lvlJc w:val="left"/>
      <w:pPr>
        <w:ind w:left="5480" w:hanging="360"/>
      </w:pPr>
      <w:rPr>
        <w:rFonts w:ascii="Symbol" w:hAnsi="Symbol" w:hint="default"/>
      </w:rPr>
    </w:lvl>
    <w:lvl w:ilvl="7">
      <w:start w:val="1"/>
      <w:numFmt w:val="bullet"/>
      <w:lvlText w:val="o"/>
      <w:lvlJc w:val="left"/>
      <w:pPr>
        <w:ind w:left="6200" w:hanging="360"/>
      </w:pPr>
      <w:rPr>
        <w:rFonts w:ascii="Courier New" w:hAnsi="Courier New" w:cs="Courier New" w:hint="default"/>
      </w:rPr>
    </w:lvl>
    <w:lvl w:ilvl="8">
      <w:start w:val="1"/>
      <w:numFmt w:val="bullet"/>
      <w:lvlText w:val=""/>
      <w:lvlJc w:val="left"/>
      <w:pPr>
        <w:ind w:left="6920" w:hanging="360"/>
      </w:pPr>
      <w:rPr>
        <w:rFonts w:ascii="Wingdings" w:hAnsi="Wingdings" w:hint="default"/>
      </w:rPr>
    </w:lvl>
  </w:abstractNum>
  <w:abstractNum w:abstractNumId="4" w15:restartNumberingAfterBreak="0">
    <w:nsid w:val="786A409A"/>
    <w:multiLevelType w:val="multilevel"/>
    <w:tmpl w:val="0B3A0364"/>
    <w:lvl w:ilvl="0">
      <w:start w:val="5"/>
      <w:numFmt w:val="japaneseCounting"/>
      <w:lvlText w:val="%1、"/>
      <w:lvlJc w:val="left"/>
      <w:pPr>
        <w:ind w:left="480" w:hanging="48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rPr>
        <w:color w:val="auto"/>
      </w:r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618613294">
    <w:abstractNumId w:val="1"/>
  </w:num>
  <w:num w:numId="2" w16cid:durableId="35007219">
    <w:abstractNumId w:val="4"/>
  </w:num>
  <w:num w:numId="3" w16cid:durableId="1643390207">
    <w:abstractNumId w:val="2"/>
  </w:num>
  <w:num w:numId="4" w16cid:durableId="794521013">
    <w:abstractNumId w:val="0"/>
  </w:num>
  <w:num w:numId="5" w16cid:durableId="12662312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2C5"/>
    <w:rsid w:val="00000437"/>
    <w:rsid w:val="00000C03"/>
    <w:rsid w:val="000016A8"/>
    <w:rsid w:val="00001AFA"/>
    <w:rsid w:val="00002E84"/>
    <w:rsid w:val="000033CA"/>
    <w:rsid w:val="000038A9"/>
    <w:rsid w:val="0000546A"/>
    <w:rsid w:val="0000569B"/>
    <w:rsid w:val="0000635C"/>
    <w:rsid w:val="00007789"/>
    <w:rsid w:val="0001080C"/>
    <w:rsid w:val="00012A58"/>
    <w:rsid w:val="000130C0"/>
    <w:rsid w:val="000138D9"/>
    <w:rsid w:val="00014AC4"/>
    <w:rsid w:val="00015071"/>
    <w:rsid w:val="00021B10"/>
    <w:rsid w:val="00022FB1"/>
    <w:rsid w:val="00024D73"/>
    <w:rsid w:val="00025FCA"/>
    <w:rsid w:val="0002720C"/>
    <w:rsid w:val="00027A9B"/>
    <w:rsid w:val="00027CAC"/>
    <w:rsid w:val="00030A0E"/>
    <w:rsid w:val="00032724"/>
    <w:rsid w:val="000334C6"/>
    <w:rsid w:val="0003422A"/>
    <w:rsid w:val="0003700E"/>
    <w:rsid w:val="00037911"/>
    <w:rsid w:val="00037B51"/>
    <w:rsid w:val="00037B8C"/>
    <w:rsid w:val="00040143"/>
    <w:rsid w:val="0004291E"/>
    <w:rsid w:val="00043847"/>
    <w:rsid w:val="0004415C"/>
    <w:rsid w:val="00044305"/>
    <w:rsid w:val="00050554"/>
    <w:rsid w:val="00050A0B"/>
    <w:rsid w:val="000519AD"/>
    <w:rsid w:val="00051A5E"/>
    <w:rsid w:val="00051EAB"/>
    <w:rsid w:val="00051EBA"/>
    <w:rsid w:val="000524DC"/>
    <w:rsid w:val="00054F51"/>
    <w:rsid w:val="0005510F"/>
    <w:rsid w:val="00055F3D"/>
    <w:rsid w:val="00056292"/>
    <w:rsid w:val="00056AA5"/>
    <w:rsid w:val="000634A8"/>
    <w:rsid w:val="00063505"/>
    <w:rsid w:val="00063CB5"/>
    <w:rsid w:val="0006405A"/>
    <w:rsid w:val="00067325"/>
    <w:rsid w:val="000676D4"/>
    <w:rsid w:val="00067AE7"/>
    <w:rsid w:val="00071664"/>
    <w:rsid w:val="000729B8"/>
    <w:rsid w:val="000732A8"/>
    <w:rsid w:val="0007504E"/>
    <w:rsid w:val="00076889"/>
    <w:rsid w:val="0008024A"/>
    <w:rsid w:val="00080769"/>
    <w:rsid w:val="00080A92"/>
    <w:rsid w:val="00081EBE"/>
    <w:rsid w:val="00082A41"/>
    <w:rsid w:val="0008395B"/>
    <w:rsid w:val="00083BD2"/>
    <w:rsid w:val="000852BF"/>
    <w:rsid w:val="00085B70"/>
    <w:rsid w:val="0008636D"/>
    <w:rsid w:val="00086493"/>
    <w:rsid w:val="00086946"/>
    <w:rsid w:val="00086DF9"/>
    <w:rsid w:val="000872F4"/>
    <w:rsid w:val="000918A9"/>
    <w:rsid w:val="00093C77"/>
    <w:rsid w:val="00094A89"/>
    <w:rsid w:val="00094DA2"/>
    <w:rsid w:val="00095EDB"/>
    <w:rsid w:val="00096C2E"/>
    <w:rsid w:val="000A03F7"/>
    <w:rsid w:val="000A4A19"/>
    <w:rsid w:val="000A5CC5"/>
    <w:rsid w:val="000A5FBD"/>
    <w:rsid w:val="000B1CCA"/>
    <w:rsid w:val="000B2C6A"/>
    <w:rsid w:val="000B33A7"/>
    <w:rsid w:val="000B5E27"/>
    <w:rsid w:val="000B78D4"/>
    <w:rsid w:val="000C13F0"/>
    <w:rsid w:val="000C5F73"/>
    <w:rsid w:val="000C6148"/>
    <w:rsid w:val="000D0773"/>
    <w:rsid w:val="000D0AC8"/>
    <w:rsid w:val="000D2B65"/>
    <w:rsid w:val="000D356D"/>
    <w:rsid w:val="000D395D"/>
    <w:rsid w:val="000D4984"/>
    <w:rsid w:val="000D4AF9"/>
    <w:rsid w:val="000D5738"/>
    <w:rsid w:val="000D6755"/>
    <w:rsid w:val="000D6D37"/>
    <w:rsid w:val="000D6D51"/>
    <w:rsid w:val="000E35A9"/>
    <w:rsid w:val="000E36ED"/>
    <w:rsid w:val="000E3D49"/>
    <w:rsid w:val="000E3FAF"/>
    <w:rsid w:val="000E6388"/>
    <w:rsid w:val="000F010F"/>
    <w:rsid w:val="000F0619"/>
    <w:rsid w:val="000F1B9B"/>
    <w:rsid w:val="000F21CF"/>
    <w:rsid w:val="000F2532"/>
    <w:rsid w:val="000F2919"/>
    <w:rsid w:val="000F35E6"/>
    <w:rsid w:val="000F4444"/>
    <w:rsid w:val="000F50ED"/>
    <w:rsid w:val="000F53F1"/>
    <w:rsid w:val="000F7B46"/>
    <w:rsid w:val="001005D1"/>
    <w:rsid w:val="001007D8"/>
    <w:rsid w:val="00102521"/>
    <w:rsid w:val="001030BE"/>
    <w:rsid w:val="00103B7A"/>
    <w:rsid w:val="00104F91"/>
    <w:rsid w:val="00110288"/>
    <w:rsid w:val="00111359"/>
    <w:rsid w:val="00111EC8"/>
    <w:rsid w:val="0011266F"/>
    <w:rsid w:val="00112F65"/>
    <w:rsid w:val="00114733"/>
    <w:rsid w:val="00114F9C"/>
    <w:rsid w:val="001159BA"/>
    <w:rsid w:val="00116DF0"/>
    <w:rsid w:val="001217A7"/>
    <w:rsid w:val="00122C4C"/>
    <w:rsid w:val="001251D5"/>
    <w:rsid w:val="00125668"/>
    <w:rsid w:val="00130883"/>
    <w:rsid w:val="0013206A"/>
    <w:rsid w:val="0013317E"/>
    <w:rsid w:val="00134C50"/>
    <w:rsid w:val="00134CAA"/>
    <w:rsid w:val="00134E34"/>
    <w:rsid w:val="001361A6"/>
    <w:rsid w:val="00136F33"/>
    <w:rsid w:val="00137BC5"/>
    <w:rsid w:val="001416E1"/>
    <w:rsid w:val="00141E15"/>
    <w:rsid w:val="00142070"/>
    <w:rsid w:val="00143709"/>
    <w:rsid w:val="0014388A"/>
    <w:rsid w:val="00144B55"/>
    <w:rsid w:val="00145211"/>
    <w:rsid w:val="001452A7"/>
    <w:rsid w:val="001508AD"/>
    <w:rsid w:val="00154C2C"/>
    <w:rsid w:val="0015582C"/>
    <w:rsid w:val="00155870"/>
    <w:rsid w:val="00155AE4"/>
    <w:rsid w:val="00155BC5"/>
    <w:rsid w:val="0015640B"/>
    <w:rsid w:val="00156BF2"/>
    <w:rsid w:val="00157367"/>
    <w:rsid w:val="001601C0"/>
    <w:rsid w:val="00160640"/>
    <w:rsid w:val="0016135B"/>
    <w:rsid w:val="00161965"/>
    <w:rsid w:val="00162260"/>
    <w:rsid w:val="00162C62"/>
    <w:rsid w:val="00162DF3"/>
    <w:rsid w:val="0016320B"/>
    <w:rsid w:val="0016340B"/>
    <w:rsid w:val="00164204"/>
    <w:rsid w:val="00170E84"/>
    <w:rsid w:val="00173174"/>
    <w:rsid w:val="0017348C"/>
    <w:rsid w:val="001735EC"/>
    <w:rsid w:val="00173841"/>
    <w:rsid w:val="001752DE"/>
    <w:rsid w:val="0017691B"/>
    <w:rsid w:val="00176F41"/>
    <w:rsid w:val="00177893"/>
    <w:rsid w:val="00177BDD"/>
    <w:rsid w:val="00180123"/>
    <w:rsid w:val="001805F7"/>
    <w:rsid w:val="00180A4F"/>
    <w:rsid w:val="00180A86"/>
    <w:rsid w:val="001814BD"/>
    <w:rsid w:val="00181B14"/>
    <w:rsid w:val="001835BE"/>
    <w:rsid w:val="00183D53"/>
    <w:rsid w:val="001849F4"/>
    <w:rsid w:val="001854E9"/>
    <w:rsid w:val="001868F8"/>
    <w:rsid w:val="00186F02"/>
    <w:rsid w:val="001903C7"/>
    <w:rsid w:val="00192C86"/>
    <w:rsid w:val="00192F40"/>
    <w:rsid w:val="001947D3"/>
    <w:rsid w:val="00194809"/>
    <w:rsid w:val="00194A4B"/>
    <w:rsid w:val="00195007"/>
    <w:rsid w:val="00195394"/>
    <w:rsid w:val="001964EB"/>
    <w:rsid w:val="001A1148"/>
    <w:rsid w:val="001A1189"/>
    <w:rsid w:val="001A4053"/>
    <w:rsid w:val="001A59BF"/>
    <w:rsid w:val="001A6E1B"/>
    <w:rsid w:val="001B0844"/>
    <w:rsid w:val="001B1B94"/>
    <w:rsid w:val="001B384F"/>
    <w:rsid w:val="001B3B74"/>
    <w:rsid w:val="001B57DA"/>
    <w:rsid w:val="001B5DCC"/>
    <w:rsid w:val="001B6FA8"/>
    <w:rsid w:val="001B707F"/>
    <w:rsid w:val="001C0047"/>
    <w:rsid w:val="001C0CC5"/>
    <w:rsid w:val="001C3012"/>
    <w:rsid w:val="001C4416"/>
    <w:rsid w:val="001C597C"/>
    <w:rsid w:val="001C5E0B"/>
    <w:rsid w:val="001C639E"/>
    <w:rsid w:val="001C684B"/>
    <w:rsid w:val="001D09F3"/>
    <w:rsid w:val="001D1AE4"/>
    <w:rsid w:val="001D231A"/>
    <w:rsid w:val="001D24E8"/>
    <w:rsid w:val="001D4AFE"/>
    <w:rsid w:val="001D52AD"/>
    <w:rsid w:val="001D5BC5"/>
    <w:rsid w:val="001D5EE0"/>
    <w:rsid w:val="001D5F49"/>
    <w:rsid w:val="001D615D"/>
    <w:rsid w:val="001D6546"/>
    <w:rsid w:val="001D6945"/>
    <w:rsid w:val="001D69C9"/>
    <w:rsid w:val="001D76B7"/>
    <w:rsid w:val="001E181A"/>
    <w:rsid w:val="001E2BE0"/>
    <w:rsid w:val="001E3319"/>
    <w:rsid w:val="001E352E"/>
    <w:rsid w:val="001E3990"/>
    <w:rsid w:val="001E3FDC"/>
    <w:rsid w:val="001E425D"/>
    <w:rsid w:val="001E48A4"/>
    <w:rsid w:val="001E5D03"/>
    <w:rsid w:val="001E5D37"/>
    <w:rsid w:val="001E6007"/>
    <w:rsid w:val="001E7BAA"/>
    <w:rsid w:val="001F1540"/>
    <w:rsid w:val="001F2166"/>
    <w:rsid w:val="001F2272"/>
    <w:rsid w:val="001F25BF"/>
    <w:rsid w:val="001F2DF2"/>
    <w:rsid w:val="001F3437"/>
    <w:rsid w:val="001F5184"/>
    <w:rsid w:val="001F531D"/>
    <w:rsid w:val="001F54C2"/>
    <w:rsid w:val="001F5F68"/>
    <w:rsid w:val="001F6D3A"/>
    <w:rsid w:val="00200D57"/>
    <w:rsid w:val="00201137"/>
    <w:rsid w:val="0020130F"/>
    <w:rsid w:val="00201631"/>
    <w:rsid w:val="00204A43"/>
    <w:rsid w:val="00206AC6"/>
    <w:rsid w:val="00206EEF"/>
    <w:rsid w:val="0021001E"/>
    <w:rsid w:val="00211763"/>
    <w:rsid w:val="00212367"/>
    <w:rsid w:val="00212DB9"/>
    <w:rsid w:val="00215542"/>
    <w:rsid w:val="0021674D"/>
    <w:rsid w:val="002167D6"/>
    <w:rsid w:val="00216869"/>
    <w:rsid w:val="002169AE"/>
    <w:rsid w:val="00216B05"/>
    <w:rsid w:val="00216C72"/>
    <w:rsid w:val="00221227"/>
    <w:rsid w:val="00222E67"/>
    <w:rsid w:val="0022397C"/>
    <w:rsid w:val="0022539C"/>
    <w:rsid w:val="00225BA4"/>
    <w:rsid w:val="00226193"/>
    <w:rsid w:val="00226B25"/>
    <w:rsid w:val="002276B4"/>
    <w:rsid w:val="00227B02"/>
    <w:rsid w:val="00231422"/>
    <w:rsid w:val="00234D7D"/>
    <w:rsid w:val="002353BB"/>
    <w:rsid w:val="0023576F"/>
    <w:rsid w:val="00236014"/>
    <w:rsid w:val="00236B23"/>
    <w:rsid w:val="00236D6F"/>
    <w:rsid w:val="00241504"/>
    <w:rsid w:val="00241807"/>
    <w:rsid w:val="00243048"/>
    <w:rsid w:val="00245734"/>
    <w:rsid w:val="00246D87"/>
    <w:rsid w:val="00250A19"/>
    <w:rsid w:val="00251485"/>
    <w:rsid w:val="00252034"/>
    <w:rsid w:val="00252EE9"/>
    <w:rsid w:val="00254DDC"/>
    <w:rsid w:val="00255939"/>
    <w:rsid w:val="00256177"/>
    <w:rsid w:val="002561B6"/>
    <w:rsid w:val="002576E5"/>
    <w:rsid w:val="002605D2"/>
    <w:rsid w:val="0026255B"/>
    <w:rsid w:val="002635E0"/>
    <w:rsid w:val="00263EF6"/>
    <w:rsid w:val="00267D7C"/>
    <w:rsid w:val="00271533"/>
    <w:rsid w:val="002720B6"/>
    <w:rsid w:val="0027506E"/>
    <w:rsid w:val="002753A8"/>
    <w:rsid w:val="00275BAA"/>
    <w:rsid w:val="00276F2E"/>
    <w:rsid w:val="00277C4E"/>
    <w:rsid w:val="00282EAB"/>
    <w:rsid w:val="00283272"/>
    <w:rsid w:val="002856D2"/>
    <w:rsid w:val="00285E74"/>
    <w:rsid w:val="00286B7C"/>
    <w:rsid w:val="002879A6"/>
    <w:rsid w:val="00291736"/>
    <w:rsid w:val="002923D5"/>
    <w:rsid w:val="002942CB"/>
    <w:rsid w:val="00294370"/>
    <w:rsid w:val="002944F8"/>
    <w:rsid w:val="00294ACF"/>
    <w:rsid w:val="00294B13"/>
    <w:rsid w:val="00294BB6"/>
    <w:rsid w:val="00295FB4"/>
    <w:rsid w:val="0029728B"/>
    <w:rsid w:val="00297300"/>
    <w:rsid w:val="002A08F3"/>
    <w:rsid w:val="002A1979"/>
    <w:rsid w:val="002A252A"/>
    <w:rsid w:val="002A2937"/>
    <w:rsid w:val="002A3668"/>
    <w:rsid w:val="002A3E91"/>
    <w:rsid w:val="002A46D2"/>
    <w:rsid w:val="002A5236"/>
    <w:rsid w:val="002A5C8D"/>
    <w:rsid w:val="002B344A"/>
    <w:rsid w:val="002B359E"/>
    <w:rsid w:val="002B3704"/>
    <w:rsid w:val="002B3E77"/>
    <w:rsid w:val="002B44B1"/>
    <w:rsid w:val="002B768E"/>
    <w:rsid w:val="002B791C"/>
    <w:rsid w:val="002C0698"/>
    <w:rsid w:val="002C1997"/>
    <w:rsid w:val="002C51BA"/>
    <w:rsid w:val="002C53BD"/>
    <w:rsid w:val="002C6360"/>
    <w:rsid w:val="002C7EEB"/>
    <w:rsid w:val="002D276B"/>
    <w:rsid w:val="002D2B22"/>
    <w:rsid w:val="002D5060"/>
    <w:rsid w:val="002E2865"/>
    <w:rsid w:val="002E375D"/>
    <w:rsid w:val="002E4BCA"/>
    <w:rsid w:val="002E573F"/>
    <w:rsid w:val="002E65B3"/>
    <w:rsid w:val="002E6651"/>
    <w:rsid w:val="002F09A2"/>
    <w:rsid w:val="002F2255"/>
    <w:rsid w:val="002F2B31"/>
    <w:rsid w:val="002F3280"/>
    <w:rsid w:val="002F3C52"/>
    <w:rsid w:val="002F43D0"/>
    <w:rsid w:val="002F6C1B"/>
    <w:rsid w:val="00301C5C"/>
    <w:rsid w:val="00302A16"/>
    <w:rsid w:val="00302EF7"/>
    <w:rsid w:val="003032C0"/>
    <w:rsid w:val="003048FD"/>
    <w:rsid w:val="00305D2B"/>
    <w:rsid w:val="00307F18"/>
    <w:rsid w:val="00310342"/>
    <w:rsid w:val="00310B1E"/>
    <w:rsid w:val="00311809"/>
    <w:rsid w:val="00313761"/>
    <w:rsid w:val="00313B04"/>
    <w:rsid w:val="00313E0A"/>
    <w:rsid w:val="003142BD"/>
    <w:rsid w:val="00314813"/>
    <w:rsid w:val="003151C9"/>
    <w:rsid w:val="0031531E"/>
    <w:rsid w:val="00315562"/>
    <w:rsid w:val="003161F0"/>
    <w:rsid w:val="003220CE"/>
    <w:rsid w:val="00323898"/>
    <w:rsid w:val="00324585"/>
    <w:rsid w:val="00324776"/>
    <w:rsid w:val="00324AB4"/>
    <w:rsid w:val="00326630"/>
    <w:rsid w:val="003269CA"/>
    <w:rsid w:val="00327B55"/>
    <w:rsid w:val="003304BA"/>
    <w:rsid w:val="0033054A"/>
    <w:rsid w:val="0033177A"/>
    <w:rsid w:val="00332EEC"/>
    <w:rsid w:val="0033550A"/>
    <w:rsid w:val="00335551"/>
    <w:rsid w:val="00337BAC"/>
    <w:rsid w:val="00340458"/>
    <w:rsid w:val="0034072E"/>
    <w:rsid w:val="00342066"/>
    <w:rsid w:val="00342459"/>
    <w:rsid w:val="0034440A"/>
    <w:rsid w:val="00344F0D"/>
    <w:rsid w:val="003468C2"/>
    <w:rsid w:val="00346B69"/>
    <w:rsid w:val="00347707"/>
    <w:rsid w:val="003500EB"/>
    <w:rsid w:val="00350248"/>
    <w:rsid w:val="003502EF"/>
    <w:rsid w:val="003509F0"/>
    <w:rsid w:val="003510EC"/>
    <w:rsid w:val="00351AFF"/>
    <w:rsid w:val="003541CE"/>
    <w:rsid w:val="003600A9"/>
    <w:rsid w:val="00360B49"/>
    <w:rsid w:val="00361C5C"/>
    <w:rsid w:val="00361C62"/>
    <w:rsid w:val="003621AA"/>
    <w:rsid w:val="00362FF2"/>
    <w:rsid w:val="0036354E"/>
    <w:rsid w:val="003644A9"/>
    <w:rsid w:val="00364953"/>
    <w:rsid w:val="003653A9"/>
    <w:rsid w:val="0036645F"/>
    <w:rsid w:val="003702DB"/>
    <w:rsid w:val="00370801"/>
    <w:rsid w:val="00370D88"/>
    <w:rsid w:val="003714D4"/>
    <w:rsid w:val="003721BF"/>
    <w:rsid w:val="00372737"/>
    <w:rsid w:val="0037603E"/>
    <w:rsid w:val="0037649A"/>
    <w:rsid w:val="00381D50"/>
    <w:rsid w:val="00383BC5"/>
    <w:rsid w:val="0038502F"/>
    <w:rsid w:val="003850E6"/>
    <w:rsid w:val="00386272"/>
    <w:rsid w:val="00391356"/>
    <w:rsid w:val="00391E83"/>
    <w:rsid w:val="0039264F"/>
    <w:rsid w:val="003927C7"/>
    <w:rsid w:val="00392F17"/>
    <w:rsid w:val="003955C3"/>
    <w:rsid w:val="003A0222"/>
    <w:rsid w:val="003A0412"/>
    <w:rsid w:val="003A15CB"/>
    <w:rsid w:val="003A2BC9"/>
    <w:rsid w:val="003A3690"/>
    <w:rsid w:val="003A506C"/>
    <w:rsid w:val="003A57A5"/>
    <w:rsid w:val="003A6A47"/>
    <w:rsid w:val="003A6B3A"/>
    <w:rsid w:val="003B02DE"/>
    <w:rsid w:val="003B1C50"/>
    <w:rsid w:val="003B24D2"/>
    <w:rsid w:val="003B2EE4"/>
    <w:rsid w:val="003B7197"/>
    <w:rsid w:val="003B7D7B"/>
    <w:rsid w:val="003B7FE3"/>
    <w:rsid w:val="003C0730"/>
    <w:rsid w:val="003C1BB6"/>
    <w:rsid w:val="003C7EFB"/>
    <w:rsid w:val="003D1D7C"/>
    <w:rsid w:val="003D428D"/>
    <w:rsid w:val="003D5AED"/>
    <w:rsid w:val="003D798D"/>
    <w:rsid w:val="003E1788"/>
    <w:rsid w:val="003E2105"/>
    <w:rsid w:val="003E2AD6"/>
    <w:rsid w:val="003E3862"/>
    <w:rsid w:val="003E4802"/>
    <w:rsid w:val="003E50FF"/>
    <w:rsid w:val="003E5CB5"/>
    <w:rsid w:val="003E6041"/>
    <w:rsid w:val="003E7387"/>
    <w:rsid w:val="003E7854"/>
    <w:rsid w:val="003F0F7D"/>
    <w:rsid w:val="003F2600"/>
    <w:rsid w:val="003F2D7B"/>
    <w:rsid w:val="003F53CE"/>
    <w:rsid w:val="003F5515"/>
    <w:rsid w:val="003F563C"/>
    <w:rsid w:val="003F5A64"/>
    <w:rsid w:val="003F5C4A"/>
    <w:rsid w:val="003F6CB8"/>
    <w:rsid w:val="004008A9"/>
    <w:rsid w:val="004046E3"/>
    <w:rsid w:val="00404A54"/>
    <w:rsid w:val="00405275"/>
    <w:rsid w:val="00405724"/>
    <w:rsid w:val="00407269"/>
    <w:rsid w:val="00407755"/>
    <w:rsid w:val="00410A43"/>
    <w:rsid w:val="00411B47"/>
    <w:rsid w:val="004126D4"/>
    <w:rsid w:val="0041344D"/>
    <w:rsid w:val="004139D2"/>
    <w:rsid w:val="00413E49"/>
    <w:rsid w:val="00415515"/>
    <w:rsid w:val="004156D3"/>
    <w:rsid w:val="0041684B"/>
    <w:rsid w:val="00417450"/>
    <w:rsid w:val="00417F32"/>
    <w:rsid w:val="00421783"/>
    <w:rsid w:val="004218F7"/>
    <w:rsid w:val="00421C5C"/>
    <w:rsid w:val="0042292A"/>
    <w:rsid w:val="00423CDF"/>
    <w:rsid w:val="00426C58"/>
    <w:rsid w:val="004306D1"/>
    <w:rsid w:val="00434351"/>
    <w:rsid w:val="0043543D"/>
    <w:rsid w:val="00435CDC"/>
    <w:rsid w:val="0043669F"/>
    <w:rsid w:val="004378BB"/>
    <w:rsid w:val="004379C5"/>
    <w:rsid w:val="00437B4A"/>
    <w:rsid w:val="00440207"/>
    <w:rsid w:val="00440369"/>
    <w:rsid w:val="00440FF3"/>
    <w:rsid w:val="00441477"/>
    <w:rsid w:val="0044328B"/>
    <w:rsid w:val="004437AA"/>
    <w:rsid w:val="0044414E"/>
    <w:rsid w:val="00444FBD"/>
    <w:rsid w:val="004462EB"/>
    <w:rsid w:val="0044708D"/>
    <w:rsid w:val="0045092B"/>
    <w:rsid w:val="00451BC5"/>
    <w:rsid w:val="00452A2D"/>
    <w:rsid w:val="00454376"/>
    <w:rsid w:val="004564B0"/>
    <w:rsid w:val="00457679"/>
    <w:rsid w:val="0045774E"/>
    <w:rsid w:val="004627C2"/>
    <w:rsid w:val="004638FB"/>
    <w:rsid w:val="00463B04"/>
    <w:rsid w:val="00463C19"/>
    <w:rsid w:val="00463C9B"/>
    <w:rsid w:val="00463CFB"/>
    <w:rsid w:val="00463FB7"/>
    <w:rsid w:val="00464AC2"/>
    <w:rsid w:val="00464EB5"/>
    <w:rsid w:val="004651F5"/>
    <w:rsid w:val="00465273"/>
    <w:rsid w:val="00465477"/>
    <w:rsid w:val="0046565D"/>
    <w:rsid w:val="004657A3"/>
    <w:rsid w:val="0046593B"/>
    <w:rsid w:val="00466084"/>
    <w:rsid w:val="004666BC"/>
    <w:rsid w:val="00466B44"/>
    <w:rsid w:val="0046720D"/>
    <w:rsid w:val="0046724C"/>
    <w:rsid w:val="00471435"/>
    <w:rsid w:val="004721D5"/>
    <w:rsid w:val="00474B7E"/>
    <w:rsid w:val="00474BC3"/>
    <w:rsid w:val="00475531"/>
    <w:rsid w:val="004756A2"/>
    <w:rsid w:val="004757EC"/>
    <w:rsid w:val="004769EC"/>
    <w:rsid w:val="00476BED"/>
    <w:rsid w:val="004808A1"/>
    <w:rsid w:val="00480906"/>
    <w:rsid w:val="0048196B"/>
    <w:rsid w:val="00484890"/>
    <w:rsid w:val="00485225"/>
    <w:rsid w:val="00486215"/>
    <w:rsid w:val="0048710D"/>
    <w:rsid w:val="004873B1"/>
    <w:rsid w:val="0049060A"/>
    <w:rsid w:val="00493E8A"/>
    <w:rsid w:val="00495C43"/>
    <w:rsid w:val="004960E9"/>
    <w:rsid w:val="004971EF"/>
    <w:rsid w:val="004A0C26"/>
    <w:rsid w:val="004A0C9F"/>
    <w:rsid w:val="004A493B"/>
    <w:rsid w:val="004A5056"/>
    <w:rsid w:val="004A543F"/>
    <w:rsid w:val="004A7095"/>
    <w:rsid w:val="004B1A76"/>
    <w:rsid w:val="004B1F09"/>
    <w:rsid w:val="004B2315"/>
    <w:rsid w:val="004B278F"/>
    <w:rsid w:val="004B419F"/>
    <w:rsid w:val="004B60A3"/>
    <w:rsid w:val="004B66BD"/>
    <w:rsid w:val="004B7C51"/>
    <w:rsid w:val="004B7CCF"/>
    <w:rsid w:val="004C06F4"/>
    <w:rsid w:val="004C07AE"/>
    <w:rsid w:val="004C12D3"/>
    <w:rsid w:val="004C1363"/>
    <w:rsid w:val="004C4189"/>
    <w:rsid w:val="004C5AC5"/>
    <w:rsid w:val="004C6B92"/>
    <w:rsid w:val="004D0196"/>
    <w:rsid w:val="004D01EE"/>
    <w:rsid w:val="004D05F4"/>
    <w:rsid w:val="004D1340"/>
    <w:rsid w:val="004D3775"/>
    <w:rsid w:val="004D397A"/>
    <w:rsid w:val="004D39E0"/>
    <w:rsid w:val="004D4B45"/>
    <w:rsid w:val="004D590C"/>
    <w:rsid w:val="004D6E0B"/>
    <w:rsid w:val="004D7763"/>
    <w:rsid w:val="004E04C9"/>
    <w:rsid w:val="004E12E5"/>
    <w:rsid w:val="004E1A2C"/>
    <w:rsid w:val="004E2458"/>
    <w:rsid w:val="004E25AE"/>
    <w:rsid w:val="004E2D3D"/>
    <w:rsid w:val="004E30B7"/>
    <w:rsid w:val="004E46DC"/>
    <w:rsid w:val="004E48C4"/>
    <w:rsid w:val="004E5DB7"/>
    <w:rsid w:val="004E6521"/>
    <w:rsid w:val="004E6F5C"/>
    <w:rsid w:val="004F062C"/>
    <w:rsid w:val="004F27F9"/>
    <w:rsid w:val="004F41AF"/>
    <w:rsid w:val="004F5065"/>
    <w:rsid w:val="00501424"/>
    <w:rsid w:val="0050194F"/>
    <w:rsid w:val="005032B3"/>
    <w:rsid w:val="0050434B"/>
    <w:rsid w:val="00505560"/>
    <w:rsid w:val="005056F3"/>
    <w:rsid w:val="00505F2D"/>
    <w:rsid w:val="005068C8"/>
    <w:rsid w:val="00507024"/>
    <w:rsid w:val="005077B2"/>
    <w:rsid w:val="005079E9"/>
    <w:rsid w:val="00507BB6"/>
    <w:rsid w:val="0051053C"/>
    <w:rsid w:val="00510B71"/>
    <w:rsid w:val="00510DE4"/>
    <w:rsid w:val="00511026"/>
    <w:rsid w:val="005117B4"/>
    <w:rsid w:val="00512589"/>
    <w:rsid w:val="00513206"/>
    <w:rsid w:val="0051457B"/>
    <w:rsid w:val="00515E2F"/>
    <w:rsid w:val="00517F76"/>
    <w:rsid w:val="00520899"/>
    <w:rsid w:val="0052137E"/>
    <w:rsid w:val="00521F0B"/>
    <w:rsid w:val="00522CC7"/>
    <w:rsid w:val="0052313F"/>
    <w:rsid w:val="00526E8D"/>
    <w:rsid w:val="00527842"/>
    <w:rsid w:val="00527C44"/>
    <w:rsid w:val="00527CB6"/>
    <w:rsid w:val="00530441"/>
    <w:rsid w:val="00530B41"/>
    <w:rsid w:val="00532D50"/>
    <w:rsid w:val="005354E0"/>
    <w:rsid w:val="005362CB"/>
    <w:rsid w:val="00536CD9"/>
    <w:rsid w:val="00537FC2"/>
    <w:rsid w:val="005401E4"/>
    <w:rsid w:val="005411C8"/>
    <w:rsid w:val="005419F0"/>
    <w:rsid w:val="0054261E"/>
    <w:rsid w:val="00543B66"/>
    <w:rsid w:val="00544CDD"/>
    <w:rsid w:val="00547D20"/>
    <w:rsid w:val="00547E7E"/>
    <w:rsid w:val="00550B05"/>
    <w:rsid w:val="00550F40"/>
    <w:rsid w:val="005512EA"/>
    <w:rsid w:val="00551503"/>
    <w:rsid w:val="005520A2"/>
    <w:rsid w:val="00555667"/>
    <w:rsid w:val="00555A6F"/>
    <w:rsid w:val="00556410"/>
    <w:rsid w:val="00557C1F"/>
    <w:rsid w:val="00557E4B"/>
    <w:rsid w:val="005606AD"/>
    <w:rsid w:val="00560723"/>
    <w:rsid w:val="00561BA8"/>
    <w:rsid w:val="00564E58"/>
    <w:rsid w:val="00565600"/>
    <w:rsid w:val="00565D2E"/>
    <w:rsid w:val="005662D4"/>
    <w:rsid w:val="0056662C"/>
    <w:rsid w:val="00566722"/>
    <w:rsid w:val="00567446"/>
    <w:rsid w:val="00574892"/>
    <w:rsid w:val="00574C82"/>
    <w:rsid w:val="00577904"/>
    <w:rsid w:val="00580C5C"/>
    <w:rsid w:val="00580CA5"/>
    <w:rsid w:val="0058190E"/>
    <w:rsid w:val="00582F32"/>
    <w:rsid w:val="00583D0A"/>
    <w:rsid w:val="00584D45"/>
    <w:rsid w:val="005852DA"/>
    <w:rsid w:val="00585D1F"/>
    <w:rsid w:val="00586AE5"/>
    <w:rsid w:val="00593B6A"/>
    <w:rsid w:val="00595865"/>
    <w:rsid w:val="005972A7"/>
    <w:rsid w:val="005A0481"/>
    <w:rsid w:val="005A1E34"/>
    <w:rsid w:val="005A2A2E"/>
    <w:rsid w:val="005A3A37"/>
    <w:rsid w:val="005A4505"/>
    <w:rsid w:val="005A5872"/>
    <w:rsid w:val="005A6A9D"/>
    <w:rsid w:val="005B069C"/>
    <w:rsid w:val="005B21A5"/>
    <w:rsid w:val="005B2A86"/>
    <w:rsid w:val="005B2DD9"/>
    <w:rsid w:val="005B3B88"/>
    <w:rsid w:val="005B4AF4"/>
    <w:rsid w:val="005B4BD6"/>
    <w:rsid w:val="005B6F10"/>
    <w:rsid w:val="005B7255"/>
    <w:rsid w:val="005C3626"/>
    <w:rsid w:val="005C52C2"/>
    <w:rsid w:val="005C6E84"/>
    <w:rsid w:val="005C7738"/>
    <w:rsid w:val="005D1CC0"/>
    <w:rsid w:val="005D423C"/>
    <w:rsid w:val="005D4831"/>
    <w:rsid w:val="005D5079"/>
    <w:rsid w:val="005D521D"/>
    <w:rsid w:val="005D7A10"/>
    <w:rsid w:val="005D7BB1"/>
    <w:rsid w:val="005E0762"/>
    <w:rsid w:val="005E0A36"/>
    <w:rsid w:val="005E1118"/>
    <w:rsid w:val="005E28D0"/>
    <w:rsid w:val="005E347E"/>
    <w:rsid w:val="005E3FE3"/>
    <w:rsid w:val="005E410A"/>
    <w:rsid w:val="005E4A46"/>
    <w:rsid w:val="005E4A8F"/>
    <w:rsid w:val="005E535F"/>
    <w:rsid w:val="005E623C"/>
    <w:rsid w:val="005E7564"/>
    <w:rsid w:val="005E76FA"/>
    <w:rsid w:val="005F06F0"/>
    <w:rsid w:val="005F0EDE"/>
    <w:rsid w:val="005F1AA6"/>
    <w:rsid w:val="005F3316"/>
    <w:rsid w:val="005F511F"/>
    <w:rsid w:val="005F58B2"/>
    <w:rsid w:val="005F737E"/>
    <w:rsid w:val="006028D4"/>
    <w:rsid w:val="00602F14"/>
    <w:rsid w:val="00605C33"/>
    <w:rsid w:val="00607C6B"/>
    <w:rsid w:val="00610313"/>
    <w:rsid w:val="006132CE"/>
    <w:rsid w:val="00613AA1"/>
    <w:rsid w:val="006156FA"/>
    <w:rsid w:val="00616FC6"/>
    <w:rsid w:val="00621D3F"/>
    <w:rsid w:val="006240F4"/>
    <w:rsid w:val="00624323"/>
    <w:rsid w:val="006248E3"/>
    <w:rsid w:val="00624E1E"/>
    <w:rsid w:val="006256E7"/>
    <w:rsid w:val="00625E85"/>
    <w:rsid w:val="00626075"/>
    <w:rsid w:val="00626245"/>
    <w:rsid w:val="006266C4"/>
    <w:rsid w:val="006266FF"/>
    <w:rsid w:val="006277BF"/>
    <w:rsid w:val="00627B10"/>
    <w:rsid w:val="00630A76"/>
    <w:rsid w:val="00630C0D"/>
    <w:rsid w:val="00631D7C"/>
    <w:rsid w:val="00632484"/>
    <w:rsid w:val="0063311C"/>
    <w:rsid w:val="0063338E"/>
    <w:rsid w:val="00635C79"/>
    <w:rsid w:val="006371CB"/>
    <w:rsid w:val="00637D35"/>
    <w:rsid w:val="00641ABD"/>
    <w:rsid w:val="00641B6E"/>
    <w:rsid w:val="00641ECF"/>
    <w:rsid w:val="0064316C"/>
    <w:rsid w:val="006450E9"/>
    <w:rsid w:val="00646D48"/>
    <w:rsid w:val="00646E63"/>
    <w:rsid w:val="006470A4"/>
    <w:rsid w:val="00647B81"/>
    <w:rsid w:val="00647EC9"/>
    <w:rsid w:val="00651045"/>
    <w:rsid w:val="0065145C"/>
    <w:rsid w:val="00651C36"/>
    <w:rsid w:val="00652CF9"/>
    <w:rsid w:val="0065367C"/>
    <w:rsid w:val="006553A0"/>
    <w:rsid w:val="006566B4"/>
    <w:rsid w:val="00660B9C"/>
    <w:rsid w:val="00660FA2"/>
    <w:rsid w:val="006649DA"/>
    <w:rsid w:val="00664B03"/>
    <w:rsid w:val="00664D4F"/>
    <w:rsid w:val="00665349"/>
    <w:rsid w:val="0066635D"/>
    <w:rsid w:val="00666692"/>
    <w:rsid w:val="00673557"/>
    <w:rsid w:val="00673A55"/>
    <w:rsid w:val="00674368"/>
    <w:rsid w:val="006747F0"/>
    <w:rsid w:val="006762E6"/>
    <w:rsid w:val="006805C3"/>
    <w:rsid w:val="0068081C"/>
    <w:rsid w:val="00680B96"/>
    <w:rsid w:val="006829A5"/>
    <w:rsid w:val="006829DB"/>
    <w:rsid w:val="0068356E"/>
    <w:rsid w:val="00685061"/>
    <w:rsid w:val="00685F23"/>
    <w:rsid w:val="006862DF"/>
    <w:rsid w:val="00686632"/>
    <w:rsid w:val="00686B25"/>
    <w:rsid w:val="006870C0"/>
    <w:rsid w:val="00687D9A"/>
    <w:rsid w:val="006901FF"/>
    <w:rsid w:val="006902DC"/>
    <w:rsid w:val="00690B60"/>
    <w:rsid w:val="006924B9"/>
    <w:rsid w:val="00694351"/>
    <w:rsid w:val="00696B98"/>
    <w:rsid w:val="006A01E4"/>
    <w:rsid w:val="006A5EFD"/>
    <w:rsid w:val="006A60DB"/>
    <w:rsid w:val="006A6F9E"/>
    <w:rsid w:val="006A760C"/>
    <w:rsid w:val="006B02C1"/>
    <w:rsid w:val="006B09AB"/>
    <w:rsid w:val="006B1899"/>
    <w:rsid w:val="006B33C8"/>
    <w:rsid w:val="006B3782"/>
    <w:rsid w:val="006B5B55"/>
    <w:rsid w:val="006C066F"/>
    <w:rsid w:val="006C08DD"/>
    <w:rsid w:val="006C0E9C"/>
    <w:rsid w:val="006C0FEC"/>
    <w:rsid w:val="006C24DE"/>
    <w:rsid w:val="006C29B0"/>
    <w:rsid w:val="006C2DB4"/>
    <w:rsid w:val="006C3AD6"/>
    <w:rsid w:val="006C4C88"/>
    <w:rsid w:val="006C5293"/>
    <w:rsid w:val="006C56D4"/>
    <w:rsid w:val="006C72E1"/>
    <w:rsid w:val="006D0BCA"/>
    <w:rsid w:val="006D1811"/>
    <w:rsid w:val="006D22F3"/>
    <w:rsid w:val="006D705E"/>
    <w:rsid w:val="006D7272"/>
    <w:rsid w:val="006E1C0D"/>
    <w:rsid w:val="006E2CC9"/>
    <w:rsid w:val="006E39C9"/>
    <w:rsid w:val="006E3B25"/>
    <w:rsid w:val="006E5769"/>
    <w:rsid w:val="006E59A3"/>
    <w:rsid w:val="006E5EE7"/>
    <w:rsid w:val="006E64AD"/>
    <w:rsid w:val="006E6E1C"/>
    <w:rsid w:val="006E7F9B"/>
    <w:rsid w:val="006F1850"/>
    <w:rsid w:val="006F2098"/>
    <w:rsid w:val="006F2A8C"/>
    <w:rsid w:val="006F38C4"/>
    <w:rsid w:val="006F4ECD"/>
    <w:rsid w:val="006F58F6"/>
    <w:rsid w:val="006F59AF"/>
    <w:rsid w:val="006F7930"/>
    <w:rsid w:val="006F7DE9"/>
    <w:rsid w:val="00700A3A"/>
    <w:rsid w:val="00700E5B"/>
    <w:rsid w:val="00701BA1"/>
    <w:rsid w:val="007036DB"/>
    <w:rsid w:val="00703ABF"/>
    <w:rsid w:val="00706210"/>
    <w:rsid w:val="0070643D"/>
    <w:rsid w:val="007112A7"/>
    <w:rsid w:val="0071135D"/>
    <w:rsid w:val="00711865"/>
    <w:rsid w:val="00711934"/>
    <w:rsid w:val="007119F9"/>
    <w:rsid w:val="007122B8"/>
    <w:rsid w:val="007146C7"/>
    <w:rsid w:val="00714B73"/>
    <w:rsid w:val="0071532C"/>
    <w:rsid w:val="0071562E"/>
    <w:rsid w:val="00716349"/>
    <w:rsid w:val="00717564"/>
    <w:rsid w:val="007209F1"/>
    <w:rsid w:val="00720A99"/>
    <w:rsid w:val="00721333"/>
    <w:rsid w:val="00721527"/>
    <w:rsid w:val="00722201"/>
    <w:rsid w:val="007227A0"/>
    <w:rsid w:val="00722932"/>
    <w:rsid w:val="00722A05"/>
    <w:rsid w:val="00724DC6"/>
    <w:rsid w:val="0072658D"/>
    <w:rsid w:val="00726758"/>
    <w:rsid w:val="007271D7"/>
    <w:rsid w:val="007274B3"/>
    <w:rsid w:val="00731591"/>
    <w:rsid w:val="00731E76"/>
    <w:rsid w:val="00732D96"/>
    <w:rsid w:val="007337D0"/>
    <w:rsid w:val="00734198"/>
    <w:rsid w:val="007341C9"/>
    <w:rsid w:val="0073441A"/>
    <w:rsid w:val="00734BEC"/>
    <w:rsid w:val="00741B41"/>
    <w:rsid w:val="00741BB5"/>
    <w:rsid w:val="007421E6"/>
    <w:rsid w:val="00743F4A"/>
    <w:rsid w:val="00744534"/>
    <w:rsid w:val="00744C14"/>
    <w:rsid w:val="00744E3D"/>
    <w:rsid w:val="0074517F"/>
    <w:rsid w:val="00745BC7"/>
    <w:rsid w:val="0074717F"/>
    <w:rsid w:val="00747775"/>
    <w:rsid w:val="007479D2"/>
    <w:rsid w:val="00750489"/>
    <w:rsid w:val="007537C5"/>
    <w:rsid w:val="00753D67"/>
    <w:rsid w:val="0075461E"/>
    <w:rsid w:val="007547EF"/>
    <w:rsid w:val="00755AD3"/>
    <w:rsid w:val="00756279"/>
    <w:rsid w:val="00756D9A"/>
    <w:rsid w:val="00756E24"/>
    <w:rsid w:val="007614E0"/>
    <w:rsid w:val="00763ACD"/>
    <w:rsid w:val="007647D1"/>
    <w:rsid w:val="00764F07"/>
    <w:rsid w:val="0076517E"/>
    <w:rsid w:val="00765833"/>
    <w:rsid w:val="00765C02"/>
    <w:rsid w:val="00770193"/>
    <w:rsid w:val="00770B8C"/>
    <w:rsid w:val="00770C17"/>
    <w:rsid w:val="00772487"/>
    <w:rsid w:val="0077426B"/>
    <w:rsid w:val="00774658"/>
    <w:rsid w:val="007753AE"/>
    <w:rsid w:val="00775A52"/>
    <w:rsid w:val="00776C64"/>
    <w:rsid w:val="00776E18"/>
    <w:rsid w:val="0077700F"/>
    <w:rsid w:val="007770CD"/>
    <w:rsid w:val="00777546"/>
    <w:rsid w:val="007803A0"/>
    <w:rsid w:val="00781A58"/>
    <w:rsid w:val="00783C77"/>
    <w:rsid w:val="00783F1E"/>
    <w:rsid w:val="00784916"/>
    <w:rsid w:val="007850CE"/>
    <w:rsid w:val="00785413"/>
    <w:rsid w:val="007868A4"/>
    <w:rsid w:val="00786CBF"/>
    <w:rsid w:val="00787877"/>
    <w:rsid w:val="0079105F"/>
    <w:rsid w:val="00791720"/>
    <w:rsid w:val="00791946"/>
    <w:rsid w:val="00793DA3"/>
    <w:rsid w:val="00794AB4"/>
    <w:rsid w:val="00794CF2"/>
    <w:rsid w:val="007968EF"/>
    <w:rsid w:val="007A0072"/>
    <w:rsid w:val="007A1668"/>
    <w:rsid w:val="007A1B04"/>
    <w:rsid w:val="007A1C0A"/>
    <w:rsid w:val="007A26FD"/>
    <w:rsid w:val="007A312F"/>
    <w:rsid w:val="007A3343"/>
    <w:rsid w:val="007A360A"/>
    <w:rsid w:val="007A3DD0"/>
    <w:rsid w:val="007A65AF"/>
    <w:rsid w:val="007A7401"/>
    <w:rsid w:val="007A76BA"/>
    <w:rsid w:val="007B1574"/>
    <w:rsid w:val="007B211F"/>
    <w:rsid w:val="007C0BB8"/>
    <w:rsid w:val="007C4490"/>
    <w:rsid w:val="007C5F59"/>
    <w:rsid w:val="007C67C7"/>
    <w:rsid w:val="007C6E61"/>
    <w:rsid w:val="007C7228"/>
    <w:rsid w:val="007D107E"/>
    <w:rsid w:val="007D3283"/>
    <w:rsid w:val="007E1843"/>
    <w:rsid w:val="007E2744"/>
    <w:rsid w:val="007E2BB8"/>
    <w:rsid w:val="007E2FCE"/>
    <w:rsid w:val="007E31F2"/>
    <w:rsid w:val="007E473C"/>
    <w:rsid w:val="007E4BC7"/>
    <w:rsid w:val="007E53EF"/>
    <w:rsid w:val="007E69E6"/>
    <w:rsid w:val="007E6F5B"/>
    <w:rsid w:val="007E7155"/>
    <w:rsid w:val="007E7A13"/>
    <w:rsid w:val="007F0EA6"/>
    <w:rsid w:val="007F41AF"/>
    <w:rsid w:val="007F599A"/>
    <w:rsid w:val="007F6233"/>
    <w:rsid w:val="007F66BF"/>
    <w:rsid w:val="007F7999"/>
    <w:rsid w:val="007F7A98"/>
    <w:rsid w:val="00800EC5"/>
    <w:rsid w:val="00802FFC"/>
    <w:rsid w:val="00804176"/>
    <w:rsid w:val="00805B96"/>
    <w:rsid w:val="008068ED"/>
    <w:rsid w:val="008075ED"/>
    <w:rsid w:val="0080769B"/>
    <w:rsid w:val="00807D91"/>
    <w:rsid w:val="0081364D"/>
    <w:rsid w:val="00816CD1"/>
    <w:rsid w:val="0081749D"/>
    <w:rsid w:val="008214FD"/>
    <w:rsid w:val="00821CF9"/>
    <w:rsid w:val="00822E9A"/>
    <w:rsid w:val="00825252"/>
    <w:rsid w:val="00826531"/>
    <w:rsid w:val="0083020D"/>
    <w:rsid w:val="00830B2E"/>
    <w:rsid w:val="00831ED0"/>
    <w:rsid w:val="0083330B"/>
    <w:rsid w:val="00834692"/>
    <w:rsid w:val="00836706"/>
    <w:rsid w:val="0083750E"/>
    <w:rsid w:val="00837E4F"/>
    <w:rsid w:val="00840FF3"/>
    <w:rsid w:val="00841FDB"/>
    <w:rsid w:val="008422B2"/>
    <w:rsid w:val="0084450D"/>
    <w:rsid w:val="008449C4"/>
    <w:rsid w:val="00847628"/>
    <w:rsid w:val="00847C09"/>
    <w:rsid w:val="00847F10"/>
    <w:rsid w:val="008512A2"/>
    <w:rsid w:val="0085477F"/>
    <w:rsid w:val="0085493B"/>
    <w:rsid w:val="00854A00"/>
    <w:rsid w:val="00857A79"/>
    <w:rsid w:val="00861315"/>
    <w:rsid w:val="00861DA6"/>
    <w:rsid w:val="008626F4"/>
    <w:rsid w:val="0086327E"/>
    <w:rsid w:val="00863464"/>
    <w:rsid w:val="00863B48"/>
    <w:rsid w:val="00864338"/>
    <w:rsid w:val="00865307"/>
    <w:rsid w:val="00866C55"/>
    <w:rsid w:val="00871BC5"/>
    <w:rsid w:val="00872A1F"/>
    <w:rsid w:val="008733CF"/>
    <w:rsid w:val="0087366D"/>
    <w:rsid w:val="00873677"/>
    <w:rsid w:val="00874397"/>
    <w:rsid w:val="008749E3"/>
    <w:rsid w:val="00874F22"/>
    <w:rsid w:val="00876697"/>
    <w:rsid w:val="00876925"/>
    <w:rsid w:val="00877097"/>
    <w:rsid w:val="0087759B"/>
    <w:rsid w:val="0088290A"/>
    <w:rsid w:val="00882E97"/>
    <w:rsid w:val="008838A0"/>
    <w:rsid w:val="00886005"/>
    <w:rsid w:val="0088623C"/>
    <w:rsid w:val="00886E73"/>
    <w:rsid w:val="00887A05"/>
    <w:rsid w:val="00887A5D"/>
    <w:rsid w:val="00887B7F"/>
    <w:rsid w:val="00887F2B"/>
    <w:rsid w:val="008907E4"/>
    <w:rsid w:val="00890A00"/>
    <w:rsid w:val="00890E7B"/>
    <w:rsid w:val="008912F1"/>
    <w:rsid w:val="008914DA"/>
    <w:rsid w:val="008921FB"/>
    <w:rsid w:val="00893226"/>
    <w:rsid w:val="00894B8F"/>
    <w:rsid w:val="008969E5"/>
    <w:rsid w:val="008A0C6B"/>
    <w:rsid w:val="008A18FC"/>
    <w:rsid w:val="008A4035"/>
    <w:rsid w:val="008A51DB"/>
    <w:rsid w:val="008A69C8"/>
    <w:rsid w:val="008A7352"/>
    <w:rsid w:val="008A7927"/>
    <w:rsid w:val="008B16BD"/>
    <w:rsid w:val="008B2700"/>
    <w:rsid w:val="008B2982"/>
    <w:rsid w:val="008B4B42"/>
    <w:rsid w:val="008B5829"/>
    <w:rsid w:val="008B64C0"/>
    <w:rsid w:val="008B7795"/>
    <w:rsid w:val="008B7E26"/>
    <w:rsid w:val="008C03A9"/>
    <w:rsid w:val="008C0547"/>
    <w:rsid w:val="008C1827"/>
    <w:rsid w:val="008C201F"/>
    <w:rsid w:val="008C26D1"/>
    <w:rsid w:val="008C36C6"/>
    <w:rsid w:val="008C73E0"/>
    <w:rsid w:val="008C79BA"/>
    <w:rsid w:val="008D0E17"/>
    <w:rsid w:val="008D109D"/>
    <w:rsid w:val="008D2A00"/>
    <w:rsid w:val="008D44C2"/>
    <w:rsid w:val="008D4BFA"/>
    <w:rsid w:val="008D533C"/>
    <w:rsid w:val="008D72ED"/>
    <w:rsid w:val="008D76C3"/>
    <w:rsid w:val="008D7A69"/>
    <w:rsid w:val="008D7DDD"/>
    <w:rsid w:val="008E26DD"/>
    <w:rsid w:val="008E53ED"/>
    <w:rsid w:val="008E548F"/>
    <w:rsid w:val="008E5AB8"/>
    <w:rsid w:val="008E5EEA"/>
    <w:rsid w:val="008E6F1C"/>
    <w:rsid w:val="008E7F1C"/>
    <w:rsid w:val="008F4E3D"/>
    <w:rsid w:val="008F518B"/>
    <w:rsid w:val="008F51FC"/>
    <w:rsid w:val="008F5255"/>
    <w:rsid w:val="008F5545"/>
    <w:rsid w:val="008F5D90"/>
    <w:rsid w:val="008F6794"/>
    <w:rsid w:val="008F6D95"/>
    <w:rsid w:val="008F707E"/>
    <w:rsid w:val="008F7370"/>
    <w:rsid w:val="009007F6"/>
    <w:rsid w:val="00901D0F"/>
    <w:rsid w:val="00902CE9"/>
    <w:rsid w:val="0090303E"/>
    <w:rsid w:val="009065D1"/>
    <w:rsid w:val="009066FF"/>
    <w:rsid w:val="00907A9A"/>
    <w:rsid w:val="00910181"/>
    <w:rsid w:val="00913DC3"/>
    <w:rsid w:val="00914FC6"/>
    <w:rsid w:val="00917029"/>
    <w:rsid w:val="00917977"/>
    <w:rsid w:val="00917CCE"/>
    <w:rsid w:val="009206CE"/>
    <w:rsid w:val="009208C1"/>
    <w:rsid w:val="009236C5"/>
    <w:rsid w:val="00923C14"/>
    <w:rsid w:val="009309CE"/>
    <w:rsid w:val="00931E8F"/>
    <w:rsid w:val="0093272D"/>
    <w:rsid w:val="00932BD9"/>
    <w:rsid w:val="00933A6B"/>
    <w:rsid w:val="0093470A"/>
    <w:rsid w:val="009350F7"/>
    <w:rsid w:val="00935EF2"/>
    <w:rsid w:val="00936D78"/>
    <w:rsid w:val="009376BF"/>
    <w:rsid w:val="009377B6"/>
    <w:rsid w:val="00940EEF"/>
    <w:rsid w:val="009423B3"/>
    <w:rsid w:val="009438D9"/>
    <w:rsid w:val="00944E9C"/>
    <w:rsid w:val="00945552"/>
    <w:rsid w:val="00946147"/>
    <w:rsid w:val="0094777A"/>
    <w:rsid w:val="009506C5"/>
    <w:rsid w:val="00951EDA"/>
    <w:rsid w:val="00952BD6"/>
    <w:rsid w:val="009532B6"/>
    <w:rsid w:val="00953E19"/>
    <w:rsid w:val="009555DF"/>
    <w:rsid w:val="009556EB"/>
    <w:rsid w:val="00956F3B"/>
    <w:rsid w:val="00956F9D"/>
    <w:rsid w:val="00960BB4"/>
    <w:rsid w:val="00961850"/>
    <w:rsid w:val="00962EB5"/>
    <w:rsid w:val="009644A8"/>
    <w:rsid w:val="00964972"/>
    <w:rsid w:val="0097209B"/>
    <w:rsid w:val="0097222F"/>
    <w:rsid w:val="009755D6"/>
    <w:rsid w:val="009757AA"/>
    <w:rsid w:val="00975C40"/>
    <w:rsid w:val="00975DAC"/>
    <w:rsid w:val="00976BE2"/>
    <w:rsid w:val="00980256"/>
    <w:rsid w:val="00983F62"/>
    <w:rsid w:val="00986B66"/>
    <w:rsid w:val="009870C8"/>
    <w:rsid w:val="0099019E"/>
    <w:rsid w:val="009904B7"/>
    <w:rsid w:val="00990EAB"/>
    <w:rsid w:val="009910E9"/>
    <w:rsid w:val="009919F0"/>
    <w:rsid w:val="00993CD1"/>
    <w:rsid w:val="00993EFD"/>
    <w:rsid w:val="00994B5C"/>
    <w:rsid w:val="009964F1"/>
    <w:rsid w:val="0099786D"/>
    <w:rsid w:val="009A1918"/>
    <w:rsid w:val="009A2E0C"/>
    <w:rsid w:val="009A3B33"/>
    <w:rsid w:val="009A4B24"/>
    <w:rsid w:val="009A4F63"/>
    <w:rsid w:val="009A5417"/>
    <w:rsid w:val="009A62A8"/>
    <w:rsid w:val="009A6D44"/>
    <w:rsid w:val="009A7AAB"/>
    <w:rsid w:val="009A7AC4"/>
    <w:rsid w:val="009B0F65"/>
    <w:rsid w:val="009B1161"/>
    <w:rsid w:val="009B2624"/>
    <w:rsid w:val="009B48EF"/>
    <w:rsid w:val="009B4B39"/>
    <w:rsid w:val="009B4B88"/>
    <w:rsid w:val="009B5309"/>
    <w:rsid w:val="009B6003"/>
    <w:rsid w:val="009B697E"/>
    <w:rsid w:val="009B6B19"/>
    <w:rsid w:val="009B7E76"/>
    <w:rsid w:val="009C1FF8"/>
    <w:rsid w:val="009C23CD"/>
    <w:rsid w:val="009C2E66"/>
    <w:rsid w:val="009C394D"/>
    <w:rsid w:val="009C3A80"/>
    <w:rsid w:val="009C44E7"/>
    <w:rsid w:val="009C4ADA"/>
    <w:rsid w:val="009C51F4"/>
    <w:rsid w:val="009C52E5"/>
    <w:rsid w:val="009C6244"/>
    <w:rsid w:val="009C6864"/>
    <w:rsid w:val="009D06AC"/>
    <w:rsid w:val="009D0B94"/>
    <w:rsid w:val="009D1B56"/>
    <w:rsid w:val="009D288F"/>
    <w:rsid w:val="009D2BF8"/>
    <w:rsid w:val="009D309B"/>
    <w:rsid w:val="009E0FFE"/>
    <w:rsid w:val="009E170C"/>
    <w:rsid w:val="009E254D"/>
    <w:rsid w:val="009E2B3A"/>
    <w:rsid w:val="009E3BB4"/>
    <w:rsid w:val="009E40F2"/>
    <w:rsid w:val="009E52A2"/>
    <w:rsid w:val="009E6451"/>
    <w:rsid w:val="009E7755"/>
    <w:rsid w:val="009F0581"/>
    <w:rsid w:val="009F0B8F"/>
    <w:rsid w:val="009F1BCD"/>
    <w:rsid w:val="009F375E"/>
    <w:rsid w:val="009F396C"/>
    <w:rsid w:val="009F4C85"/>
    <w:rsid w:val="009F5CA2"/>
    <w:rsid w:val="009F606A"/>
    <w:rsid w:val="009F6893"/>
    <w:rsid w:val="009F7428"/>
    <w:rsid w:val="009F7607"/>
    <w:rsid w:val="009F7DA1"/>
    <w:rsid w:val="00A003DA"/>
    <w:rsid w:val="00A00EF2"/>
    <w:rsid w:val="00A02023"/>
    <w:rsid w:val="00A02024"/>
    <w:rsid w:val="00A044E5"/>
    <w:rsid w:val="00A06209"/>
    <w:rsid w:val="00A10E94"/>
    <w:rsid w:val="00A11B92"/>
    <w:rsid w:val="00A12503"/>
    <w:rsid w:val="00A1494F"/>
    <w:rsid w:val="00A157DF"/>
    <w:rsid w:val="00A17412"/>
    <w:rsid w:val="00A204D5"/>
    <w:rsid w:val="00A205D1"/>
    <w:rsid w:val="00A20823"/>
    <w:rsid w:val="00A21313"/>
    <w:rsid w:val="00A22C84"/>
    <w:rsid w:val="00A23A4E"/>
    <w:rsid w:val="00A2467E"/>
    <w:rsid w:val="00A308BC"/>
    <w:rsid w:val="00A31EF3"/>
    <w:rsid w:val="00A32FF2"/>
    <w:rsid w:val="00A33533"/>
    <w:rsid w:val="00A34764"/>
    <w:rsid w:val="00A35615"/>
    <w:rsid w:val="00A37241"/>
    <w:rsid w:val="00A40CC1"/>
    <w:rsid w:val="00A41C22"/>
    <w:rsid w:val="00A4270E"/>
    <w:rsid w:val="00A50903"/>
    <w:rsid w:val="00A51393"/>
    <w:rsid w:val="00A51AD8"/>
    <w:rsid w:val="00A51DD0"/>
    <w:rsid w:val="00A537AA"/>
    <w:rsid w:val="00A53BB0"/>
    <w:rsid w:val="00A54E56"/>
    <w:rsid w:val="00A5527F"/>
    <w:rsid w:val="00A553AA"/>
    <w:rsid w:val="00A56B6C"/>
    <w:rsid w:val="00A56E94"/>
    <w:rsid w:val="00A57420"/>
    <w:rsid w:val="00A574A4"/>
    <w:rsid w:val="00A60138"/>
    <w:rsid w:val="00A612C5"/>
    <w:rsid w:val="00A62FF1"/>
    <w:rsid w:val="00A63864"/>
    <w:rsid w:val="00A651E7"/>
    <w:rsid w:val="00A66A2B"/>
    <w:rsid w:val="00A66C53"/>
    <w:rsid w:val="00A71563"/>
    <w:rsid w:val="00A72C43"/>
    <w:rsid w:val="00A72FFA"/>
    <w:rsid w:val="00A74411"/>
    <w:rsid w:val="00A75546"/>
    <w:rsid w:val="00A77801"/>
    <w:rsid w:val="00A8193F"/>
    <w:rsid w:val="00A81EB8"/>
    <w:rsid w:val="00A82949"/>
    <w:rsid w:val="00A833F8"/>
    <w:rsid w:val="00A86813"/>
    <w:rsid w:val="00A86FC0"/>
    <w:rsid w:val="00A90DE9"/>
    <w:rsid w:val="00A91F5D"/>
    <w:rsid w:val="00A92DD8"/>
    <w:rsid w:val="00A9360D"/>
    <w:rsid w:val="00A937C4"/>
    <w:rsid w:val="00A950A6"/>
    <w:rsid w:val="00A960C5"/>
    <w:rsid w:val="00A96F17"/>
    <w:rsid w:val="00AA0C99"/>
    <w:rsid w:val="00AA19A1"/>
    <w:rsid w:val="00AA23EB"/>
    <w:rsid w:val="00AA4737"/>
    <w:rsid w:val="00AA47F0"/>
    <w:rsid w:val="00AA4C68"/>
    <w:rsid w:val="00AA639E"/>
    <w:rsid w:val="00AA6498"/>
    <w:rsid w:val="00AA6686"/>
    <w:rsid w:val="00AA77DF"/>
    <w:rsid w:val="00AA79E4"/>
    <w:rsid w:val="00AB01C1"/>
    <w:rsid w:val="00AB08F5"/>
    <w:rsid w:val="00AB37DB"/>
    <w:rsid w:val="00AB4EC7"/>
    <w:rsid w:val="00AB644F"/>
    <w:rsid w:val="00AB6E2E"/>
    <w:rsid w:val="00AB7091"/>
    <w:rsid w:val="00AB77A3"/>
    <w:rsid w:val="00AC0CCA"/>
    <w:rsid w:val="00AC0D21"/>
    <w:rsid w:val="00AC1372"/>
    <w:rsid w:val="00AC23A1"/>
    <w:rsid w:val="00AC3571"/>
    <w:rsid w:val="00AC6230"/>
    <w:rsid w:val="00AC6A07"/>
    <w:rsid w:val="00AC79B4"/>
    <w:rsid w:val="00AC7FC2"/>
    <w:rsid w:val="00AD04D6"/>
    <w:rsid w:val="00AD0578"/>
    <w:rsid w:val="00AD12A0"/>
    <w:rsid w:val="00AD12A2"/>
    <w:rsid w:val="00AD3AA4"/>
    <w:rsid w:val="00AD441A"/>
    <w:rsid w:val="00AD493D"/>
    <w:rsid w:val="00AD7A54"/>
    <w:rsid w:val="00AE0488"/>
    <w:rsid w:val="00AE1908"/>
    <w:rsid w:val="00AE27E2"/>
    <w:rsid w:val="00AE2CB2"/>
    <w:rsid w:val="00AE3808"/>
    <w:rsid w:val="00AE720D"/>
    <w:rsid w:val="00AE76D4"/>
    <w:rsid w:val="00AF0EC2"/>
    <w:rsid w:val="00AF1143"/>
    <w:rsid w:val="00AF510F"/>
    <w:rsid w:val="00AF5ACB"/>
    <w:rsid w:val="00AF5D4B"/>
    <w:rsid w:val="00AF71F1"/>
    <w:rsid w:val="00B000F7"/>
    <w:rsid w:val="00B0022A"/>
    <w:rsid w:val="00B00C56"/>
    <w:rsid w:val="00B02F9C"/>
    <w:rsid w:val="00B039E0"/>
    <w:rsid w:val="00B03AF5"/>
    <w:rsid w:val="00B0476A"/>
    <w:rsid w:val="00B05042"/>
    <w:rsid w:val="00B06254"/>
    <w:rsid w:val="00B13B88"/>
    <w:rsid w:val="00B13D02"/>
    <w:rsid w:val="00B174A3"/>
    <w:rsid w:val="00B20970"/>
    <w:rsid w:val="00B21D75"/>
    <w:rsid w:val="00B21D9B"/>
    <w:rsid w:val="00B22482"/>
    <w:rsid w:val="00B226BA"/>
    <w:rsid w:val="00B23E4C"/>
    <w:rsid w:val="00B25C0A"/>
    <w:rsid w:val="00B27C4C"/>
    <w:rsid w:val="00B32630"/>
    <w:rsid w:val="00B32C2E"/>
    <w:rsid w:val="00B33DFA"/>
    <w:rsid w:val="00B35118"/>
    <w:rsid w:val="00B354EC"/>
    <w:rsid w:val="00B359A9"/>
    <w:rsid w:val="00B35ACE"/>
    <w:rsid w:val="00B363AE"/>
    <w:rsid w:val="00B36AE0"/>
    <w:rsid w:val="00B37724"/>
    <w:rsid w:val="00B4078A"/>
    <w:rsid w:val="00B408B2"/>
    <w:rsid w:val="00B40BC7"/>
    <w:rsid w:val="00B40CD0"/>
    <w:rsid w:val="00B41032"/>
    <w:rsid w:val="00B4168C"/>
    <w:rsid w:val="00B46571"/>
    <w:rsid w:val="00B476DC"/>
    <w:rsid w:val="00B47FC0"/>
    <w:rsid w:val="00B51344"/>
    <w:rsid w:val="00B52D9F"/>
    <w:rsid w:val="00B535B2"/>
    <w:rsid w:val="00B53F30"/>
    <w:rsid w:val="00B548CE"/>
    <w:rsid w:val="00B5786B"/>
    <w:rsid w:val="00B57875"/>
    <w:rsid w:val="00B60D71"/>
    <w:rsid w:val="00B63565"/>
    <w:rsid w:val="00B636D1"/>
    <w:rsid w:val="00B6397D"/>
    <w:rsid w:val="00B66892"/>
    <w:rsid w:val="00B66D85"/>
    <w:rsid w:val="00B705DA"/>
    <w:rsid w:val="00B705DC"/>
    <w:rsid w:val="00B707EA"/>
    <w:rsid w:val="00B7101A"/>
    <w:rsid w:val="00B71C61"/>
    <w:rsid w:val="00B72F5D"/>
    <w:rsid w:val="00B73568"/>
    <w:rsid w:val="00B7366E"/>
    <w:rsid w:val="00B75F07"/>
    <w:rsid w:val="00B76C99"/>
    <w:rsid w:val="00B76F91"/>
    <w:rsid w:val="00B77B05"/>
    <w:rsid w:val="00B8187F"/>
    <w:rsid w:val="00B82E58"/>
    <w:rsid w:val="00B83E4F"/>
    <w:rsid w:val="00B84920"/>
    <w:rsid w:val="00B851A9"/>
    <w:rsid w:val="00B85E25"/>
    <w:rsid w:val="00B86A18"/>
    <w:rsid w:val="00B86FD7"/>
    <w:rsid w:val="00B875AE"/>
    <w:rsid w:val="00B912CF"/>
    <w:rsid w:val="00B93C91"/>
    <w:rsid w:val="00B94A0F"/>
    <w:rsid w:val="00B94C47"/>
    <w:rsid w:val="00B94DF0"/>
    <w:rsid w:val="00B95FD6"/>
    <w:rsid w:val="00BA1ABD"/>
    <w:rsid w:val="00BA274B"/>
    <w:rsid w:val="00BA2C6F"/>
    <w:rsid w:val="00BA4317"/>
    <w:rsid w:val="00BA50C5"/>
    <w:rsid w:val="00BA7565"/>
    <w:rsid w:val="00BB2657"/>
    <w:rsid w:val="00BB2A57"/>
    <w:rsid w:val="00BB2F75"/>
    <w:rsid w:val="00BB306F"/>
    <w:rsid w:val="00BB4980"/>
    <w:rsid w:val="00BB5B27"/>
    <w:rsid w:val="00BB6F85"/>
    <w:rsid w:val="00BC045E"/>
    <w:rsid w:val="00BC1A03"/>
    <w:rsid w:val="00BC261A"/>
    <w:rsid w:val="00BC2F4A"/>
    <w:rsid w:val="00BC5289"/>
    <w:rsid w:val="00BC65DE"/>
    <w:rsid w:val="00BD009E"/>
    <w:rsid w:val="00BD18F0"/>
    <w:rsid w:val="00BD19A1"/>
    <w:rsid w:val="00BD2B8C"/>
    <w:rsid w:val="00BD2D88"/>
    <w:rsid w:val="00BD4989"/>
    <w:rsid w:val="00BD6BBD"/>
    <w:rsid w:val="00BE003A"/>
    <w:rsid w:val="00BE1233"/>
    <w:rsid w:val="00BE1377"/>
    <w:rsid w:val="00BE1E90"/>
    <w:rsid w:val="00BE32FD"/>
    <w:rsid w:val="00BE39B3"/>
    <w:rsid w:val="00BE3BC6"/>
    <w:rsid w:val="00BE50D9"/>
    <w:rsid w:val="00BE5625"/>
    <w:rsid w:val="00BE5D60"/>
    <w:rsid w:val="00BE6536"/>
    <w:rsid w:val="00BF0783"/>
    <w:rsid w:val="00BF0BA8"/>
    <w:rsid w:val="00BF15DE"/>
    <w:rsid w:val="00BF2E32"/>
    <w:rsid w:val="00BF3B1E"/>
    <w:rsid w:val="00BF3EC0"/>
    <w:rsid w:val="00BF3FAC"/>
    <w:rsid w:val="00C01096"/>
    <w:rsid w:val="00C02B4A"/>
    <w:rsid w:val="00C03774"/>
    <w:rsid w:val="00C042E2"/>
    <w:rsid w:val="00C06583"/>
    <w:rsid w:val="00C0681A"/>
    <w:rsid w:val="00C06903"/>
    <w:rsid w:val="00C06C10"/>
    <w:rsid w:val="00C10CEC"/>
    <w:rsid w:val="00C12597"/>
    <w:rsid w:val="00C137E2"/>
    <w:rsid w:val="00C13EE4"/>
    <w:rsid w:val="00C20B4D"/>
    <w:rsid w:val="00C20C02"/>
    <w:rsid w:val="00C20F79"/>
    <w:rsid w:val="00C21E7B"/>
    <w:rsid w:val="00C222B1"/>
    <w:rsid w:val="00C2359F"/>
    <w:rsid w:val="00C23F31"/>
    <w:rsid w:val="00C2571C"/>
    <w:rsid w:val="00C27426"/>
    <w:rsid w:val="00C30EBB"/>
    <w:rsid w:val="00C31245"/>
    <w:rsid w:val="00C3228C"/>
    <w:rsid w:val="00C32328"/>
    <w:rsid w:val="00C338D1"/>
    <w:rsid w:val="00C34B8D"/>
    <w:rsid w:val="00C40838"/>
    <w:rsid w:val="00C42963"/>
    <w:rsid w:val="00C4304E"/>
    <w:rsid w:val="00C43C35"/>
    <w:rsid w:val="00C46B50"/>
    <w:rsid w:val="00C46D77"/>
    <w:rsid w:val="00C504E4"/>
    <w:rsid w:val="00C51725"/>
    <w:rsid w:val="00C52A2E"/>
    <w:rsid w:val="00C53358"/>
    <w:rsid w:val="00C54657"/>
    <w:rsid w:val="00C54F38"/>
    <w:rsid w:val="00C5560F"/>
    <w:rsid w:val="00C56B41"/>
    <w:rsid w:val="00C56C2A"/>
    <w:rsid w:val="00C56D70"/>
    <w:rsid w:val="00C5717B"/>
    <w:rsid w:val="00C60B96"/>
    <w:rsid w:val="00C635A1"/>
    <w:rsid w:val="00C64ECA"/>
    <w:rsid w:val="00C65F24"/>
    <w:rsid w:val="00C66273"/>
    <w:rsid w:val="00C67629"/>
    <w:rsid w:val="00C701A4"/>
    <w:rsid w:val="00C70337"/>
    <w:rsid w:val="00C71496"/>
    <w:rsid w:val="00C71C7A"/>
    <w:rsid w:val="00C72493"/>
    <w:rsid w:val="00C73097"/>
    <w:rsid w:val="00C7344A"/>
    <w:rsid w:val="00C7453B"/>
    <w:rsid w:val="00C7559A"/>
    <w:rsid w:val="00C77B75"/>
    <w:rsid w:val="00C805E0"/>
    <w:rsid w:val="00C80AFA"/>
    <w:rsid w:val="00C819A2"/>
    <w:rsid w:val="00C83033"/>
    <w:rsid w:val="00C85CEA"/>
    <w:rsid w:val="00C8725D"/>
    <w:rsid w:val="00C909CF"/>
    <w:rsid w:val="00C92DBC"/>
    <w:rsid w:val="00C96113"/>
    <w:rsid w:val="00C964EA"/>
    <w:rsid w:val="00C965BE"/>
    <w:rsid w:val="00C96B00"/>
    <w:rsid w:val="00C97E63"/>
    <w:rsid w:val="00CA009B"/>
    <w:rsid w:val="00CA0E01"/>
    <w:rsid w:val="00CA1481"/>
    <w:rsid w:val="00CA216F"/>
    <w:rsid w:val="00CA23E6"/>
    <w:rsid w:val="00CA4464"/>
    <w:rsid w:val="00CA4F7D"/>
    <w:rsid w:val="00CA64CF"/>
    <w:rsid w:val="00CA7D57"/>
    <w:rsid w:val="00CB017A"/>
    <w:rsid w:val="00CB01AE"/>
    <w:rsid w:val="00CB0892"/>
    <w:rsid w:val="00CB08BE"/>
    <w:rsid w:val="00CB0A9F"/>
    <w:rsid w:val="00CB0DD3"/>
    <w:rsid w:val="00CB1D6E"/>
    <w:rsid w:val="00CB1D82"/>
    <w:rsid w:val="00CB42CE"/>
    <w:rsid w:val="00CB4669"/>
    <w:rsid w:val="00CB5446"/>
    <w:rsid w:val="00CB641B"/>
    <w:rsid w:val="00CB6926"/>
    <w:rsid w:val="00CB7A9B"/>
    <w:rsid w:val="00CC0014"/>
    <w:rsid w:val="00CC07B8"/>
    <w:rsid w:val="00CC07D7"/>
    <w:rsid w:val="00CC2230"/>
    <w:rsid w:val="00CC3C1B"/>
    <w:rsid w:val="00CC5F5C"/>
    <w:rsid w:val="00CC69F0"/>
    <w:rsid w:val="00CC726D"/>
    <w:rsid w:val="00CC7FD7"/>
    <w:rsid w:val="00CD0CCF"/>
    <w:rsid w:val="00CD12ED"/>
    <w:rsid w:val="00CD3277"/>
    <w:rsid w:val="00CD4F3F"/>
    <w:rsid w:val="00CD56BE"/>
    <w:rsid w:val="00CD67AB"/>
    <w:rsid w:val="00CD6970"/>
    <w:rsid w:val="00CD6A05"/>
    <w:rsid w:val="00CD6D94"/>
    <w:rsid w:val="00CD7DF0"/>
    <w:rsid w:val="00CE0470"/>
    <w:rsid w:val="00CE0902"/>
    <w:rsid w:val="00CE1548"/>
    <w:rsid w:val="00CE22A1"/>
    <w:rsid w:val="00CE2DC7"/>
    <w:rsid w:val="00CE5142"/>
    <w:rsid w:val="00CE5E12"/>
    <w:rsid w:val="00CE5ECC"/>
    <w:rsid w:val="00CE67B2"/>
    <w:rsid w:val="00CE7574"/>
    <w:rsid w:val="00CE7A04"/>
    <w:rsid w:val="00CF19DB"/>
    <w:rsid w:val="00CF421E"/>
    <w:rsid w:val="00CF7F64"/>
    <w:rsid w:val="00D015A6"/>
    <w:rsid w:val="00D01D15"/>
    <w:rsid w:val="00D02774"/>
    <w:rsid w:val="00D02C73"/>
    <w:rsid w:val="00D04FAA"/>
    <w:rsid w:val="00D062FB"/>
    <w:rsid w:val="00D07ED0"/>
    <w:rsid w:val="00D07F40"/>
    <w:rsid w:val="00D114A8"/>
    <w:rsid w:val="00D12E1E"/>
    <w:rsid w:val="00D141E8"/>
    <w:rsid w:val="00D14AC3"/>
    <w:rsid w:val="00D1572E"/>
    <w:rsid w:val="00D212FD"/>
    <w:rsid w:val="00D21427"/>
    <w:rsid w:val="00D2220A"/>
    <w:rsid w:val="00D2355F"/>
    <w:rsid w:val="00D23FC4"/>
    <w:rsid w:val="00D25527"/>
    <w:rsid w:val="00D30F84"/>
    <w:rsid w:val="00D31BFB"/>
    <w:rsid w:val="00D32ABB"/>
    <w:rsid w:val="00D32B23"/>
    <w:rsid w:val="00D34B37"/>
    <w:rsid w:val="00D40B01"/>
    <w:rsid w:val="00D41D87"/>
    <w:rsid w:val="00D44165"/>
    <w:rsid w:val="00D441BB"/>
    <w:rsid w:val="00D454D2"/>
    <w:rsid w:val="00D45D3D"/>
    <w:rsid w:val="00D46BF0"/>
    <w:rsid w:val="00D50738"/>
    <w:rsid w:val="00D50BB5"/>
    <w:rsid w:val="00D50EE3"/>
    <w:rsid w:val="00D51005"/>
    <w:rsid w:val="00D52491"/>
    <w:rsid w:val="00D52BFA"/>
    <w:rsid w:val="00D52CA5"/>
    <w:rsid w:val="00D53425"/>
    <w:rsid w:val="00D53E7C"/>
    <w:rsid w:val="00D54836"/>
    <w:rsid w:val="00D57785"/>
    <w:rsid w:val="00D57E77"/>
    <w:rsid w:val="00D60180"/>
    <w:rsid w:val="00D60CDA"/>
    <w:rsid w:val="00D6133D"/>
    <w:rsid w:val="00D62BB9"/>
    <w:rsid w:val="00D64795"/>
    <w:rsid w:val="00D64F4D"/>
    <w:rsid w:val="00D707F3"/>
    <w:rsid w:val="00D70B0B"/>
    <w:rsid w:val="00D70CAA"/>
    <w:rsid w:val="00D71731"/>
    <w:rsid w:val="00D74855"/>
    <w:rsid w:val="00D74BA2"/>
    <w:rsid w:val="00D74F0E"/>
    <w:rsid w:val="00D77035"/>
    <w:rsid w:val="00D80DB6"/>
    <w:rsid w:val="00D82F55"/>
    <w:rsid w:val="00D8318C"/>
    <w:rsid w:val="00D83C5A"/>
    <w:rsid w:val="00D84E3B"/>
    <w:rsid w:val="00D84FE0"/>
    <w:rsid w:val="00D86D1E"/>
    <w:rsid w:val="00D87180"/>
    <w:rsid w:val="00D87353"/>
    <w:rsid w:val="00D878D6"/>
    <w:rsid w:val="00D87B2A"/>
    <w:rsid w:val="00D94655"/>
    <w:rsid w:val="00D95821"/>
    <w:rsid w:val="00D95F7A"/>
    <w:rsid w:val="00D970EE"/>
    <w:rsid w:val="00DA02EF"/>
    <w:rsid w:val="00DA2348"/>
    <w:rsid w:val="00DA243F"/>
    <w:rsid w:val="00DA3462"/>
    <w:rsid w:val="00DA745A"/>
    <w:rsid w:val="00DA7D3B"/>
    <w:rsid w:val="00DA7EB4"/>
    <w:rsid w:val="00DB2943"/>
    <w:rsid w:val="00DB2AEE"/>
    <w:rsid w:val="00DB347C"/>
    <w:rsid w:val="00DB3826"/>
    <w:rsid w:val="00DB74A6"/>
    <w:rsid w:val="00DBAE16"/>
    <w:rsid w:val="00DC0FC1"/>
    <w:rsid w:val="00DC14D7"/>
    <w:rsid w:val="00DC1804"/>
    <w:rsid w:val="00DC24EE"/>
    <w:rsid w:val="00DC309A"/>
    <w:rsid w:val="00DC31FE"/>
    <w:rsid w:val="00DC4A56"/>
    <w:rsid w:val="00DC539F"/>
    <w:rsid w:val="00DC540F"/>
    <w:rsid w:val="00DC5FD6"/>
    <w:rsid w:val="00DC71C4"/>
    <w:rsid w:val="00DD0423"/>
    <w:rsid w:val="00DD0D28"/>
    <w:rsid w:val="00DD0FB2"/>
    <w:rsid w:val="00DD10B2"/>
    <w:rsid w:val="00DD28A7"/>
    <w:rsid w:val="00DD3784"/>
    <w:rsid w:val="00DD41CF"/>
    <w:rsid w:val="00DD4452"/>
    <w:rsid w:val="00DD6BF3"/>
    <w:rsid w:val="00DE00AE"/>
    <w:rsid w:val="00DE11F9"/>
    <w:rsid w:val="00DE32CB"/>
    <w:rsid w:val="00DE391C"/>
    <w:rsid w:val="00DE4741"/>
    <w:rsid w:val="00DE618A"/>
    <w:rsid w:val="00DE64CA"/>
    <w:rsid w:val="00DE7C5F"/>
    <w:rsid w:val="00DE7D26"/>
    <w:rsid w:val="00DF0D50"/>
    <w:rsid w:val="00DF0D54"/>
    <w:rsid w:val="00DF14C3"/>
    <w:rsid w:val="00DF2FD6"/>
    <w:rsid w:val="00DF38AA"/>
    <w:rsid w:val="00DF43D0"/>
    <w:rsid w:val="00DF50E7"/>
    <w:rsid w:val="00DF5D14"/>
    <w:rsid w:val="00DF6D15"/>
    <w:rsid w:val="00E00A68"/>
    <w:rsid w:val="00E01BE6"/>
    <w:rsid w:val="00E031E3"/>
    <w:rsid w:val="00E04CD5"/>
    <w:rsid w:val="00E05DA0"/>
    <w:rsid w:val="00E07ED1"/>
    <w:rsid w:val="00E100C1"/>
    <w:rsid w:val="00E105FC"/>
    <w:rsid w:val="00E10754"/>
    <w:rsid w:val="00E11178"/>
    <w:rsid w:val="00E1403B"/>
    <w:rsid w:val="00E14903"/>
    <w:rsid w:val="00E14FD7"/>
    <w:rsid w:val="00E150C9"/>
    <w:rsid w:val="00E152DF"/>
    <w:rsid w:val="00E16830"/>
    <w:rsid w:val="00E16B10"/>
    <w:rsid w:val="00E178FB"/>
    <w:rsid w:val="00E20CD1"/>
    <w:rsid w:val="00E22377"/>
    <w:rsid w:val="00E234C7"/>
    <w:rsid w:val="00E23D1F"/>
    <w:rsid w:val="00E240CF"/>
    <w:rsid w:val="00E26849"/>
    <w:rsid w:val="00E27771"/>
    <w:rsid w:val="00E279ED"/>
    <w:rsid w:val="00E27B50"/>
    <w:rsid w:val="00E30288"/>
    <w:rsid w:val="00E321D3"/>
    <w:rsid w:val="00E34E9B"/>
    <w:rsid w:val="00E3748A"/>
    <w:rsid w:val="00E40046"/>
    <w:rsid w:val="00E4012F"/>
    <w:rsid w:val="00E40D32"/>
    <w:rsid w:val="00E41E93"/>
    <w:rsid w:val="00E4287C"/>
    <w:rsid w:val="00E42D54"/>
    <w:rsid w:val="00E436D8"/>
    <w:rsid w:val="00E43E50"/>
    <w:rsid w:val="00E44387"/>
    <w:rsid w:val="00E45425"/>
    <w:rsid w:val="00E504FA"/>
    <w:rsid w:val="00E505A0"/>
    <w:rsid w:val="00E51164"/>
    <w:rsid w:val="00E5280F"/>
    <w:rsid w:val="00E53ED2"/>
    <w:rsid w:val="00E54478"/>
    <w:rsid w:val="00E54845"/>
    <w:rsid w:val="00E5629A"/>
    <w:rsid w:val="00E56360"/>
    <w:rsid w:val="00E56FEA"/>
    <w:rsid w:val="00E574A2"/>
    <w:rsid w:val="00E5761D"/>
    <w:rsid w:val="00E60BD8"/>
    <w:rsid w:val="00E61DBA"/>
    <w:rsid w:val="00E62E84"/>
    <w:rsid w:val="00E6329E"/>
    <w:rsid w:val="00E63DE6"/>
    <w:rsid w:val="00E641F8"/>
    <w:rsid w:val="00E64A9B"/>
    <w:rsid w:val="00E668BF"/>
    <w:rsid w:val="00E7049E"/>
    <w:rsid w:val="00E70874"/>
    <w:rsid w:val="00E710DC"/>
    <w:rsid w:val="00E71DD6"/>
    <w:rsid w:val="00E72CC9"/>
    <w:rsid w:val="00E746A3"/>
    <w:rsid w:val="00E756FC"/>
    <w:rsid w:val="00E77275"/>
    <w:rsid w:val="00E80035"/>
    <w:rsid w:val="00E808FA"/>
    <w:rsid w:val="00E810C3"/>
    <w:rsid w:val="00E82315"/>
    <w:rsid w:val="00E83380"/>
    <w:rsid w:val="00E850EC"/>
    <w:rsid w:val="00E85631"/>
    <w:rsid w:val="00E85E1D"/>
    <w:rsid w:val="00E868F6"/>
    <w:rsid w:val="00E87522"/>
    <w:rsid w:val="00E90EB6"/>
    <w:rsid w:val="00E90F11"/>
    <w:rsid w:val="00E92C97"/>
    <w:rsid w:val="00E93549"/>
    <w:rsid w:val="00E937F2"/>
    <w:rsid w:val="00E9438B"/>
    <w:rsid w:val="00E94D35"/>
    <w:rsid w:val="00E95632"/>
    <w:rsid w:val="00EA040A"/>
    <w:rsid w:val="00EA04FB"/>
    <w:rsid w:val="00EA1005"/>
    <w:rsid w:val="00EA1939"/>
    <w:rsid w:val="00EA1DB2"/>
    <w:rsid w:val="00EA3BB8"/>
    <w:rsid w:val="00EA3C91"/>
    <w:rsid w:val="00EA3EBC"/>
    <w:rsid w:val="00EA4BC2"/>
    <w:rsid w:val="00EA4D24"/>
    <w:rsid w:val="00EA6DE7"/>
    <w:rsid w:val="00EA7F90"/>
    <w:rsid w:val="00EB08F7"/>
    <w:rsid w:val="00EB0D7C"/>
    <w:rsid w:val="00EB1CEC"/>
    <w:rsid w:val="00EB286B"/>
    <w:rsid w:val="00EB45D5"/>
    <w:rsid w:val="00EB4A12"/>
    <w:rsid w:val="00EB5AA1"/>
    <w:rsid w:val="00EB5B8E"/>
    <w:rsid w:val="00EB61FE"/>
    <w:rsid w:val="00EB6E73"/>
    <w:rsid w:val="00EC02F5"/>
    <w:rsid w:val="00EC2D8F"/>
    <w:rsid w:val="00EC3FAD"/>
    <w:rsid w:val="00EC4127"/>
    <w:rsid w:val="00EC51AB"/>
    <w:rsid w:val="00EC7778"/>
    <w:rsid w:val="00ED0C9E"/>
    <w:rsid w:val="00ED1C1F"/>
    <w:rsid w:val="00ED254D"/>
    <w:rsid w:val="00ED2C7A"/>
    <w:rsid w:val="00ED3295"/>
    <w:rsid w:val="00ED44C4"/>
    <w:rsid w:val="00ED4C5B"/>
    <w:rsid w:val="00EE0C4E"/>
    <w:rsid w:val="00EE1528"/>
    <w:rsid w:val="00EE1D3F"/>
    <w:rsid w:val="00EE2F72"/>
    <w:rsid w:val="00EE31B8"/>
    <w:rsid w:val="00EE431D"/>
    <w:rsid w:val="00EE4361"/>
    <w:rsid w:val="00EE4455"/>
    <w:rsid w:val="00EE534E"/>
    <w:rsid w:val="00EE5F09"/>
    <w:rsid w:val="00EF0FF3"/>
    <w:rsid w:val="00EF2F20"/>
    <w:rsid w:val="00EF64B5"/>
    <w:rsid w:val="00EF7EE4"/>
    <w:rsid w:val="00F01056"/>
    <w:rsid w:val="00F03C68"/>
    <w:rsid w:val="00F06FC3"/>
    <w:rsid w:val="00F073A5"/>
    <w:rsid w:val="00F0794F"/>
    <w:rsid w:val="00F114F4"/>
    <w:rsid w:val="00F1326A"/>
    <w:rsid w:val="00F13305"/>
    <w:rsid w:val="00F13571"/>
    <w:rsid w:val="00F138BE"/>
    <w:rsid w:val="00F14746"/>
    <w:rsid w:val="00F16630"/>
    <w:rsid w:val="00F1674E"/>
    <w:rsid w:val="00F170FF"/>
    <w:rsid w:val="00F20774"/>
    <w:rsid w:val="00F21900"/>
    <w:rsid w:val="00F21943"/>
    <w:rsid w:val="00F21C35"/>
    <w:rsid w:val="00F21FF8"/>
    <w:rsid w:val="00F22B9D"/>
    <w:rsid w:val="00F22F40"/>
    <w:rsid w:val="00F26281"/>
    <w:rsid w:val="00F26DEA"/>
    <w:rsid w:val="00F274BB"/>
    <w:rsid w:val="00F2758C"/>
    <w:rsid w:val="00F30264"/>
    <w:rsid w:val="00F30AF2"/>
    <w:rsid w:val="00F3101F"/>
    <w:rsid w:val="00F32EAF"/>
    <w:rsid w:val="00F3391D"/>
    <w:rsid w:val="00F33C32"/>
    <w:rsid w:val="00F34338"/>
    <w:rsid w:val="00F34E34"/>
    <w:rsid w:val="00F35049"/>
    <w:rsid w:val="00F36A31"/>
    <w:rsid w:val="00F37838"/>
    <w:rsid w:val="00F4069F"/>
    <w:rsid w:val="00F4343B"/>
    <w:rsid w:val="00F43E03"/>
    <w:rsid w:val="00F449DB"/>
    <w:rsid w:val="00F44B03"/>
    <w:rsid w:val="00F44C11"/>
    <w:rsid w:val="00F451FD"/>
    <w:rsid w:val="00F45900"/>
    <w:rsid w:val="00F5054E"/>
    <w:rsid w:val="00F5400A"/>
    <w:rsid w:val="00F578F9"/>
    <w:rsid w:val="00F6151F"/>
    <w:rsid w:val="00F61A6A"/>
    <w:rsid w:val="00F62BA4"/>
    <w:rsid w:val="00F635E3"/>
    <w:rsid w:val="00F65977"/>
    <w:rsid w:val="00F65FBB"/>
    <w:rsid w:val="00F66346"/>
    <w:rsid w:val="00F67569"/>
    <w:rsid w:val="00F71877"/>
    <w:rsid w:val="00F71A7B"/>
    <w:rsid w:val="00F7223F"/>
    <w:rsid w:val="00F724EA"/>
    <w:rsid w:val="00F73C40"/>
    <w:rsid w:val="00F750D7"/>
    <w:rsid w:val="00F757A4"/>
    <w:rsid w:val="00F7774D"/>
    <w:rsid w:val="00F81073"/>
    <w:rsid w:val="00F81E9C"/>
    <w:rsid w:val="00F833B1"/>
    <w:rsid w:val="00F83FCE"/>
    <w:rsid w:val="00F84B40"/>
    <w:rsid w:val="00F85EA2"/>
    <w:rsid w:val="00F866C3"/>
    <w:rsid w:val="00F90F4A"/>
    <w:rsid w:val="00F91FF0"/>
    <w:rsid w:val="00F9457F"/>
    <w:rsid w:val="00F9470C"/>
    <w:rsid w:val="00F94BEB"/>
    <w:rsid w:val="00F96D3A"/>
    <w:rsid w:val="00F97EE3"/>
    <w:rsid w:val="00FA1B6E"/>
    <w:rsid w:val="00FA24C8"/>
    <w:rsid w:val="00FA3F1A"/>
    <w:rsid w:val="00FA3F64"/>
    <w:rsid w:val="00FA5119"/>
    <w:rsid w:val="00FA649D"/>
    <w:rsid w:val="00FB1A15"/>
    <w:rsid w:val="00FB3622"/>
    <w:rsid w:val="00FB4C84"/>
    <w:rsid w:val="00FB5737"/>
    <w:rsid w:val="00FB5DA9"/>
    <w:rsid w:val="00FB64A1"/>
    <w:rsid w:val="00FB7430"/>
    <w:rsid w:val="00FC04F5"/>
    <w:rsid w:val="00FC112F"/>
    <w:rsid w:val="00FC1C6C"/>
    <w:rsid w:val="00FC1F5E"/>
    <w:rsid w:val="00FC3CCC"/>
    <w:rsid w:val="00FC5980"/>
    <w:rsid w:val="00FC692F"/>
    <w:rsid w:val="00FC745D"/>
    <w:rsid w:val="00FD0370"/>
    <w:rsid w:val="00FD0EC3"/>
    <w:rsid w:val="00FD2324"/>
    <w:rsid w:val="00FD3722"/>
    <w:rsid w:val="00FD3AF1"/>
    <w:rsid w:val="00FD4377"/>
    <w:rsid w:val="00FD7237"/>
    <w:rsid w:val="00FE141C"/>
    <w:rsid w:val="00FE1C87"/>
    <w:rsid w:val="00FE2A7A"/>
    <w:rsid w:val="00FE3CF0"/>
    <w:rsid w:val="00FE51D3"/>
    <w:rsid w:val="00FE7249"/>
    <w:rsid w:val="00FF0127"/>
    <w:rsid w:val="00FF0E56"/>
    <w:rsid w:val="00FF12F1"/>
    <w:rsid w:val="00FF2EC9"/>
    <w:rsid w:val="00FF2F49"/>
    <w:rsid w:val="00FF574E"/>
    <w:rsid w:val="018F2C7C"/>
    <w:rsid w:val="0223830F"/>
    <w:rsid w:val="02552B95"/>
    <w:rsid w:val="03AA5366"/>
    <w:rsid w:val="03DEA702"/>
    <w:rsid w:val="03E09B19"/>
    <w:rsid w:val="0436B491"/>
    <w:rsid w:val="044C23CC"/>
    <w:rsid w:val="046BB1A0"/>
    <w:rsid w:val="060DE4CE"/>
    <w:rsid w:val="06AA95AC"/>
    <w:rsid w:val="06DB26A1"/>
    <w:rsid w:val="079EAB6E"/>
    <w:rsid w:val="0828172C"/>
    <w:rsid w:val="083BC2A9"/>
    <w:rsid w:val="0855DC1E"/>
    <w:rsid w:val="086BED07"/>
    <w:rsid w:val="08862C90"/>
    <w:rsid w:val="090C2ADA"/>
    <w:rsid w:val="091E0476"/>
    <w:rsid w:val="0C053BF8"/>
    <w:rsid w:val="0E847063"/>
    <w:rsid w:val="0EF8B580"/>
    <w:rsid w:val="0F2511E5"/>
    <w:rsid w:val="0F30B655"/>
    <w:rsid w:val="10C78A19"/>
    <w:rsid w:val="11482078"/>
    <w:rsid w:val="11F2049D"/>
    <w:rsid w:val="11F8D1F8"/>
    <w:rsid w:val="13ABCC2D"/>
    <w:rsid w:val="13B4C578"/>
    <w:rsid w:val="1657A6E4"/>
    <w:rsid w:val="17363740"/>
    <w:rsid w:val="177612BA"/>
    <w:rsid w:val="19F173A4"/>
    <w:rsid w:val="1AD71EF9"/>
    <w:rsid w:val="1ADD3561"/>
    <w:rsid w:val="1AEF8786"/>
    <w:rsid w:val="1B003A64"/>
    <w:rsid w:val="1B520E0C"/>
    <w:rsid w:val="1D4A2E5F"/>
    <w:rsid w:val="1DC5469B"/>
    <w:rsid w:val="1EDED836"/>
    <w:rsid w:val="2022CF09"/>
    <w:rsid w:val="20B4347A"/>
    <w:rsid w:val="20FE5C14"/>
    <w:rsid w:val="21266565"/>
    <w:rsid w:val="21BF9F6E"/>
    <w:rsid w:val="223909F7"/>
    <w:rsid w:val="2395CC85"/>
    <w:rsid w:val="24205648"/>
    <w:rsid w:val="24B610B6"/>
    <w:rsid w:val="24C8ED7E"/>
    <w:rsid w:val="2543E090"/>
    <w:rsid w:val="25F7D34D"/>
    <w:rsid w:val="2787C01C"/>
    <w:rsid w:val="2A57854F"/>
    <w:rsid w:val="2AEB0F2D"/>
    <w:rsid w:val="2B16B5AE"/>
    <w:rsid w:val="2CAF03F0"/>
    <w:rsid w:val="2CB92925"/>
    <w:rsid w:val="2CD38E61"/>
    <w:rsid w:val="2CE65BB5"/>
    <w:rsid w:val="2CF1BB6A"/>
    <w:rsid w:val="302C7385"/>
    <w:rsid w:val="30D4462E"/>
    <w:rsid w:val="3166BD88"/>
    <w:rsid w:val="3194CFAE"/>
    <w:rsid w:val="32551CE6"/>
    <w:rsid w:val="33423D1D"/>
    <w:rsid w:val="33764D40"/>
    <w:rsid w:val="33E3D813"/>
    <w:rsid w:val="34A11309"/>
    <w:rsid w:val="35350AE1"/>
    <w:rsid w:val="35793BCF"/>
    <w:rsid w:val="35AE5CD0"/>
    <w:rsid w:val="36025CB4"/>
    <w:rsid w:val="36595780"/>
    <w:rsid w:val="366E6393"/>
    <w:rsid w:val="383610B4"/>
    <w:rsid w:val="38EA5D45"/>
    <w:rsid w:val="39D43A98"/>
    <w:rsid w:val="3A405198"/>
    <w:rsid w:val="3BD2CB15"/>
    <w:rsid w:val="3C76498E"/>
    <w:rsid w:val="3C978616"/>
    <w:rsid w:val="3E22C235"/>
    <w:rsid w:val="3EBB73F9"/>
    <w:rsid w:val="40455841"/>
    <w:rsid w:val="42CE0488"/>
    <w:rsid w:val="42D84A17"/>
    <w:rsid w:val="4307D578"/>
    <w:rsid w:val="45615729"/>
    <w:rsid w:val="4611766F"/>
    <w:rsid w:val="474695F0"/>
    <w:rsid w:val="47BB2A35"/>
    <w:rsid w:val="49A9BA01"/>
    <w:rsid w:val="4A0488F1"/>
    <w:rsid w:val="4CDC50C2"/>
    <w:rsid w:val="50F031AA"/>
    <w:rsid w:val="53534A9C"/>
    <w:rsid w:val="53B7B48F"/>
    <w:rsid w:val="53F9A2DF"/>
    <w:rsid w:val="56A89708"/>
    <w:rsid w:val="595FCE6E"/>
    <w:rsid w:val="5A61B064"/>
    <w:rsid w:val="5B4137B9"/>
    <w:rsid w:val="5BA9BBC6"/>
    <w:rsid w:val="5C2E801C"/>
    <w:rsid w:val="5D1631A7"/>
    <w:rsid w:val="5DC5B595"/>
    <w:rsid w:val="61187632"/>
    <w:rsid w:val="6234D193"/>
    <w:rsid w:val="6CCC45C6"/>
    <w:rsid w:val="6EA00B8A"/>
    <w:rsid w:val="6F2B5800"/>
    <w:rsid w:val="6F8048FF"/>
    <w:rsid w:val="6F9005FC"/>
    <w:rsid w:val="71085E5A"/>
    <w:rsid w:val="71414F15"/>
    <w:rsid w:val="72499451"/>
    <w:rsid w:val="726446B4"/>
    <w:rsid w:val="728DBCC9"/>
    <w:rsid w:val="7331984B"/>
    <w:rsid w:val="7457EB84"/>
    <w:rsid w:val="745A0F75"/>
    <w:rsid w:val="74B60CF0"/>
    <w:rsid w:val="752734A6"/>
    <w:rsid w:val="7648382F"/>
    <w:rsid w:val="773DEA55"/>
    <w:rsid w:val="781D3B24"/>
    <w:rsid w:val="7970BC4C"/>
    <w:rsid w:val="7AD583FC"/>
    <w:rsid w:val="7B976168"/>
    <w:rsid w:val="7BC0CA22"/>
    <w:rsid w:val="7BE2FE4E"/>
    <w:rsid w:val="7C02FFD6"/>
    <w:rsid w:val="7C7462DF"/>
    <w:rsid w:val="7C8BECE2"/>
    <w:rsid w:val="7E31909D"/>
    <w:rsid w:val="7EF3CB26"/>
    <w:rsid w:val="7FAD0579"/>
    <w:rsid w:val="7FF5F37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728A1"/>
  <w15:docId w15:val="{9D6F56C5-3043-4854-9CE9-427D5897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fr-FR"/>
    </w:rPr>
  </w:style>
  <w:style w:type="paragraph" w:styleId="1">
    <w:name w:val="heading 1"/>
    <w:basedOn w:val="a"/>
    <w:next w:val="a"/>
    <w:link w:val="10"/>
    <w:uiPriority w:val="9"/>
    <w:qFormat/>
    <w:pPr>
      <w:keepNext/>
      <w:keepLines/>
      <w:spacing w:before="340" w:after="330" w:line="578" w:lineRule="auto"/>
      <w:jc w:val="both"/>
      <w:outlineLvl w:val="0"/>
    </w:pPr>
    <w:rPr>
      <w:rFonts w:ascii="等线" w:eastAsia="等线" w:hAnsi="等线" w:cs="宋体"/>
      <w:b/>
      <w:bCs/>
      <w:kern w:val="44"/>
      <w:sz w:val="44"/>
      <w:szCs w:val="4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Balloon Text"/>
    <w:basedOn w:val="a"/>
    <w:link w:val="a6"/>
    <w:uiPriority w:val="99"/>
    <w:semiHidden/>
    <w:unhideWhenUsed/>
    <w:pPr>
      <w:spacing w:after="0" w:line="240" w:lineRule="auto"/>
    </w:pPr>
    <w:rPr>
      <w:rFonts w:ascii="宋体" w:eastAsia="宋体"/>
      <w:sz w:val="18"/>
      <w:szCs w:val="18"/>
    </w:rPr>
  </w:style>
  <w:style w:type="paragraph" w:styleId="a7">
    <w:name w:val="footer"/>
    <w:basedOn w:val="a"/>
    <w:link w:val="a8"/>
    <w:uiPriority w:val="99"/>
    <w:unhideWhenUsed/>
    <w:qFormat/>
    <w:pPr>
      <w:tabs>
        <w:tab w:val="center" w:pos="4153"/>
        <w:tab w:val="right" w:pos="8306"/>
      </w:tabs>
      <w:snapToGrid w:val="0"/>
      <w:spacing w:line="240" w:lineRule="auto"/>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sz w:val="24"/>
      <w:szCs w:val="24"/>
      <w:lang w:val="en-US"/>
    </w:rPr>
  </w:style>
  <w:style w:type="paragraph" w:styleId="ab">
    <w:name w:val="Normal (Web)"/>
    <w:basedOn w:val="a"/>
    <w:uiPriority w:val="99"/>
    <w:semiHidden/>
    <w:unhideWhenUsed/>
    <w:qFormat/>
    <w:pPr>
      <w:spacing w:before="100" w:beforeAutospacing="1" w:after="100" w:afterAutospacing="1" w:line="240" w:lineRule="auto"/>
    </w:pPr>
    <w:rPr>
      <w:rFonts w:ascii="Times New Roman" w:hAnsi="Times New Roman" w:cs="Times New Roman"/>
      <w:sz w:val="24"/>
      <w:szCs w:val="24"/>
      <w:lang w:val="en-US"/>
    </w:rPr>
  </w:style>
  <w:style w:type="paragraph" w:styleId="ac">
    <w:name w:val="annotation subject"/>
    <w:basedOn w:val="a3"/>
    <w:next w:val="a3"/>
    <w:link w:val="ad"/>
    <w:uiPriority w:val="99"/>
    <w:semiHidden/>
    <w:unhideWhenUsed/>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paragraph" w:styleId="af1">
    <w:name w:val="List Paragraph"/>
    <w:basedOn w:val="a"/>
    <w:link w:val="af2"/>
    <w:uiPriority w:val="34"/>
    <w:qFormat/>
    <w:pPr>
      <w:widowControl w:val="0"/>
      <w:spacing w:after="0" w:line="240" w:lineRule="auto"/>
      <w:ind w:firstLineChars="200" w:firstLine="420"/>
      <w:jc w:val="both"/>
    </w:pPr>
    <w:rPr>
      <w:rFonts w:ascii="Calibri" w:eastAsia="宋体" w:hAnsi="Calibri" w:cs="Times New Roman"/>
      <w:kern w:val="2"/>
      <w:sz w:val="21"/>
      <w:lang w:val="en-US"/>
    </w:rPr>
  </w:style>
  <w:style w:type="character" w:customStyle="1" w:styleId="a6">
    <w:name w:val="批注框文本 字符"/>
    <w:basedOn w:val="a0"/>
    <w:link w:val="a5"/>
    <w:uiPriority w:val="99"/>
    <w:semiHidden/>
    <w:qFormat/>
    <w:rPr>
      <w:rFonts w:ascii="宋体" w:eastAsia="宋体"/>
      <w:sz w:val="18"/>
      <w:szCs w:val="18"/>
    </w:rPr>
  </w:style>
  <w:style w:type="character" w:customStyle="1" w:styleId="a4">
    <w:name w:val="批注文字 字符"/>
    <w:basedOn w:val="a0"/>
    <w:link w:val="a3"/>
    <w:uiPriority w:val="99"/>
  </w:style>
  <w:style w:type="character" w:customStyle="1" w:styleId="ad">
    <w:name w:val="批注主题 字符"/>
    <w:basedOn w:val="a4"/>
    <w:link w:val="ac"/>
    <w:uiPriority w:val="99"/>
    <w:semiHidden/>
    <w:rPr>
      <w:b/>
      <w:bCs/>
    </w:rPr>
  </w:style>
  <w:style w:type="character" w:customStyle="1" w:styleId="apple-converted-space">
    <w:name w:val="apple-converted-space"/>
    <w:basedOn w:val="a0"/>
    <w:qFormat/>
  </w:style>
  <w:style w:type="paragraph" w:customStyle="1" w:styleId="Default">
    <w:name w:val="Default"/>
    <w:link w:val="DefaultChar"/>
    <w:qFormat/>
    <w:pPr>
      <w:autoSpaceDE w:val="0"/>
      <w:autoSpaceDN w:val="0"/>
      <w:adjustRightInd w:val="0"/>
    </w:pPr>
    <w:rPr>
      <w:rFonts w:ascii="楷体" w:eastAsia="楷体" w:cs="楷体"/>
      <w:color w:val="000000"/>
      <w:sz w:val="24"/>
      <w:szCs w:val="24"/>
    </w:rPr>
  </w:style>
  <w:style w:type="character" w:customStyle="1" w:styleId="11">
    <w:name w:val="未处理的提及1"/>
    <w:basedOn w:val="a0"/>
    <w:uiPriority w:val="99"/>
    <w:semiHidden/>
    <w:unhideWhenUsed/>
    <w:rPr>
      <w:color w:val="605E5C"/>
      <w:shd w:val="clear" w:color="auto" w:fill="E1DFDD"/>
    </w:rPr>
  </w:style>
  <w:style w:type="character" w:customStyle="1" w:styleId="markedcontent">
    <w:name w:val="markedcontent"/>
    <w:basedOn w:val="a0"/>
    <w:qFormat/>
  </w:style>
  <w:style w:type="character" w:customStyle="1" w:styleId="af2">
    <w:name w:val="列表段落 字符"/>
    <w:basedOn w:val="a0"/>
    <w:link w:val="af1"/>
    <w:uiPriority w:val="34"/>
    <w:qFormat/>
    <w:locked/>
    <w:rPr>
      <w:rFonts w:ascii="Calibri" w:eastAsia="宋体" w:hAnsi="Calibri" w:cs="Times New Roman"/>
      <w:kern w:val="2"/>
      <w:sz w:val="21"/>
      <w:lang w:val="en-US"/>
    </w:rPr>
  </w:style>
  <w:style w:type="character" w:customStyle="1" w:styleId="DefaultChar">
    <w:name w:val="Default Char"/>
    <w:link w:val="Default"/>
    <w:qFormat/>
    <w:locked/>
    <w:rPr>
      <w:rFonts w:ascii="楷体" w:eastAsia="楷体" w:cs="楷体"/>
      <w:color w:val="000000"/>
      <w:sz w:val="24"/>
      <w:szCs w:val="24"/>
      <w:lang w:val="en-US"/>
    </w:rPr>
  </w:style>
  <w:style w:type="character" w:customStyle="1" w:styleId="10">
    <w:name w:val="标题 1 字符"/>
    <w:basedOn w:val="a0"/>
    <w:link w:val="1"/>
    <w:uiPriority w:val="9"/>
    <w:qFormat/>
    <w:rPr>
      <w:rFonts w:ascii="等线" w:eastAsia="等线" w:hAnsi="等线" w:cs="宋体"/>
      <w:b/>
      <w:bCs/>
      <w:kern w:val="44"/>
      <w:sz w:val="44"/>
      <w:szCs w:val="44"/>
      <w:lang w:val="en-US"/>
    </w:rPr>
  </w:style>
  <w:style w:type="character" w:customStyle="1" w:styleId="HTML0">
    <w:name w:val="HTML 预设格式 字符"/>
    <w:basedOn w:val="a0"/>
    <w:link w:val="HTML"/>
    <w:uiPriority w:val="99"/>
    <w:qFormat/>
    <w:rPr>
      <w:rFonts w:ascii="宋体" w:eastAsia="宋体" w:hAnsi="宋体" w:cs="宋体"/>
      <w:sz w:val="24"/>
      <w:szCs w:val="24"/>
      <w:lang w:val="en-US"/>
    </w:rPr>
  </w:style>
  <w:style w:type="character" w:customStyle="1" w:styleId="text-only">
    <w:name w:val="text-only"/>
    <w:basedOn w:val="a0"/>
    <w:qFormat/>
  </w:style>
  <w:style w:type="paragraph" w:customStyle="1" w:styleId="12">
    <w:name w:val="修订1"/>
    <w:hidden/>
    <w:uiPriority w:val="99"/>
    <w:semiHidden/>
    <w:qFormat/>
    <w:rPr>
      <w:sz w:val="22"/>
      <w:szCs w:val="22"/>
      <w:lang w:val="fr-FR"/>
    </w:rPr>
  </w:style>
  <w:style w:type="character" w:customStyle="1" w:styleId="normaltextrun">
    <w:name w:val="normaltextrun"/>
    <w:basedOn w:val="a0"/>
    <w:qFormat/>
  </w:style>
  <w:style w:type="character" w:customStyle="1" w:styleId="eop">
    <w:name w:val="eop"/>
    <w:basedOn w:val="a0"/>
    <w:qFormat/>
  </w:style>
  <w:style w:type="paragraph" w:styleId="af3">
    <w:name w:val="Revision"/>
    <w:hidden/>
    <w:uiPriority w:val="99"/>
    <w:unhideWhenUsed/>
    <w:rsid w:val="004A543F"/>
    <w:rPr>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6f8ae3-53cc-4ab8-9fad-329029d15659">
      <Terms xmlns="http://schemas.microsoft.com/office/infopath/2007/PartnerControls"/>
    </lcf76f155ced4ddcb4097134ff3c332f>
    <_Flow_SignoffStatus xmlns="9b6f8ae3-53cc-4ab8-9fad-329029d15659" xsi:nil="true"/>
    <TaxCatchAll xmlns="d038c460-8993-48e5-a417-2855b92a8d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D1ECE2549D894B921BF74E09A4272A" ma:contentTypeVersion="16" ma:contentTypeDescription="Create a new document." ma:contentTypeScope="" ma:versionID="39affcb34f35c45c68b30ab9a595c0e2">
  <xsd:schema xmlns:xsd="http://www.w3.org/2001/XMLSchema" xmlns:xs="http://www.w3.org/2001/XMLSchema" xmlns:p="http://schemas.microsoft.com/office/2006/metadata/properties" xmlns:ns2="d038c460-8993-48e5-a417-2855b92a8d83" xmlns:ns3="9b6f8ae3-53cc-4ab8-9fad-329029d15659" targetNamespace="http://schemas.microsoft.com/office/2006/metadata/properties" ma:root="true" ma:fieldsID="ca50fa2b1b53494fb260080ec2ca0897" ns2:_="" ns3:_="">
    <xsd:import namespace="d038c460-8993-48e5-a417-2855b92a8d83"/>
    <xsd:import namespace="9b6f8ae3-53cc-4ab8-9fad-329029d15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8c460-8993-48e5-a417-2855b92a8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36ea40e-2c77-45e5-aee5-13b3b213ab65}" ma:internalName="TaxCatchAll" ma:showField="CatchAllData" ma:web="d038c460-8993-48e5-a417-2855b92a8d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6f8ae3-53cc-4ab8-9fad-329029d1565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686690b-76c7-4a06-a501-040c0c3e82c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515258-2538-4ED6-ACAF-B207967AAD35}">
  <ds:schemaRefs>
    <ds:schemaRef ds:uri="http://schemas.microsoft.com/office/2006/metadata/properties"/>
    <ds:schemaRef ds:uri="http://schemas.microsoft.com/office/infopath/2007/PartnerControls"/>
    <ds:schemaRef ds:uri="9b6f8ae3-53cc-4ab8-9fad-329029d15659"/>
    <ds:schemaRef ds:uri="d038c460-8993-48e5-a417-2855b92a8d83"/>
  </ds:schemaRefs>
</ds:datastoreItem>
</file>

<file path=customXml/itemProps2.xml><?xml version="1.0" encoding="utf-8"?>
<ds:datastoreItem xmlns:ds="http://schemas.openxmlformats.org/officeDocument/2006/customXml" ds:itemID="{8A72F75C-C6B4-4140-9329-7EE4F350B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8c460-8993-48e5-a417-2855b92a8d83"/>
    <ds:schemaRef ds:uri="9b6f8ae3-53cc-4ab8-9fad-329029d1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C2BC6-0B75-4E7E-9862-7328DB0C1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Pages>
  <Words>752</Words>
  <Characters>4139</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 Evelyn</dc:creator>
  <cp:lastModifiedBy>Tang, Tingting</cp:lastModifiedBy>
  <cp:revision>53</cp:revision>
  <dcterms:created xsi:type="dcterms:W3CDTF">2026-07-24T02:17:00Z</dcterms:created>
  <dcterms:modified xsi:type="dcterms:W3CDTF">2026-07-24T06:06:00Z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0x0101001FD1ECE2549D894B921BF74E09A4272A</vt:lpwstr>
  </property>
  <property fmtid="{D5CDD505-2E9C-101B-9397-08002B2CF9AE}" pid="3" name="MediaServiceImageTags">
    <vt:lpwstr/>
  </property>
  <property fmtid="{D5CDD505-2E9C-101B-9397-08002B2CF9AE}" pid="4" name="KSOProductBuildVer">
    <vt:lpwstr>2052-12.1.0.26895</vt:lpwstr>
  </property>
  <property fmtid="{D5CDD505-2E9C-101B-9397-08002B2CF9AE}" pid="5" name="ICV">
    <vt:lpwstr>0CE433D2B9C74BF1931AB55589A95EF0_13</vt:lpwstr>
  </property>
  <property fmtid="{D5CDD505-2E9C-101B-9397-08002B2CF9AE}" pid="6" name="KSOTemplateDocerSaveRecord">
    <vt:lpwstr>eyJoZGlkIjoiMDIxNGZlZTJmY2Y1NDM0YTRkMjQ2YmM4ZjcyNDc4N2IiLCJ1c2VySWQiOiIyNjA1MTg0NTQifQ==</vt:lpwstr>
  </property>
</Properties>
</file>