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87463">
      <w:pPr>
        <w:widowControl/>
        <w:tabs>
          <w:tab w:val="right" w:pos="8360"/>
        </w:tabs>
        <w:spacing w:before="120" w:after="240"/>
        <w:jc w:val="left"/>
        <w:rPr>
          <w:rFonts w:ascii="Times New Roman" w:hAnsi="Times New Roman" w:eastAsia="宋体" w:cs="Times New Roman"/>
          <w:b/>
          <w:bCs/>
          <w:sz w:val="24"/>
          <w:szCs w:val="24"/>
          <w:lang w:val="ru-RU"/>
        </w:rPr>
      </w:pPr>
      <w:r>
        <w:rPr>
          <w:rFonts w:ascii="Times New Roman" w:hAnsi="Times New Roman" w:eastAsia="宋体" w:cs="Times New Roman"/>
          <w:b/>
          <w:bCs/>
          <w:sz w:val="24"/>
          <w:szCs w:val="24"/>
          <w:lang w:val="ru-RU"/>
        </w:rPr>
        <w:t>证券代码：603120</w:t>
      </w:r>
      <w:r>
        <w:rPr>
          <w:rFonts w:ascii="Times New Roman" w:hAnsi="Times New Roman" w:eastAsia="宋体" w:cs="Times New Roman"/>
          <w:b/>
          <w:bCs/>
          <w:sz w:val="24"/>
          <w:szCs w:val="24"/>
          <w:lang w:val="ru-RU"/>
        </w:rPr>
        <w:tab/>
      </w:r>
      <w:r>
        <w:rPr>
          <w:rFonts w:ascii="Times New Roman" w:hAnsi="Times New Roman" w:eastAsia="宋体" w:cs="Times New Roman"/>
          <w:b/>
          <w:bCs/>
          <w:sz w:val="24"/>
          <w:szCs w:val="24"/>
          <w:lang w:val="ru-RU"/>
        </w:rPr>
        <w:t>证券简称：肯特催化</w:t>
      </w:r>
    </w:p>
    <w:p w14:paraId="3F8BEDD5">
      <w:pPr>
        <w:widowControl/>
        <w:adjustRightInd w:val="0"/>
        <w:snapToGrid w:val="0"/>
        <w:spacing w:line="360" w:lineRule="auto"/>
        <w:jc w:val="center"/>
        <w:rPr>
          <w:rFonts w:hint="eastAsia" w:ascii="宋体" w:hAnsi="宋体" w:eastAsia="宋体" w:cs="RDFSIJ+ºÚÌå"/>
          <w:b/>
          <w:bCs/>
          <w:color w:val="000000"/>
          <w:sz w:val="32"/>
          <w:szCs w:val="32"/>
          <w:lang w:val="ru-RU"/>
        </w:rPr>
      </w:pPr>
      <w:r>
        <w:rPr>
          <w:rFonts w:hint="eastAsia" w:ascii="宋体" w:hAnsi="宋体" w:eastAsia="宋体" w:cs="RDFSIJ+ºÚÌå"/>
          <w:b/>
          <w:bCs/>
          <w:color w:val="000000"/>
          <w:sz w:val="32"/>
          <w:szCs w:val="32"/>
          <w:lang w:val="ru-RU"/>
        </w:rPr>
        <w:t>肯特催化材料股份有限公司</w:t>
      </w:r>
    </w:p>
    <w:p w14:paraId="19405468">
      <w:pPr>
        <w:widowControl/>
        <w:adjustRightInd w:val="0"/>
        <w:snapToGrid w:val="0"/>
        <w:spacing w:line="360" w:lineRule="auto"/>
        <w:jc w:val="center"/>
        <w:rPr>
          <w:rFonts w:hint="eastAsia" w:ascii="宋体" w:hAnsi="宋体" w:eastAsia="宋体" w:cs="RDFSIJ+ºÚÌå"/>
          <w:color w:val="000000"/>
          <w:sz w:val="32"/>
          <w:szCs w:val="32"/>
          <w:lang w:val="ru-RU"/>
        </w:rPr>
      </w:pPr>
      <w:r>
        <w:rPr>
          <w:rFonts w:hint="eastAsia" w:ascii="宋体" w:hAnsi="宋体" w:eastAsia="宋体" w:cs="RDFSIJ+ºÚÌå"/>
          <w:b/>
          <w:bCs/>
          <w:color w:val="000000"/>
          <w:sz w:val="32"/>
          <w:szCs w:val="32"/>
          <w:lang w:val="ru-RU"/>
        </w:rPr>
        <w:t>投资者关系活动记录表</w:t>
      </w:r>
    </w:p>
    <w:p w14:paraId="2F9B7ED8">
      <w:pPr>
        <w:widowControl/>
        <w:adjustRightInd w:val="0"/>
        <w:snapToGrid w:val="0"/>
        <w:spacing w:line="360" w:lineRule="auto"/>
        <w:jc w:val="right"/>
        <w:rPr>
          <w:rFonts w:hint="eastAsia" w:ascii="Times New Roman" w:hAnsi="Times New Roman" w:eastAsia="宋体" w:cs="Times New Roman"/>
          <w:color w:val="000000"/>
          <w:sz w:val="24"/>
          <w:szCs w:val="24"/>
          <w:lang w:val="ru-RU"/>
        </w:rPr>
      </w:pPr>
      <w:r>
        <w:rPr>
          <w:rFonts w:ascii="Times New Roman" w:hAnsi="Times New Roman" w:eastAsia="宋体" w:cs="Times New Roman"/>
          <w:color w:val="000000"/>
          <w:sz w:val="24"/>
          <w:szCs w:val="24"/>
          <w:lang w:val="ru-RU"/>
        </w:rPr>
        <w:t>编号：202</w:t>
      </w:r>
      <w:r>
        <w:rPr>
          <w:rFonts w:hint="eastAsia" w:ascii="Times New Roman" w:hAnsi="Times New Roman" w:eastAsia="宋体" w:cs="Times New Roman"/>
          <w:color w:val="000000"/>
          <w:sz w:val="24"/>
          <w:szCs w:val="24"/>
          <w:lang w:val="ru-RU"/>
        </w:rPr>
        <w:t>60724</w:t>
      </w:r>
    </w:p>
    <w:tbl>
      <w:tblPr>
        <w:tblStyle w:val="14"/>
        <w:tblW w:w="9640"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7655"/>
      </w:tblGrid>
      <w:tr w14:paraId="4DC7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53F2DD24">
            <w:pPr>
              <w:widowControl/>
              <w:wordWrap w:val="0"/>
              <w:adjustRightInd w:val="0"/>
              <w:snapToGrid w:val="0"/>
              <w:spacing w:before="120" w:line="360" w:lineRule="auto"/>
              <w:jc w:val="center"/>
              <w:rPr>
                <w:rFonts w:hint="eastAsia" w:ascii="宋体" w:hAnsi="宋体" w:eastAsia="宋体" w:cs="Times New Roman"/>
                <w:sz w:val="24"/>
                <w:szCs w:val="24"/>
                <w:lang w:val="ru-RU"/>
              </w:rPr>
            </w:pPr>
            <w:r>
              <w:rPr>
                <w:rFonts w:hint="eastAsia" w:ascii="宋体" w:hAnsi="宋体" w:eastAsia="宋体" w:cs="Times New Roman"/>
                <w:sz w:val="24"/>
                <w:szCs w:val="24"/>
                <w:lang w:val="ru-RU"/>
              </w:rPr>
              <w:t>投资者关系活动类别</w:t>
            </w:r>
          </w:p>
        </w:tc>
        <w:tc>
          <w:tcPr>
            <w:tcW w:w="7655" w:type="dxa"/>
            <w:tcBorders>
              <w:top w:val="single" w:color="auto" w:sz="4" w:space="0"/>
              <w:left w:val="single" w:color="auto" w:sz="4" w:space="0"/>
              <w:bottom w:val="single" w:color="auto" w:sz="4" w:space="0"/>
              <w:right w:val="single" w:color="auto" w:sz="4" w:space="0"/>
            </w:tcBorders>
            <w:vAlign w:val="center"/>
          </w:tcPr>
          <w:p w14:paraId="109277A2">
            <w:pPr>
              <w:tabs>
                <w:tab w:val="right" w:pos="8360"/>
              </w:tabs>
              <w:wordWrap w:val="0"/>
              <w:autoSpaceDE w:val="0"/>
              <w:autoSpaceDN w:val="0"/>
              <w:adjustRightInd w:val="0"/>
              <w:snapToGrid w:val="0"/>
              <w:spacing w:before="156" w:beforeLines="50" w:after="156" w:afterLines="50"/>
              <w:jc w:val="left"/>
              <w:rPr>
                <w:rFonts w:hint="eastAsia" w:ascii="宋体" w:hAnsi="宋体" w:eastAsia="宋体" w:cs="USHEHF+ËÎÌå"/>
                <w:color w:val="000000"/>
                <w:sz w:val="24"/>
                <w:lang w:val="ru-RU"/>
              </w:rPr>
            </w:pPr>
            <w:r>
              <w:rPr>
                <w:rFonts w:ascii="宋体" w:hAnsi="宋体" w:eastAsia="宋体" w:cs="USHEHF+ËÎÌå"/>
                <w:color w:val="000000"/>
                <w:sz w:val="24"/>
              </w:rPr>
              <w:t>√</w:t>
            </w:r>
            <w:r>
              <w:rPr>
                <w:rFonts w:hint="eastAsia" w:ascii="宋体" w:hAnsi="宋体" w:eastAsia="宋体" w:cs="USHEHF+ËÎÌå"/>
                <w:color w:val="000000"/>
                <w:sz w:val="24"/>
                <w:lang w:val="ru-RU"/>
              </w:rPr>
              <w:t xml:space="preserve">特定对象调研                   □分析师会议 </w:t>
            </w:r>
          </w:p>
          <w:p w14:paraId="5E042943">
            <w:pPr>
              <w:wordWrap w:val="0"/>
              <w:autoSpaceDE w:val="0"/>
              <w:autoSpaceDN w:val="0"/>
              <w:adjustRightInd w:val="0"/>
              <w:snapToGrid w:val="0"/>
              <w:spacing w:before="156" w:beforeLines="50" w:after="156" w:afterLines="50"/>
              <w:jc w:val="left"/>
              <w:rPr>
                <w:rFonts w:hint="eastAsia" w:ascii="宋体" w:hAnsi="宋体" w:eastAsia="宋体" w:cs="USHEHF+ËÎÌå"/>
                <w:color w:val="000000"/>
                <w:sz w:val="24"/>
                <w:lang w:val="ru-RU"/>
              </w:rPr>
            </w:pPr>
            <w:bookmarkStart w:id="0" w:name="OLE_LINK1"/>
            <w:r>
              <w:rPr>
                <w:rFonts w:hint="eastAsia" w:ascii="宋体" w:hAnsi="宋体" w:eastAsia="宋体" w:cs="USHEHF+ËÎÌå"/>
                <w:color w:val="000000"/>
                <w:sz w:val="24"/>
                <w:lang w:val="ru-RU"/>
              </w:rPr>
              <w:t>□</w:t>
            </w:r>
            <w:bookmarkEnd w:id="0"/>
            <w:r>
              <w:rPr>
                <w:rFonts w:hint="eastAsia" w:ascii="宋体" w:hAnsi="宋体" w:eastAsia="宋体" w:cs="USHEHF+ËÎÌå"/>
                <w:color w:val="000000"/>
                <w:sz w:val="24"/>
                <w:lang w:val="ru-RU"/>
              </w:rPr>
              <w:t>媒体采访                       □业绩说明会</w:t>
            </w:r>
          </w:p>
          <w:p w14:paraId="60AFDE02">
            <w:pPr>
              <w:wordWrap w:val="0"/>
              <w:autoSpaceDE w:val="0"/>
              <w:autoSpaceDN w:val="0"/>
              <w:adjustRightInd w:val="0"/>
              <w:snapToGrid w:val="0"/>
              <w:spacing w:before="156" w:beforeLines="50" w:after="156" w:afterLines="50"/>
              <w:jc w:val="left"/>
              <w:rPr>
                <w:rFonts w:hint="eastAsia" w:ascii="宋体" w:hAnsi="宋体" w:eastAsia="宋体" w:cs="USHEHF+ËÎÌå"/>
                <w:color w:val="000000"/>
                <w:sz w:val="24"/>
                <w:lang w:val="ru-RU"/>
              </w:rPr>
            </w:pPr>
            <w:r>
              <w:rPr>
                <w:rFonts w:hint="eastAsia" w:ascii="宋体" w:hAnsi="宋体" w:eastAsia="宋体" w:cs="USHEHF+ËÎÌå"/>
                <w:color w:val="000000"/>
                <w:sz w:val="24"/>
                <w:lang w:val="ru-RU"/>
              </w:rPr>
              <w:t>□新闻发布会                     □路演活动</w:t>
            </w:r>
          </w:p>
          <w:p w14:paraId="55E4D76E">
            <w:pPr>
              <w:wordWrap w:val="0"/>
              <w:autoSpaceDE w:val="0"/>
              <w:autoSpaceDN w:val="0"/>
              <w:adjustRightInd w:val="0"/>
              <w:snapToGrid w:val="0"/>
              <w:spacing w:before="156" w:beforeLines="50" w:after="156" w:afterLines="50"/>
              <w:jc w:val="left"/>
              <w:rPr>
                <w:rFonts w:hint="eastAsia" w:ascii="宋体" w:hAnsi="宋体" w:eastAsia="宋体" w:cs="USHEHF+ËÎÌå"/>
                <w:color w:val="000000"/>
                <w:sz w:val="24"/>
                <w:lang w:val="ru-RU"/>
              </w:rPr>
            </w:pPr>
            <w:r>
              <w:rPr>
                <w:rFonts w:hint="eastAsia" w:ascii="宋体" w:hAnsi="宋体" w:eastAsia="宋体" w:cs="USHEHF+ËÎÌå"/>
                <w:color w:val="000000"/>
                <w:sz w:val="24"/>
                <w:lang w:val="ru-RU"/>
              </w:rPr>
              <w:t>□现场参观</w:t>
            </w:r>
          </w:p>
          <w:p w14:paraId="1D6BDB46">
            <w:pPr>
              <w:wordWrap w:val="0"/>
              <w:autoSpaceDE w:val="0"/>
              <w:autoSpaceDN w:val="0"/>
              <w:adjustRightInd w:val="0"/>
              <w:snapToGrid w:val="0"/>
              <w:spacing w:before="156" w:beforeLines="50" w:after="156" w:afterLines="50"/>
              <w:jc w:val="left"/>
              <w:rPr>
                <w:rFonts w:hint="eastAsia" w:ascii="宋体" w:hAnsi="宋体" w:eastAsia="宋体" w:cs="USHEHF+ËÎÌå"/>
                <w:color w:val="000000"/>
                <w:sz w:val="24"/>
                <w:u w:val="single"/>
              </w:rPr>
            </w:pPr>
            <w:r>
              <w:rPr>
                <w:rFonts w:hint="eastAsia" w:ascii="Segoe UI Symbol" w:hAnsi="Segoe UI Symbol" w:eastAsia="宋体" w:cs="Segoe UI Symbol"/>
                <w:color w:val="000000"/>
                <w:sz w:val="24"/>
                <w:lang w:val="ru-RU"/>
              </w:rPr>
              <w:t>□</w:t>
            </w:r>
            <w:r>
              <w:rPr>
                <w:rFonts w:hint="eastAsia" w:ascii="宋体" w:hAnsi="宋体" w:eastAsia="宋体" w:cs="宋体"/>
                <w:color w:val="000000"/>
                <w:sz w:val="24"/>
                <w:lang w:val="ru-RU"/>
              </w:rPr>
              <w:t>其他：</w:t>
            </w:r>
            <w:r>
              <w:rPr>
                <w:rFonts w:hint="eastAsia" w:ascii="宋体" w:hAnsi="宋体" w:eastAsia="宋体" w:cs="USHEHF+ËÎÌå"/>
                <w:color w:val="000000"/>
                <w:sz w:val="24"/>
                <w:u w:val="single"/>
                <w:lang w:val="ru-RU"/>
              </w:rPr>
              <w:t xml:space="preserve"> </w:t>
            </w:r>
            <w:r>
              <w:rPr>
                <w:rFonts w:hint="eastAsia" w:ascii="宋体" w:hAnsi="宋体" w:eastAsia="宋体" w:cs="USHEHF+ËÎÌå"/>
                <w:color w:val="000000"/>
                <w:sz w:val="24"/>
                <w:u w:val="single"/>
              </w:rPr>
              <w:t xml:space="preserve">     </w:t>
            </w:r>
          </w:p>
        </w:tc>
      </w:tr>
      <w:tr w14:paraId="7CE7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062D9586">
            <w:pPr>
              <w:widowControl/>
              <w:wordWrap w:val="0"/>
              <w:adjustRightInd w:val="0"/>
              <w:snapToGrid w:val="0"/>
              <w:spacing w:before="120" w:line="360" w:lineRule="auto"/>
              <w:jc w:val="center"/>
              <w:rPr>
                <w:rFonts w:hint="eastAsia" w:ascii="宋体" w:hAnsi="宋体" w:eastAsia="宋体" w:cs="USHEHF+ËÎÌå"/>
                <w:color w:val="000000"/>
                <w:sz w:val="24"/>
                <w:lang w:val="ru-RU"/>
              </w:rPr>
            </w:pPr>
            <w:r>
              <w:rPr>
                <w:rFonts w:hint="eastAsia" w:ascii="宋体" w:hAnsi="宋体" w:eastAsia="宋体" w:cs="USHEHF+ËÎÌå"/>
                <w:color w:val="000000"/>
                <w:sz w:val="24"/>
                <w:lang w:val="ru-RU"/>
              </w:rPr>
              <w:t>参与</w:t>
            </w:r>
            <w:r>
              <w:rPr>
                <w:rFonts w:hint="eastAsia" w:ascii="宋体" w:hAnsi="宋体" w:eastAsia="宋体" w:cs="Times New Roman"/>
                <w:sz w:val="24"/>
                <w:szCs w:val="24"/>
                <w:lang w:val="ru-RU"/>
              </w:rPr>
              <w:t>单位</w:t>
            </w:r>
            <w:r>
              <w:rPr>
                <w:rFonts w:hint="eastAsia" w:ascii="宋体" w:hAnsi="宋体" w:eastAsia="宋体" w:cs="USHEHF+ËÎÌå"/>
                <w:color w:val="000000"/>
                <w:sz w:val="24"/>
                <w:lang w:val="ru-RU"/>
              </w:rPr>
              <w:t>名称及人员姓名</w:t>
            </w:r>
          </w:p>
        </w:tc>
        <w:tc>
          <w:tcPr>
            <w:tcW w:w="7655" w:type="dxa"/>
            <w:tcBorders>
              <w:top w:val="single" w:color="auto" w:sz="4" w:space="0"/>
              <w:left w:val="single" w:color="auto" w:sz="4" w:space="0"/>
              <w:bottom w:val="single" w:color="auto" w:sz="4" w:space="0"/>
              <w:right w:val="single" w:color="auto" w:sz="4" w:space="0"/>
            </w:tcBorders>
            <w:vAlign w:val="center"/>
          </w:tcPr>
          <w:p w14:paraId="13B69662">
            <w:pPr>
              <w:spacing w:line="360" w:lineRule="auto"/>
              <w:rPr>
                <w:rFonts w:ascii="宋体" w:hAnsi="宋体" w:eastAsia="宋体"/>
                <w:sz w:val="24"/>
                <w:szCs w:val="24"/>
              </w:rPr>
            </w:pPr>
            <w:r>
              <w:rPr>
                <w:rFonts w:hint="eastAsia" w:ascii="宋体" w:hAnsi="宋体" w:eastAsia="宋体"/>
                <w:sz w:val="24"/>
                <w:szCs w:val="24"/>
              </w:rPr>
              <w:t>天风证券：鲍荣富、周丹丹</w:t>
            </w:r>
          </w:p>
          <w:p w14:paraId="76650232">
            <w:pPr>
              <w:spacing w:line="360" w:lineRule="auto"/>
              <w:rPr>
                <w:rFonts w:hint="eastAsia" w:ascii="宋体" w:hAnsi="宋体" w:eastAsia="宋体"/>
                <w:sz w:val="24"/>
                <w:szCs w:val="24"/>
              </w:rPr>
            </w:pPr>
            <w:r>
              <w:rPr>
                <w:rFonts w:hint="eastAsia" w:ascii="宋体" w:hAnsi="宋体" w:eastAsia="宋体"/>
                <w:sz w:val="24"/>
                <w:szCs w:val="24"/>
              </w:rPr>
              <w:t>建新养老基金纪石        诺安基金赵森</w:t>
            </w:r>
          </w:p>
          <w:p w14:paraId="1C124242">
            <w:pPr>
              <w:spacing w:line="360" w:lineRule="auto"/>
              <w:rPr>
                <w:rFonts w:hint="eastAsia" w:ascii="宋体" w:hAnsi="宋体" w:eastAsia="宋体"/>
                <w:sz w:val="24"/>
                <w:szCs w:val="24"/>
              </w:rPr>
            </w:pPr>
            <w:r>
              <w:rPr>
                <w:rFonts w:hint="eastAsia" w:ascii="宋体" w:hAnsi="宋体" w:eastAsia="宋体"/>
                <w:sz w:val="24"/>
                <w:szCs w:val="24"/>
              </w:rPr>
              <w:t>光大证券赵乃迪、周家诺</w:t>
            </w:r>
          </w:p>
          <w:p w14:paraId="1DCDD813">
            <w:pPr>
              <w:spacing w:line="360" w:lineRule="auto"/>
              <w:rPr>
                <w:rFonts w:hint="eastAsia" w:ascii="宋体" w:hAnsi="宋体" w:eastAsia="宋体"/>
                <w:sz w:val="24"/>
                <w:szCs w:val="24"/>
              </w:rPr>
            </w:pPr>
            <w:r>
              <w:rPr>
                <w:rFonts w:hint="eastAsia" w:ascii="宋体" w:hAnsi="宋体" w:eastAsia="宋体"/>
                <w:sz w:val="24"/>
                <w:szCs w:val="24"/>
              </w:rPr>
              <w:t>混沌投资黎晓楠          华泰化工庄汀洲</w:t>
            </w:r>
          </w:p>
        </w:tc>
      </w:tr>
      <w:tr w14:paraId="6001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47C4D635">
            <w:pPr>
              <w:widowControl/>
              <w:wordWrap w:val="0"/>
              <w:adjustRightInd w:val="0"/>
              <w:snapToGrid w:val="0"/>
              <w:spacing w:before="120" w:line="360" w:lineRule="auto"/>
              <w:jc w:val="center"/>
              <w:rPr>
                <w:rFonts w:hint="eastAsia" w:ascii="宋体" w:hAnsi="宋体" w:eastAsia="宋体" w:cs="Times New Roman"/>
                <w:sz w:val="22"/>
                <w:lang w:val="ru-RU"/>
              </w:rPr>
            </w:pPr>
            <w:r>
              <w:rPr>
                <w:rFonts w:hint="eastAsia" w:ascii="宋体" w:hAnsi="宋体" w:eastAsia="宋体" w:cs="USHEHF+ËÎÌå"/>
                <w:color w:val="000000"/>
                <w:sz w:val="24"/>
                <w:lang w:val="ru-RU"/>
              </w:rPr>
              <w:t>时间</w:t>
            </w:r>
          </w:p>
        </w:tc>
        <w:tc>
          <w:tcPr>
            <w:tcW w:w="7655" w:type="dxa"/>
            <w:tcBorders>
              <w:top w:val="single" w:color="auto" w:sz="4" w:space="0"/>
              <w:left w:val="single" w:color="auto" w:sz="4" w:space="0"/>
              <w:bottom w:val="single" w:color="auto" w:sz="4" w:space="0"/>
              <w:right w:val="single" w:color="auto" w:sz="4" w:space="0"/>
            </w:tcBorders>
            <w:vAlign w:val="center"/>
          </w:tcPr>
          <w:p w14:paraId="3E3AD56C">
            <w:pPr>
              <w:widowControl/>
              <w:wordWrap w:val="0"/>
              <w:adjustRightInd w:val="0"/>
              <w:spacing w:before="120" w:after="240"/>
              <w:jc w:val="left"/>
              <w:rPr>
                <w:rFonts w:ascii="Times New Roman" w:hAnsi="Times New Roman" w:eastAsia="宋体" w:cs="Times New Roman"/>
                <w:sz w:val="24"/>
                <w:szCs w:val="24"/>
                <w:lang w:val="ru-RU"/>
              </w:rPr>
            </w:pPr>
            <w:r>
              <w:rPr>
                <w:rFonts w:ascii="Times New Roman" w:hAnsi="Times New Roman" w:eastAsia="宋体" w:cs="Times New Roman"/>
                <w:sz w:val="24"/>
                <w:szCs w:val="24"/>
                <w:lang w:val="ru-RU"/>
              </w:rPr>
              <w:t>202</w:t>
            </w:r>
            <w:r>
              <w:rPr>
                <w:rFonts w:hint="eastAsia" w:ascii="Times New Roman" w:hAnsi="Times New Roman" w:eastAsia="宋体" w:cs="Times New Roman"/>
                <w:sz w:val="24"/>
                <w:szCs w:val="24"/>
                <w:lang w:val="ru-RU"/>
              </w:rPr>
              <w:t>6</w:t>
            </w:r>
            <w:r>
              <w:rPr>
                <w:rFonts w:ascii="Times New Roman" w:hAnsi="Times New Roman" w:eastAsia="宋体" w:cs="Times New Roman"/>
                <w:sz w:val="24"/>
                <w:szCs w:val="24"/>
              </w:rPr>
              <w:t>年</w:t>
            </w:r>
            <w:r>
              <w:rPr>
                <w:rFonts w:hint="eastAsia" w:ascii="Times New Roman" w:hAnsi="Times New Roman" w:eastAsia="宋体" w:cs="Times New Roman"/>
                <w:sz w:val="24"/>
                <w:szCs w:val="24"/>
                <w:lang w:val="ru-RU"/>
              </w:rPr>
              <w:t>07</w:t>
            </w:r>
            <w:r>
              <w:rPr>
                <w:rFonts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20</w:t>
            </w:r>
            <w:r>
              <w:rPr>
                <w:rFonts w:ascii="Times New Roman" w:hAnsi="Times New Roman" w:eastAsia="宋体" w:cs="Times New Roman"/>
                <w:sz w:val="24"/>
                <w:szCs w:val="24"/>
              </w:rPr>
              <w:t>日</w:t>
            </w:r>
            <w:r>
              <w:rPr>
                <w:rFonts w:hint="eastAsia" w:ascii="Times New Roman" w:hAnsi="Times New Roman" w:eastAsia="宋体" w:cs="Times New Roman"/>
                <w:sz w:val="24"/>
                <w:szCs w:val="24"/>
                <w:lang w:val="ru-RU"/>
              </w:rPr>
              <w:t>（</w:t>
            </w:r>
            <w:r>
              <w:rPr>
                <w:rFonts w:hint="eastAsia" w:ascii="Times New Roman" w:hAnsi="Times New Roman" w:eastAsia="宋体" w:cs="Times New Roman"/>
                <w:sz w:val="24"/>
                <w:szCs w:val="24"/>
              </w:rPr>
              <w:t>星期</w:t>
            </w:r>
            <w:r>
              <w:rPr>
                <w:rFonts w:hint="eastAsia" w:ascii="Times New Roman" w:hAnsi="Times New Roman" w:eastAsia="宋体" w:cs="Times New Roman"/>
                <w:sz w:val="24"/>
                <w:szCs w:val="24"/>
                <w:lang w:val="en-US" w:eastAsia="zh-CN"/>
              </w:rPr>
              <w:t>二</w:t>
            </w:r>
            <w:r>
              <w:rPr>
                <w:rFonts w:hint="eastAsia" w:ascii="Times New Roman" w:hAnsi="Times New Roman" w:eastAsia="宋体" w:cs="Times New Roman"/>
                <w:sz w:val="24"/>
                <w:szCs w:val="24"/>
                <w:lang w:val="ru-RU"/>
              </w:rPr>
              <w:t>）下</w:t>
            </w:r>
            <w:r>
              <w:rPr>
                <w:rFonts w:hint="eastAsia" w:ascii="Times New Roman" w:hAnsi="Times New Roman" w:eastAsia="宋体" w:cs="Times New Roman"/>
                <w:sz w:val="24"/>
                <w:szCs w:val="24"/>
              </w:rPr>
              <w:t>午</w:t>
            </w:r>
            <w:r>
              <w:rPr>
                <w:rFonts w:hint="eastAsia" w:ascii="Times New Roman" w:hAnsi="Times New Roman" w:eastAsia="宋体" w:cs="Times New Roman"/>
                <w:sz w:val="24"/>
                <w:szCs w:val="24"/>
                <w:lang w:val="ru-RU"/>
              </w:rPr>
              <w:t>14</w:t>
            </w:r>
            <w:r>
              <w:rPr>
                <w:rFonts w:hint="eastAsia"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ru-RU"/>
              </w:rPr>
              <w:t>00-16</w:t>
            </w:r>
            <w:r>
              <w:rPr>
                <w:rFonts w:hint="eastAsia"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ru-RU"/>
              </w:rPr>
              <w:t>00</w:t>
            </w:r>
          </w:p>
          <w:p w14:paraId="615165C3">
            <w:pPr>
              <w:widowControl/>
              <w:wordWrap w:val="0"/>
              <w:adjustRightInd w:val="0"/>
              <w:spacing w:before="120" w:after="240"/>
              <w:jc w:val="left"/>
              <w:rPr>
                <w:rFonts w:ascii="Times New Roman" w:hAnsi="Times New Roman" w:eastAsia="宋体" w:cs="Times New Roman"/>
                <w:sz w:val="24"/>
                <w:szCs w:val="24"/>
                <w:lang w:val="ru-RU"/>
              </w:rPr>
            </w:pPr>
            <w:r>
              <w:rPr>
                <w:rFonts w:ascii="Times New Roman" w:hAnsi="Times New Roman" w:eastAsia="宋体" w:cs="Times New Roman"/>
                <w:sz w:val="24"/>
                <w:szCs w:val="24"/>
                <w:lang w:val="ru-RU"/>
              </w:rPr>
              <w:t>202</w:t>
            </w:r>
            <w:r>
              <w:rPr>
                <w:rFonts w:hint="eastAsia" w:ascii="Times New Roman" w:hAnsi="Times New Roman" w:eastAsia="宋体" w:cs="Times New Roman"/>
                <w:sz w:val="24"/>
                <w:szCs w:val="24"/>
                <w:lang w:val="ru-RU"/>
              </w:rPr>
              <w:t>6</w:t>
            </w:r>
            <w:r>
              <w:rPr>
                <w:rFonts w:ascii="Times New Roman" w:hAnsi="Times New Roman" w:eastAsia="宋体" w:cs="Times New Roman"/>
                <w:sz w:val="24"/>
                <w:szCs w:val="24"/>
              </w:rPr>
              <w:t>年</w:t>
            </w:r>
            <w:r>
              <w:rPr>
                <w:rFonts w:hint="eastAsia" w:ascii="Times New Roman" w:hAnsi="Times New Roman" w:eastAsia="宋体" w:cs="Times New Roman"/>
                <w:sz w:val="24"/>
                <w:szCs w:val="24"/>
                <w:lang w:val="ru-RU"/>
              </w:rPr>
              <w:t>07</w:t>
            </w:r>
            <w:r>
              <w:rPr>
                <w:rFonts w:ascii="Times New Roman" w:hAnsi="Times New Roman" w:eastAsia="宋体" w:cs="Times New Roman"/>
                <w:sz w:val="24"/>
                <w:szCs w:val="24"/>
              </w:rPr>
              <w:t>月</w:t>
            </w:r>
            <w:r>
              <w:rPr>
                <w:rFonts w:hint="eastAsia" w:ascii="Times New Roman" w:hAnsi="Times New Roman" w:eastAsia="宋体" w:cs="Times New Roman"/>
                <w:sz w:val="24"/>
                <w:szCs w:val="24"/>
                <w:lang w:val="ru-RU"/>
              </w:rPr>
              <w:t>21</w:t>
            </w:r>
            <w:r>
              <w:rPr>
                <w:rFonts w:ascii="Times New Roman" w:hAnsi="Times New Roman" w:eastAsia="宋体" w:cs="Times New Roman"/>
                <w:sz w:val="24"/>
                <w:szCs w:val="24"/>
              </w:rPr>
              <w:t>日</w:t>
            </w:r>
            <w:r>
              <w:rPr>
                <w:rFonts w:hint="eastAsia" w:ascii="Times New Roman" w:hAnsi="Times New Roman" w:eastAsia="宋体" w:cs="Times New Roman"/>
                <w:sz w:val="24"/>
                <w:szCs w:val="24"/>
                <w:lang w:val="ru-RU"/>
              </w:rPr>
              <w:t>（</w:t>
            </w:r>
            <w:r>
              <w:rPr>
                <w:rFonts w:hint="eastAsia" w:ascii="Times New Roman" w:hAnsi="Times New Roman" w:eastAsia="宋体" w:cs="Times New Roman"/>
                <w:sz w:val="24"/>
                <w:szCs w:val="24"/>
              </w:rPr>
              <w:t>星期三</w:t>
            </w:r>
            <w:r>
              <w:rPr>
                <w:rFonts w:hint="eastAsia" w:ascii="Times New Roman" w:hAnsi="Times New Roman" w:eastAsia="宋体" w:cs="Times New Roman"/>
                <w:sz w:val="24"/>
                <w:szCs w:val="24"/>
                <w:lang w:val="ru-RU"/>
              </w:rPr>
              <w:t>）下</w:t>
            </w:r>
            <w:r>
              <w:rPr>
                <w:rFonts w:hint="eastAsia" w:ascii="Times New Roman" w:hAnsi="Times New Roman" w:eastAsia="宋体" w:cs="Times New Roman"/>
                <w:sz w:val="24"/>
                <w:szCs w:val="24"/>
              </w:rPr>
              <w:t>午</w:t>
            </w:r>
            <w:r>
              <w:rPr>
                <w:rFonts w:hint="eastAsia" w:ascii="Times New Roman" w:hAnsi="Times New Roman" w:eastAsia="宋体" w:cs="Times New Roman"/>
                <w:sz w:val="24"/>
                <w:szCs w:val="24"/>
                <w:lang w:val="ru-RU"/>
              </w:rPr>
              <w:t>15:15-16:30</w:t>
            </w:r>
          </w:p>
          <w:p w14:paraId="04E5E2CF">
            <w:pPr>
              <w:widowControl/>
              <w:wordWrap w:val="0"/>
              <w:adjustRightInd w:val="0"/>
              <w:spacing w:before="120" w:after="240"/>
              <w:jc w:val="left"/>
              <w:rPr>
                <w:rFonts w:ascii="Times New Roman" w:hAnsi="Times New Roman" w:eastAsia="宋体" w:cs="Times New Roman"/>
                <w:sz w:val="24"/>
                <w:szCs w:val="24"/>
                <w:lang w:val="ru-RU"/>
              </w:rPr>
            </w:pPr>
            <w:r>
              <w:rPr>
                <w:rFonts w:hint="eastAsia" w:ascii="Times New Roman" w:hAnsi="Times New Roman" w:eastAsia="宋体" w:cs="Times New Roman"/>
                <w:sz w:val="24"/>
                <w:szCs w:val="24"/>
                <w:lang w:val="ru-RU"/>
              </w:rPr>
              <w:t>2026年07月22日（星期四）下午14:30-16:30</w:t>
            </w:r>
          </w:p>
          <w:p w14:paraId="655A9B39">
            <w:pPr>
              <w:widowControl/>
              <w:wordWrap w:val="0"/>
              <w:adjustRightInd w:val="0"/>
              <w:spacing w:before="120" w:after="240"/>
              <w:jc w:val="left"/>
              <w:rPr>
                <w:rFonts w:hint="eastAsia" w:ascii="Times New Roman" w:hAnsi="Times New Roman" w:eastAsia="宋体" w:cs="Times New Roman"/>
                <w:sz w:val="24"/>
                <w:szCs w:val="24"/>
                <w:lang w:val="ru-RU"/>
              </w:rPr>
            </w:pPr>
            <w:r>
              <w:rPr>
                <w:rFonts w:hint="eastAsia" w:ascii="Times New Roman" w:hAnsi="Times New Roman" w:eastAsia="宋体" w:cs="Times New Roman"/>
                <w:sz w:val="24"/>
                <w:szCs w:val="24"/>
                <w:lang w:val="ru-RU"/>
              </w:rPr>
              <w:t>2026年07月23日（星期五）上午10:00-11:30</w:t>
            </w:r>
          </w:p>
        </w:tc>
      </w:tr>
      <w:tr w14:paraId="7F72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40990242">
            <w:pPr>
              <w:widowControl/>
              <w:wordWrap w:val="0"/>
              <w:adjustRightInd w:val="0"/>
              <w:snapToGrid w:val="0"/>
              <w:spacing w:before="120" w:line="360" w:lineRule="auto"/>
              <w:jc w:val="center"/>
              <w:rPr>
                <w:rFonts w:hint="eastAsia" w:ascii="宋体" w:hAnsi="宋体" w:eastAsia="宋体" w:cs="Times New Roman"/>
                <w:sz w:val="22"/>
                <w:lang w:val="ru-RU"/>
              </w:rPr>
            </w:pPr>
            <w:r>
              <w:rPr>
                <w:rFonts w:hint="eastAsia" w:ascii="宋体" w:hAnsi="宋体" w:eastAsia="宋体" w:cs="USHEHF+ËÎÌå"/>
                <w:color w:val="000000"/>
                <w:sz w:val="24"/>
                <w:lang w:val="ru-RU"/>
              </w:rPr>
              <w:t>地点</w:t>
            </w:r>
          </w:p>
        </w:tc>
        <w:tc>
          <w:tcPr>
            <w:tcW w:w="7655" w:type="dxa"/>
            <w:tcBorders>
              <w:top w:val="single" w:color="auto" w:sz="4" w:space="0"/>
              <w:left w:val="single" w:color="auto" w:sz="4" w:space="0"/>
              <w:bottom w:val="single" w:color="auto" w:sz="4" w:space="0"/>
              <w:right w:val="single" w:color="auto" w:sz="4" w:space="0"/>
            </w:tcBorders>
            <w:vAlign w:val="center"/>
          </w:tcPr>
          <w:p w14:paraId="48F87A23">
            <w:pPr>
              <w:wordWrap w:val="0"/>
              <w:autoSpaceDE w:val="0"/>
              <w:autoSpaceDN w:val="0"/>
              <w:adjustRightInd w:val="0"/>
              <w:snapToGrid w:val="0"/>
              <w:spacing w:line="276" w:lineRule="auto"/>
              <w:jc w:val="left"/>
              <w:rPr>
                <w:rFonts w:hint="eastAsia" w:ascii="宋体" w:hAnsi="宋体" w:eastAsia="宋体" w:cstheme="minorEastAsia"/>
                <w:sz w:val="24"/>
                <w:szCs w:val="24"/>
              </w:rPr>
            </w:pPr>
            <w:r>
              <w:rPr>
                <w:rFonts w:hint="eastAsia" w:ascii="宋体" w:hAnsi="宋体" w:eastAsia="宋体" w:cstheme="minorEastAsia"/>
                <w:sz w:val="24"/>
                <w:szCs w:val="24"/>
              </w:rPr>
              <w:t>肯特科技会议室</w:t>
            </w:r>
          </w:p>
        </w:tc>
      </w:tr>
      <w:tr w14:paraId="7BB4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542390F8">
            <w:pPr>
              <w:widowControl/>
              <w:wordWrap w:val="0"/>
              <w:adjustRightInd w:val="0"/>
              <w:snapToGrid w:val="0"/>
              <w:spacing w:line="360" w:lineRule="auto"/>
              <w:jc w:val="center"/>
              <w:rPr>
                <w:rFonts w:hint="eastAsia" w:ascii="宋体" w:hAnsi="宋体" w:eastAsia="宋体" w:cs="Times New Roman"/>
                <w:sz w:val="22"/>
                <w:lang w:val="ru-RU"/>
              </w:rPr>
            </w:pPr>
            <w:r>
              <w:rPr>
                <w:rFonts w:hint="eastAsia" w:ascii="宋体" w:hAnsi="宋体" w:eastAsia="宋体" w:cs="USHEHF+ËÎÌå"/>
                <w:color w:val="000000"/>
                <w:sz w:val="24"/>
                <w:lang w:val="ru-RU"/>
              </w:rPr>
              <w:t>上市公司接待人员姓名</w:t>
            </w:r>
          </w:p>
        </w:tc>
        <w:tc>
          <w:tcPr>
            <w:tcW w:w="7655" w:type="dxa"/>
            <w:tcBorders>
              <w:top w:val="single" w:color="auto" w:sz="4" w:space="0"/>
              <w:left w:val="single" w:color="auto" w:sz="4" w:space="0"/>
              <w:bottom w:val="single" w:color="auto" w:sz="4" w:space="0"/>
              <w:right w:val="single" w:color="auto" w:sz="4" w:space="0"/>
            </w:tcBorders>
            <w:vAlign w:val="center"/>
          </w:tcPr>
          <w:p w14:paraId="3D1F2095">
            <w:pPr>
              <w:wordWrap w:val="0"/>
              <w:autoSpaceDE w:val="0"/>
              <w:autoSpaceDN w:val="0"/>
              <w:spacing w:line="360" w:lineRule="auto"/>
              <w:jc w:val="left"/>
              <w:rPr>
                <w:rFonts w:hint="eastAsia" w:ascii="宋体" w:hAnsi="宋体" w:eastAsia="宋体" w:cs="USHEHF+ËÎÌå"/>
                <w:color w:val="000000"/>
                <w:sz w:val="24"/>
                <w:szCs w:val="24"/>
                <w:lang w:val="ru-RU"/>
              </w:rPr>
            </w:pPr>
            <w:r>
              <w:rPr>
                <w:rFonts w:hint="eastAsia" w:ascii="宋体" w:hAnsi="宋体" w:eastAsia="宋体" w:cs="USHEHF+ËÎÌå"/>
                <w:color w:val="000000"/>
                <w:sz w:val="24"/>
                <w:szCs w:val="24"/>
                <w:lang w:val="ru-RU"/>
              </w:rPr>
              <w:t>董事会秘书：张志明</w:t>
            </w:r>
          </w:p>
          <w:p w14:paraId="6088D084">
            <w:pPr>
              <w:wordWrap w:val="0"/>
              <w:autoSpaceDE w:val="0"/>
              <w:autoSpaceDN w:val="0"/>
              <w:spacing w:line="360" w:lineRule="auto"/>
              <w:jc w:val="left"/>
              <w:rPr>
                <w:rFonts w:hint="eastAsia" w:ascii="宋体" w:hAnsi="宋体" w:eastAsia="宋体" w:cs="USHEHF+ËÎÌå"/>
                <w:color w:val="000000"/>
                <w:sz w:val="24"/>
                <w:szCs w:val="24"/>
                <w:lang w:val="ru-RU"/>
              </w:rPr>
            </w:pPr>
            <w:r>
              <w:rPr>
                <w:rFonts w:hint="eastAsia" w:ascii="宋体" w:hAnsi="宋体" w:eastAsia="宋体" w:cs="USHEHF+ËÎÌå"/>
                <w:color w:val="000000"/>
                <w:sz w:val="24"/>
                <w:szCs w:val="24"/>
                <w:lang w:val="ru-RU"/>
              </w:rPr>
              <w:t>肯特科技总经理：杨建锋</w:t>
            </w:r>
          </w:p>
        </w:tc>
      </w:tr>
      <w:tr w14:paraId="4894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3D3A00BE">
            <w:pPr>
              <w:widowControl/>
              <w:wordWrap w:val="0"/>
              <w:adjustRightInd w:val="0"/>
              <w:snapToGrid w:val="0"/>
              <w:spacing w:before="120" w:line="360" w:lineRule="auto"/>
              <w:jc w:val="center"/>
              <w:rPr>
                <w:rFonts w:hint="eastAsia" w:ascii="宋体" w:hAnsi="宋体" w:eastAsia="宋体" w:cs="Times New Roman"/>
                <w:color w:val="000000"/>
                <w:sz w:val="24"/>
                <w:lang w:val="ru-RU"/>
              </w:rPr>
            </w:pPr>
            <w:r>
              <w:rPr>
                <w:rFonts w:hint="eastAsia" w:ascii="宋体" w:hAnsi="宋体" w:eastAsia="宋体" w:cs="等线"/>
                <w:color w:val="000000"/>
                <w:sz w:val="24"/>
                <w:lang w:val="ru-RU"/>
              </w:rPr>
              <w:t>投资者关系活动主要内容介绍</w:t>
            </w:r>
          </w:p>
        </w:tc>
        <w:tc>
          <w:tcPr>
            <w:tcW w:w="7655" w:type="dxa"/>
            <w:tcBorders>
              <w:top w:val="single" w:color="auto" w:sz="4" w:space="0"/>
              <w:left w:val="single" w:color="auto" w:sz="4" w:space="0"/>
              <w:bottom w:val="single" w:color="auto" w:sz="4" w:space="0"/>
              <w:right w:val="single" w:color="auto" w:sz="4" w:space="0"/>
            </w:tcBorders>
            <w:vAlign w:val="center"/>
          </w:tcPr>
          <w:p w14:paraId="18ED8392">
            <w:pPr>
              <w:widowControl/>
              <w:spacing w:line="36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一、基本情况介绍</w:t>
            </w:r>
          </w:p>
          <w:p w14:paraId="1D0E3C22">
            <w:pPr>
              <w:widowControl/>
              <w:spacing w:line="360" w:lineRule="auto"/>
              <w:ind w:firstLine="480" w:firstLineChars="200"/>
              <w:rPr>
                <w:rFonts w:ascii="Times New Roman" w:hAnsi="Times New Roman" w:eastAsia="宋体" w:cs="Times New Roman"/>
                <w:sz w:val="24"/>
                <w:szCs w:val="24"/>
              </w:rPr>
            </w:pPr>
            <w:bookmarkStart w:id="1" w:name="OLE_LINK3"/>
            <w:r>
              <w:rPr>
                <w:rFonts w:ascii="Times New Roman" w:hAnsi="Times New Roman" w:eastAsia="宋体" w:cs="Times New Roman"/>
                <w:sz w:val="24"/>
                <w:szCs w:val="24"/>
              </w:rPr>
              <w:t>公司</w:t>
            </w:r>
            <w:bookmarkEnd w:id="1"/>
            <w:r>
              <w:rPr>
                <w:rFonts w:ascii="Times New Roman" w:hAnsi="Times New Roman" w:eastAsia="宋体" w:cs="Times New Roman"/>
                <w:sz w:val="24"/>
                <w:szCs w:val="24"/>
              </w:rPr>
              <w:t>成立于2009年，总部位于</w:t>
            </w:r>
            <w:r>
              <w:rPr>
                <w:rFonts w:hint="eastAsia" w:ascii="Times New Roman" w:hAnsi="Times New Roman" w:eastAsia="宋体" w:cs="Times New Roman"/>
                <w:sz w:val="24"/>
                <w:szCs w:val="24"/>
                <w:lang w:val="en-US" w:eastAsia="zh-CN"/>
              </w:rPr>
              <w:t>浙江仙居</w:t>
            </w:r>
            <w:r>
              <w:rPr>
                <w:rFonts w:ascii="Times New Roman" w:hAnsi="Times New Roman" w:eastAsia="宋体" w:cs="Times New Roman"/>
                <w:sz w:val="24"/>
                <w:szCs w:val="24"/>
              </w:rPr>
              <w:t>，是一家专注于季铵（鏻）化合物产品研发、生产和销售的高新技术企业下辖全资子公司江西肯特化学有限公司和浙江肯特催化材料科技有限公司。</w:t>
            </w:r>
          </w:p>
          <w:p w14:paraId="6DFE1339">
            <w:pPr>
              <w:widowControl/>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公司拥有季铵盐、季铵碱、季鏻盐、冠醚等四大系列产品，凭借先进的生产技术与稳定的产品质量，为精细化工、分子筛、高分子材料、电池电解液、油田化学品和</w:t>
            </w:r>
            <w:r>
              <w:rPr>
                <w:rFonts w:ascii="Times New Roman" w:hAnsi="Times New Roman" w:eastAsia="宋体" w:cs="Times New Roman"/>
                <w:sz w:val="24"/>
                <w:szCs w:val="24"/>
              </w:rPr>
              <w:t>电子化学品</w:t>
            </w:r>
            <w:r>
              <w:rPr>
                <w:rFonts w:hint="eastAsia" w:ascii="Times New Roman" w:hAnsi="Times New Roman" w:eastAsia="宋体" w:cs="Times New Roman"/>
                <w:sz w:val="24"/>
                <w:szCs w:val="24"/>
              </w:rPr>
              <w:t>等领域的客户提供优质的产品和服务。</w:t>
            </w:r>
          </w:p>
          <w:p w14:paraId="11DAAE32">
            <w:pPr>
              <w:widowControl/>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通过多年的技术研发创新及产业化应用，公司产品应用形式不断拓展。</w:t>
            </w:r>
            <w:r>
              <w:rPr>
                <w:rFonts w:hint="eastAsia" w:ascii="Times New Roman" w:hAnsi="Times New Roman" w:eastAsia="宋体" w:cs="Times New Roman"/>
                <w:sz w:val="24"/>
                <w:szCs w:val="24"/>
              </w:rPr>
              <w:t>从初期的相转移催化剂逐步延伸至分子筛模板剂、固化促进剂、电解液添加剂、电子化学品等多用途，实现了产品结构的持续优化与应用场景的深度拓展</w:t>
            </w:r>
            <w:r>
              <w:rPr>
                <w:rFonts w:ascii="Times New Roman" w:hAnsi="Times New Roman" w:eastAsia="宋体" w:cs="Times New Roman"/>
                <w:sz w:val="24"/>
                <w:szCs w:val="24"/>
              </w:rPr>
              <w:t>，市场</w:t>
            </w:r>
            <w:r>
              <w:rPr>
                <w:rFonts w:hint="eastAsia" w:ascii="Times New Roman" w:hAnsi="Times New Roman" w:eastAsia="宋体" w:cs="Times New Roman"/>
                <w:sz w:val="24"/>
                <w:szCs w:val="24"/>
              </w:rPr>
              <w:t>综合</w:t>
            </w:r>
            <w:r>
              <w:rPr>
                <w:rFonts w:ascii="Times New Roman" w:hAnsi="Times New Roman" w:eastAsia="宋体" w:cs="Times New Roman"/>
                <w:sz w:val="24"/>
                <w:szCs w:val="24"/>
              </w:rPr>
              <w:t>竞争力稳步</w:t>
            </w:r>
            <w:r>
              <w:rPr>
                <w:rFonts w:hint="eastAsia" w:ascii="Times New Roman" w:hAnsi="Times New Roman" w:eastAsia="宋体" w:cs="Times New Roman"/>
                <w:sz w:val="24"/>
                <w:szCs w:val="24"/>
              </w:rPr>
              <w:t>提升</w:t>
            </w:r>
            <w:r>
              <w:rPr>
                <w:rFonts w:ascii="Times New Roman" w:hAnsi="Times New Roman" w:eastAsia="宋体" w:cs="Times New Roman"/>
                <w:sz w:val="24"/>
                <w:szCs w:val="24"/>
              </w:rPr>
              <w:t>。</w:t>
            </w:r>
          </w:p>
          <w:p w14:paraId="2CC269BC">
            <w:pPr>
              <w:widowControl/>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（一）研发创新布局</w:t>
            </w:r>
          </w:p>
          <w:p w14:paraId="5F6686AC">
            <w:pPr>
              <w:widowControl/>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公司</w:t>
            </w:r>
            <w:r>
              <w:rPr>
                <w:rFonts w:hint="eastAsia" w:ascii="Times New Roman" w:hAnsi="Times New Roman" w:eastAsia="宋体" w:cs="Times New Roman"/>
                <w:sz w:val="24"/>
                <w:szCs w:val="24"/>
              </w:rPr>
              <w:t>推行</w:t>
            </w:r>
            <w:r>
              <w:rPr>
                <w:rFonts w:ascii="Times New Roman" w:hAnsi="Times New Roman" w:eastAsia="宋体" w:cs="Times New Roman"/>
                <w:sz w:val="24"/>
                <w:szCs w:val="24"/>
              </w:rPr>
              <w:t>与客户并行研发</w:t>
            </w:r>
            <w:r>
              <w:rPr>
                <w:rFonts w:hint="eastAsia" w:ascii="Times New Roman" w:hAnsi="Times New Roman" w:eastAsia="宋体" w:cs="Times New Roman"/>
                <w:sz w:val="24"/>
                <w:szCs w:val="24"/>
              </w:rPr>
              <w:t>的</w:t>
            </w:r>
            <w:r>
              <w:rPr>
                <w:rFonts w:ascii="Times New Roman" w:hAnsi="Times New Roman" w:eastAsia="宋体" w:cs="Times New Roman"/>
                <w:sz w:val="24"/>
                <w:szCs w:val="24"/>
              </w:rPr>
              <w:t>策略，持续加大研发投入，</w:t>
            </w:r>
            <w:r>
              <w:rPr>
                <w:rFonts w:hint="eastAsia" w:ascii="Times New Roman" w:hAnsi="Times New Roman" w:eastAsia="宋体" w:cs="Times New Roman"/>
                <w:sz w:val="24"/>
                <w:szCs w:val="24"/>
              </w:rPr>
              <w:t>搭建</w:t>
            </w:r>
            <w:r>
              <w:rPr>
                <w:rFonts w:ascii="Times New Roman" w:hAnsi="Times New Roman" w:eastAsia="宋体" w:cs="Times New Roman"/>
                <w:sz w:val="24"/>
                <w:szCs w:val="24"/>
              </w:rPr>
              <w:t>省级高新技术企业研究开发中心等多</w:t>
            </w:r>
            <w:r>
              <w:rPr>
                <w:rFonts w:hint="eastAsia" w:ascii="Times New Roman" w:hAnsi="Times New Roman" w:eastAsia="宋体" w:cs="Times New Roman"/>
                <w:sz w:val="24"/>
                <w:szCs w:val="24"/>
              </w:rPr>
              <w:t>层级</w:t>
            </w:r>
            <w:r>
              <w:rPr>
                <w:rFonts w:ascii="Times New Roman" w:hAnsi="Times New Roman" w:eastAsia="宋体" w:cs="Times New Roman"/>
                <w:sz w:val="24"/>
                <w:szCs w:val="24"/>
              </w:rPr>
              <w:t>创新平台</w:t>
            </w:r>
            <w:r>
              <w:rPr>
                <w:rFonts w:hint="eastAsia" w:ascii="Times New Roman" w:hAnsi="Times New Roman" w:eastAsia="宋体" w:cs="Times New Roman"/>
                <w:sz w:val="24"/>
                <w:szCs w:val="24"/>
              </w:rPr>
              <w:t>；长期</w:t>
            </w:r>
            <w:r>
              <w:rPr>
                <w:rFonts w:ascii="Times New Roman" w:hAnsi="Times New Roman" w:eastAsia="宋体" w:cs="Times New Roman"/>
                <w:sz w:val="24"/>
                <w:szCs w:val="24"/>
              </w:rPr>
              <w:t>与浙江大学、吉林大学等国内知名高校</w:t>
            </w:r>
            <w:r>
              <w:rPr>
                <w:rFonts w:hint="eastAsia" w:ascii="Times New Roman" w:hAnsi="Times New Roman" w:eastAsia="宋体" w:cs="Times New Roman"/>
                <w:sz w:val="24"/>
                <w:szCs w:val="24"/>
              </w:rPr>
              <w:t>开展深度</w:t>
            </w:r>
            <w:r>
              <w:rPr>
                <w:rFonts w:ascii="Times New Roman" w:hAnsi="Times New Roman" w:eastAsia="宋体" w:cs="Times New Roman"/>
                <w:sz w:val="24"/>
                <w:szCs w:val="24"/>
              </w:rPr>
              <w:t>产学研合作，</w:t>
            </w:r>
            <w:r>
              <w:rPr>
                <w:rFonts w:hint="eastAsia" w:ascii="Times New Roman" w:hAnsi="Times New Roman" w:eastAsia="宋体" w:cs="Times New Roman"/>
                <w:sz w:val="24"/>
                <w:szCs w:val="24"/>
              </w:rPr>
              <w:t>搭建</w:t>
            </w:r>
            <w:r>
              <w:rPr>
                <w:rFonts w:ascii="Times New Roman" w:hAnsi="Times New Roman" w:eastAsia="宋体" w:cs="Times New Roman"/>
                <w:sz w:val="24"/>
                <w:szCs w:val="24"/>
              </w:rPr>
              <w:t>完善技术创新体系，为</w:t>
            </w:r>
            <w:r>
              <w:rPr>
                <w:rFonts w:hint="eastAsia" w:ascii="Times New Roman" w:hAnsi="Times New Roman" w:eastAsia="宋体" w:cs="Times New Roman"/>
                <w:sz w:val="24"/>
                <w:szCs w:val="24"/>
              </w:rPr>
              <w:t>新</w:t>
            </w:r>
            <w:r>
              <w:rPr>
                <w:rFonts w:ascii="Times New Roman" w:hAnsi="Times New Roman" w:eastAsia="宋体" w:cs="Times New Roman"/>
                <w:sz w:val="24"/>
                <w:szCs w:val="24"/>
              </w:rPr>
              <w:t>品</w:t>
            </w:r>
            <w:r>
              <w:rPr>
                <w:rFonts w:hint="eastAsia" w:ascii="Times New Roman" w:hAnsi="Times New Roman" w:eastAsia="宋体" w:cs="Times New Roman"/>
                <w:sz w:val="24"/>
                <w:szCs w:val="24"/>
              </w:rPr>
              <w:t>开发、工艺优化</w:t>
            </w:r>
            <w:r>
              <w:rPr>
                <w:rFonts w:ascii="Times New Roman" w:hAnsi="Times New Roman" w:eastAsia="宋体" w:cs="Times New Roman"/>
                <w:sz w:val="24"/>
                <w:szCs w:val="24"/>
              </w:rPr>
              <w:t>提供坚实</w:t>
            </w:r>
            <w:r>
              <w:rPr>
                <w:rFonts w:hint="eastAsia" w:ascii="Times New Roman" w:hAnsi="Times New Roman" w:eastAsia="宋体" w:cs="Times New Roman"/>
                <w:sz w:val="24"/>
                <w:szCs w:val="24"/>
              </w:rPr>
              <w:t>支撑</w:t>
            </w:r>
            <w:r>
              <w:rPr>
                <w:rFonts w:ascii="Times New Roman" w:hAnsi="Times New Roman" w:eastAsia="宋体" w:cs="Times New Roman"/>
                <w:sz w:val="24"/>
                <w:szCs w:val="24"/>
              </w:rPr>
              <w:t>。</w:t>
            </w:r>
          </w:p>
          <w:p w14:paraId="6D4D8750">
            <w:pPr>
              <w:widowControl/>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（二）市场客户运营</w:t>
            </w:r>
          </w:p>
          <w:p w14:paraId="7A1EA815">
            <w:pPr>
              <w:widowControl/>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凭借稳定的产品</w:t>
            </w:r>
            <w:r>
              <w:rPr>
                <w:rFonts w:hint="eastAsia" w:ascii="Times New Roman" w:hAnsi="Times New Roman" w:eastAsia="宋体" w:cs="Times New Roman"/>
                <w:sz w:val="24"/>
                <w:szCs w:val="24"/>
              </w:rPr>
              <w:t>品质与</w:t>
            </w:r>
            <w:r>
              <w:rPr>
                <w:rFonts w:ascii="Times New Roman" w:hAnsi="Times New Roman" w:eastAsia="宋体" w:cs="Times New Roman"/>
                <w:sz w:val="24"/>
                <w:szCs w:val="24"/>
              </w:rPr>
              <w:t>良好的行业口碑，</w:t>
            </w:r>
            <w:r>
              <w:rPr>
                <w:rFonts w:hint="eastAsia" w:ascii="Times New Roman" w:hAnsi="Times New Roman" w:eastAsia="宋体" w:cs="Times New Roman"/>
                <w:sz w:val="24"/>
                <w:szCs w:val="24"/>
              </w:rPr>
              <w:t>公司</w:t>
            </w:r>
            <w:r>
              <w:rPr>
                <w:rFonts w:ascii="Times New Roman" w:hAnsi="Times New Roman" w:eastAsia="宋体" w:cs="Times New Roman"/>
                <w:sz w:val="24"/>
                <w:szCs w:val="24"/>
              </w:rPr>
              <w:t>与</w:t>
            </w:r>
            <w:r>
              <w:rPr>
                <w:rFonts w:hint="eastAsia" w:ascii="Times New Roman" w:hAnsi="Times New Roman" w:eastAsia="宋体" w:cs="Times New Roman"/>
                <w:sz w:val="24"/>
                <w:szCs w:val="24"/>
              </w:rPr>
              <w:t>各</w:t>
            </w:r>
            <w:r>
              <w:rPr>
                <w:rFonts w:ascii="Times New Roman" w:hAnsi="Times New Roman" w:eastAsia="宋体" w:cs="Times New Roman"/>
                <w:sz w:val="24"/>
                <w:szCs w:val="24"/>
              </w:rPr>
              <w:t>下游领域</w:t>
            </w:r>
            <w:r>
              <w:rPr>
                <w:rFonts w:hint="eastAsia" w:ascii="Times New Roman" w:hAnsi="Times New Roman" w:eastAsia="宋体" w:cs="Times New Roman"/>
                <w:sz w:val="24"/>
                <w:szCs w:val="24"/>
              </w:rPr>
              <w:t>头部</w:t>
            </w:r>
            <w:r>
              <w:rPr>
                <w:rFonts w:ascii="Times New Roman" w:hAnsi="Times New Roman" w:eastAsia="宋体" w:cs="Times New Roman"/>
                <w:sz w:val="24"/>
                <w:szCs w:val="24"/>
              </w:rPr>
              <w:t>企业建立长期</w:t>
            </w:r>
            <w:r>
              <w:rPr>
                <w:rFonts w:hint="eastAsia" w:ascii="Times New Roman" w:hAnsi="Times New Roman" w:eastAsia="宋体" w:cs="Times New Roman"/>
                <w:sz w:val="24"/>
                <w:szCs w:val="24"/>
              </w:rPr>
              <w:t>深度</w:t>
            </w:r>
            <w:r>
              <w:rPr>
                <w:rFonts w:ascii="Times New Roman" w:hAnsi="Times New Roman" w:eastAsia="宋体" w:cs="Times New Roman"/>
                <w:sz w:val="24"/>
                <w:szCs w:val="24"/>
              </w:rPr>
              <w:t>合作。同时，搭</w:t>
            </w:r>
            <w:r>
              <w:rPr>
                <w:rFonts w:hint="eastAsia" w:ascii="Times New Roman" w:hAnsi="Times New Roman" w:eastAsia="宋体" w:cs="Times New Roman"/>
                <w:sz w:val="24"/>
                <w:szCs w:val="24"/>
              </w:rPr>
              <w:t>建</w:t>
            </w:r>
            <w:r>
              <w:rPr>
                <w:rFonts w:ascii="Times New Roman" w:hAnsi="Times New Roman" w:eastAsia="宋体" w:cs="Times New Roman"/>
                <w:sz w:val="24"/>
                <w:szCs w:val="24"/>
              </w:rPr>
              <w:t>完善的客户关系管理体系，</w:t>
            </w:r>
            <w:r>
              <w:rPr>
                <w:rFonts w:hint="eastAsia" w:ascii="Times New Roman" w:hAnsi="Times New Roman" w:eastAsia="宋体" w:cs="Times New Roman"/>
                <w:sz w:val="24"/>
                <w:szCs w:val="24"/>
              </w:rPr>
              <w:t>常态化开展</w:t>
            </w:r>
            <w:r>
              <w:rPr>
                <w:rFonts w:ascii="Times New Roman" w:hAnsi="Times New Roman" w:eastAsia="宋体" w:cs="Times New Roman"/>
                <w:sz w:val="24"/>
                <w:szCs w:val="24"/>
              </w:rPr>
              <w:t>客户满意度</w:t>
            </w:r>
            <w:r>
              <w:rPr>
                <w:rFonts w:hint="eastAsia" w:ascii="Times New Roman" w:hAnsi="Times New Roman" w:eastAsia="宋体" w:cs="Times New Roman"/>
                <w:sz w:val="24"/>
                <w:szCs w:val="24"/>
              </w:rPr>
              <w:t>调研</w:t>
            </w:r>
            <w:r>
              <w:rPr>
                <w:rFonts w:ascii="Times New Roman" w:hAnsi="Times New Roman" w:eastAsia="宋体" w:cs="Times New Roman"/>
                <w:sz w:val="24"/>
                <w:szCs w:val="24"/>
              </w:rPr>
              <w:t>、组建快速响应技术服务团队，</w:t>
            </w:r>
            <w:r>
              <w:rPr>
                <w:rFonts w:hint="eastAsia" w:ascii="Times New Roman" w:hAnsi="Times New Roman" w:eastAsia="宋体" w:cs="Times New Roman"/>
                <w:sz w:val="24"/>
                <w:szCs w:val="24"/>
              </w:rPr>
              <w:t>持续</w:t>
            </w:r>
            <w:r>
              <w:rPr>
                <w:rFonts w:ascii="Times New Roman" w:hAnsi="Times New Roman" w:eastAsia="宋体" w:cs="Times New Roman"/>
                <w:sz w:val="24"/>
                <w:szCs w:val="24"/>
              </w:rPr>
              <w:t>深化与核心客户战略合作，形成结构均衡、</w:t>
            </w:r>
            <w:r>
              <w:rPr>
                <w:rFonts w:hint="eastAsia" w:ascii="Times New Roman" w:hAnsi="Times New Roman" w:eastAsia="宋体" w:cs="Times New Roman"/>
                <w:sz w:val="24"/>
                <w:szCs w:val="24"/>
              </w:rPr>
              <w:t>高</w:t>
            </w:r>
            <w:r>
              <w:rPr>
                <w:rFonts w:ascii="Times New Roman" w:hAnsi="Times New Roman" w:eastAsia="宋体" w:cs="Times New Roman"/>
                <w:sz w:val="24"/>
                <w:szCs w:val="24"/>
              </w:rPr>
              <w:t>粘性的客户资源网络，</w:t>
            </w:r>
            <w:r>
              <w:rPr>
                <w:rFonts w:hint="eastAsia" w:ascii="Times New Roman" w:hAnsi="Times New Roman" w:eastAsia="宋体" w:cs="Times New Roman"/>
                <w:sz w:val="24"/>
                <w:szCs w:val="24"/>
              </w:rPr>
              <w:t>行业</w:t>
            </w:r>
            <w:r>
              <w:rPr>
                <w:rFonts w:ascii="Times New Roman" w:hAnsi="Times New Roman" w:eastAsia="宋体" w:cs="Times New Roman"/>
                <w:sz w:val="24"/>
                <w:szCs w:val="24"/>
              </w:rPr>
              <w:t>影响力</w:t>
            </w:r>
            <w:r>
              <w:rPr>
                <w:rFonts w:hint="eastAsia" w:ascii="Times New Roman" w:hAnsi="Times New Roman" w:eastAsia="宋体" w:cs="Times New Roman"/>
                <w:sz w:val="24"/>
                <w:szCs w:val="24"/>
              </w:rPr>
              <w:t>持续增强</w:t>
            </w:r>
            <w:r>
              <w:rPr>
                <w:rFonts w:ascii="Times New Roman" w:hAnsi="Times New Roman" w:eastAsia="宋体" w:cs="Times New Roman"/>
                <w:sz w:val="24"/>
                <w:szCs w:val="24"/>
              </w:rPr>
              <w:t>。</w:t>
            </w:r>
          </w:p>
          <w:p w14:paraId="6694181F">
            <w:pPr>
              <w:widowControl/>
              <w:spacing w:line="360" w:lineRule="auto"/>
              <w:rPr>
                <w:rFonts w:hint="eastAsia" w:ascii="宋体" w:hAnsi="宋体" w:eastAsia="宋体" w:cs="Times New Roman"/>
                <w:sz w:val="24"/>
                <w:szCs w:val="24"/>
              </w:rPr>
            </w:pPr>
            <w:r>
              <w:rPr>
                <w:rFonts w:hint="eastAsia" w:ascii="Times New Roman" w:hAnsi="Times New Roman" w:eastAsia="宋体" w:cs="Times New Roman"/>
                <w:sz w:val="24"/>
                <w:szCs w:val="24"/>
              </w:rPr>
              <w:t>（三）产能建设规划</w:t>
            </w:r>
          </w:p>
          <w:p w14:paraId="1A3E67B0">
            <w:pPr>
              <w:widowControl/>
              <w:spacing w:line="360" w:lineRule="auto"/>
              <w:ind w:firstLine="480" w:firstLineChars="200"/>
              <w:rPr>
                <w:rFonts w:ascii="Times New Roman" w:hAnsi="Times New Roman" w:eastAsia="宋体" w:cs="Times New Roman"/>
                <w:sz w:val="24"/>
                <w:szCs w:val="24"/>
              </w:rPr>
            </w:pPr>
            <w:bookmarkStart w:id="2" w:name="OLE_LINK2"/>
            <w:r>
              <w:rPr>
                <w:rFonts w:hint="eastAsia" w:ascii="宋体" w:hAnsi="宋体" w:eastAsia="宋体" w:cs="Times New Roman"/>
                <w:sz w:val="24"/>
                <w:szCs w:val="24"/>
              </w:rPr>
              <w:t>目前</w:t>
            </w:r>
            <w:r>
              <w:rPr>
                <w:rFonts w:ascii="宋体" w:hAnsi="宋体" w:eastAsia="宋体" w:cs="Times New Roman"/>
                <w:sz w:val="24"/>
                <w:szCs w:val="24"/>
              </w:rPr>
              <w:t>，公司</w:t>
            </w:r>
            <w:r>
              <w:rPr>
                <w:rFonts w:hint="eastAsia" w:ascii="宋体" w:hAnsi="宋体" w:eastAsia="宋体" w:cs="Times New Roman"/>
                <w:sz w:val="24"/>
                <w:szCs w:val="24"/>
              </w:rPr>
              <w:t>正</w:t>
            </w:r>
            <w:r>
              <w:rPr>
                <w:rFonts w:ascii="宋体" w:hAnsi="宋体" w:eastAsia="宋体" w:cs="Times New Roman"/>
                <w:sz w:val="24"/>
                <w:szCs w:val="24"/>
              </w:rPr>
              <w:t>全力推进“年</w:t>
            </w:r>
            <w:r>
              <w:rPr>
                <w:rFonts w:ascii="Times New Roman" w:hAnsi="Times New Roman" w:eastAsia="宋体" w:cs="Times New Roman"/>
                <w:sz w:val="24"/>
                <w:szCs w:val="24"/>
              </w:rPr>
              <w:t>产8,860吨功能性催化新材料项</w:t>
            </w:r>
            <w:r>
              <w:rPr>
                <w:rFonts w:ascii="宋体" w:hAnsi="宋体" w:eastAsia="宋体" w:cs="Times New Roman"/>
                <w:sz w:val="24"/>
                <w:szCs w:val="24"/>
              </w:rPr>
              <w:t>目”的</w:t>
            </w:r>
            <w:r>
              <w:rPr>
                <w:rFonts w:ascii="Times New Roman" w:hAnsi="Times New Roman" w:eastAsia="宋体" w:cs="Times New Roman"/>
                <w:sz w:val="24"/>
                <w:szCs w:val="24"/>
              </w:rPr>
              <w:t>建设，匹配</w:t>
            </w:r>
            <w:r>
              <w:rPr>
                <w:rFonts w:hint="eastAsia" w:ascii="Times New Roman" w:hAnsi="Times New Roman" w:eastAsia="宋体" w:cs="Times New Roman"/>
                <w:sz w:val="24"/>
                <w:szCs w:val="24"/>
              </w:rPr>
              <w:t>下游</w:t>
            </w:r>
            <w:r>
              <w:rPr>
                <w:rFonts w:ascii="Times New Roman" w:hAnsi="Times New Roman" w:eastAsia="宋体" w:cs="Times New Roman"/>
                <w:sz w:val="24"/>
                <w:szCs w:val="24"/>
              </w:rPr>
              <w:t>不断增长的市场需求，</w:t>
            </w:r>
            <w:r>
              <w:rPr>
                <w:rFonts w:hint="eastAsia" w:ascii="Times New Roman" w:hAnsi="Times New Roman" w:eastAsia="宋体" w:cs="Times New Roman"/>
                <w:sz w:val="24"/>
                <w:szCs w:val="24"/>
              </w:rPr>
              <w:t>实现</w:t>
            </w:r>
            <w:r>
              <w:rPr>
                <w:rFonts w:ascii="Times New Roman" w:hAnsi="Times New Roman" w:eastAsia="宋体" w:cs="Times New Roman"/>
                <w:sz w:val="24"/>
                <w:szCs w:val="24"/>
              </w:rPr>
              <w:t>产能</w:t>
            </w:r>
            <w:r>
              <w:rPr>
                <w:rFonts w:hint="eastAsia" w:ascii="Times New Roman" w:hAnsi="Times New Roman" w:eastAsia="宋体" w:cs="Times New Roman"/>
                <w:sz w:val="24"/>
                <w:szCs w:val="24"/>
              </w:rPr>
              <w:t>扩容与</w:t>
            </w:r>
            <w:r>
              <w:rPr>
                <w:rFonts w:ascii="Times New Roman" w:hAnsi="Times New Roman" w:eastAsia="宋体" w:cs="Times New Roman"/>
                <w:sz w:val="24"/>
                <w:szCs w:val="24"/>
              </w:rPr>
              <w:t>产品结构</w:t>
            </w:r>
            <w:r>
              <w:rPr>
                <w:rFonts w:hint="eastAsia" w:ascii="Times New Roman" w:hAnsi="Times New Roman" w:eastAsia="宋体" w:cs="Times New Roman"/>
                <w:sz w:val="24"/>
                <w:szCs w:val="24"/>
              </w:rPr>
              <w:t>优化同步落地</w:t>
            </w:r>
            <w:r>
              <w:rPr>
                <w:rFonts w:ascii="Times New Roman" w:hAnsi="Times New Roman" w:eastAsia="宋体" w:cs="Times New Roman"/>
                <w:sz w:val="24"/>
                <w:szCs w:val="24"/>
              </w:rPr>
              <w:t>。</w:t>
            </w:r>
          </w:p>
          <w:p w14:paraId="5AB027A7">
            <w:pPr>
              <w:widowControl/>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（四）中长期发展规划</w:t>
            </w:r>
          </w:p>
          <w:p w14:paraId="39101699">
            <w:pPr>
              <w:widowControl/>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未来，公司</w:t>
            </w:r>
            <w:r>
              <w:rPr>
                <w:rFonts w:ascii="宋体" w:hAnsi="宋体" w:eastAsia="宋体" w:cs="Times New Roman"/>
                <w:sz w:val="24"/>
                <w:szCs w:val="24"/>
              </w:rPr>
              <w:t>将</w:t>
            </w:r>
            <w:r>
              <w:rPr>
                <w:rFonts w:hint="eastAsia" w:ascii="宋体" w:hAnsi="宋体" w:eastAsia="宋体" w:cs="Times New Roman"/>
                <w:sz w:val="24"/>
                <w:szCs w:val="24"/>
              </w:rPr>
              <w:t>始终坚守</w:t>
            </w:r>
            <w:r>
              <w:rPr>
                <w:rFonts w:ascii="宋体" w:hAnsi="宋体" w:eastAsia="宋体" w:cs="Times New Roman"/>
                <w:sz w:val="24"/>
                <w:szCs w:val="24"/>
              </w:rPr>
              <w:t>“客户至上，精益求精”的发</w:t>
            </w:r>
            <w:r>
              <w:rPr>
                <w:rFonts w:ascii="Times New Roman" w:hAnsi="Times New Roman" w:eastAsia="宋体" w:cs="Times New Roman"/>
                <w:sz w:val="24"/>
                <w:szCs w:val="24"/>
              </w:rPr>
              <w:t>展理念，</w:t>
            </w:r>
            <w:r>
              <w:rPr>
                <w:rFonts w:hint="eastAsia" w:ascii="Times New Roman" w:hAnsi="Times New Roman" w:eastAsia="宋体" w:cs="Times New Roman"/>
                <w:sz w:val="24"/>
                <w:szCs w:val="24"/>
              </w:rPr>
              <w:t>稳固</w:t>
            </w:r>
            <w:r>
              <w:rPr>
                <w:rFonts w:ascii="Times New Roman" w:hAnsi="Times New Roman" w:eastAsia="宋体" w:cs="Times New Roman"/>
                <w:sz w:val="24"/>
                <w:szCs w:val="24"/>
              </w:rPr>
              <w:t>现有</w:t>
            </w:r>
            <w:r>
              <w:rPr>
                <w:rFonts w:hint="eastAsia" w:ascii="Times New Roman" w:hAnsi="Times New Roman" w:eastAsia="宋体" w:cs="Times New Roman"/>
                <w:sz w:val="24"/>
                <w:szCs w:val="24"/>
              </w:rPr>
              <w:t>赛道</w:t>
            </w:r>
            <w:r>
              <w:rPr>
                <w:rFonts w:ascii="Times New Roman" w:hAnsi="Times New Roman" w:eastAsia="宋体" w:cs="Times New Roman"/>
                <w:sz w:val="24"/>
                <w:szCs w:val="24"/>
              </w:rPr>
              <w:t>市场份额，加速新兴领域</w:t>
            </w:r>
            <w:r>
              <w:rPr>
                <w:rFonts w:hint="eastAsia" w:ascii="Times New Roman" w:hAnsi="Times New Roman" w:eastAsia="宋体" w:cs="Times New Roman"/>
                <w:sz w:val="24"/>
                <w:szCs w:val="24"/>
              </w:rPr>
              <w:t>产品</w:t>
            </w:r>
            <w:r>
              <w:rPr>
                <w:rFonts w:ascii="Times New Roman" w:hAnsi="Times New Roman" w:eastAsia="宋体" w:cs="Times New Roman"/>
                <w:sz w:val="24"/>
                <w:szCs w:val="24"/>
              </w:rPr>
              <w:t>商业化落地，</w:t>
            </w:r>
            <w:r>
              <w:rPr>
                <w:rFonts w:hint="eastAsia" w:ascii="Times New Roman" w:hAnsi="Times New Roman" w:eastAsia="宋体" w:cs="Times New Roman"/>
                <w:sz w:val="24"/>
                <w:szCs w:val="24"/>
              </w:rPr>
              <w:t>筑牢企业</w:t>
            </w:r>
            <w:r>
              <w:rPr>
                <w:rFonts w:ascii="Times New Roman" w:hAnsi="Times New Roman" w:eastAsia="宋体" w:cs="Times New Roman"/>
                <w:sz w:val="24"/>
                <w:szCs w:val="24"/>
              </w:rPr>
              <w:t>长期可持续发展根基。</w:t>
            </w:r>
          </w:p>
          <w:bookmarkEnd w:id="2"/>
          <w:p w14:paraId="68A6B607">
            <w:pPr>
              <w:widowControl/>
              <w:spacing w:line="360" w:lineRule="auto"/>
              <w:ind w:firstLine="480" w:firstLineChars="200"/>
              <w:rPr>
                <w:rFonts w:ascii="Times New Roman" w:hAnsi="Times New Roman" w:eastAsia="宋体" w:cs="Times New Roman"/>
                <w:sz w:val="24"/>
                <w:szCs w:val="24"/>
              </w:rPr>
            </w:pPr>
          </w:p>
          <w:p w14:paraId="391AE5CC">
            <w:pPr>
              <w:widowControl/>
              <w:spacing w:line="36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二、问答交流环节</w:t>
            </w:r>
          </w:p>
          <w:p w14:paraId="39702BF7">
            <w:pPr>
              <w:widowControl/>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 提问：公司目前的主营业务和产品结构是怎样的？</w:t>
            </w:r>
          </w:p>
          <w:p w14:paraId="741D91E8">
            <w:pPr>
              <w:widowControl/>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答：公司专注于季铵（鏻）化合物产品的研发、生产与销售，已形成以季铵盐、季铵碱、季鏻盐、冠醚为核心的四大产品体系。产品主要服务于精细化工、分子筛、高分子材料、电池电解液、油田化学品及电子化学品等下游应用领域，为各行业客户提供高品质的产品与配套技术服务。</w:t>
            </w:r>
          </w:p>
          <w:p w14:paraId="326D612A">
            <w:pPr>
              <w:widowControl/>
              <w:spacing w:line="360" w:lineRule="auto"/>
              <w:rPr>
                <w:rFonts w:hint="eastAsia" w:ascii="Times New Roman" w:hAnsi="Times New Roman" w:eastAsia="宋体" w:cs="Times New Roman"/>
                <w:sz w:val="24"/>
                <w:szCs w:val="24"/>
              </w:rPr>
            </w:pPr>
          </w:p>
          <w:p w14:paraId="371222C9">
            <w:pPr>
              <w:widowControl/>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2. 提问：公司当前主要产品的市场供需格局及产能利用情况如何？</w:t>
            </w:r>
          </w:p>
          <w:p w14:paraId="4B193E95">
            <w:pPr>
              <w:widowControl/>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答：公司主营产品以各类相转移催化剂为核心，下游市场需求整体保持稳健增长。随着医药、农药、精细化工、分子筛及电子化学品等终端应用领域的持续拓展，产品需求保持良性增长。公司现有产能利用率处于较高水平，能够有效承接市场订单，确保产品的稳定供应与交付。</w:t>
            </w:r>
          </w:p>
          <w:p w14:paraId="2C85AB60">
            <w:pPr>
              <w:widowControl/>
              <w:spacing w:line="360" w:lineRule="auto"/>
              <w:rPr>
                <w:rFonts w:hint="eastAsia" w:ascii="Times New Roman" w:hAnsi="Times New Roman" w:eastAsia="宋体" w:cs="Times New Roman"/>
                <w:sz w:val="24"/>
                <w:szCs w:val="24"/>
              </w:rPr>
            </w:pPr>
          </w:p>
          <w:p w14:paraId="212588E5">
            <w:pPr>
              <w:widowControl/>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3. 提问：请分析一下公司的核心竞争力和行业地位？</w:t>
            </w:r>
          </w:p>
          <w:p w14:paraId="31DB39AC">
            <w:pPr>
              <w:widowControl/>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答：公司自设立以来，始终专注于从事季铵（鏻）化合物等产品研发、生产和销售，坚持加强自身研发队伍建设，通过持续的技术创新，不断优化生产工艺、提升产品质量、丰富产品结构。目前，公司已形成季铵盐、季铵碱、季鏻盐、冠醚四大系列产品，产品质量稳定，下游应用领域广泛。</w:t>
            </w:r>
          </w:p>
          <w:p w14:paraId="3F9C9C29">
            <w:pPr>
              <w:widowControl/>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资质荣誉方面，公司及子公司在2019和2021年先后获得江西省和浙江省省级专精特新中小企业认定，公司于2022年入选工业和信息化部第四批国家级专精特新“小巨人”企业，充分印证了在细分领域的龙头地位和核心竞争力。</w:t>
            </w:r>
          </w:p>
          <w:p w14:paraId="295DD747">
            <w:pPr>
              <w:widowControl/>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技术与人才储备方面，截至2025年12月31日，公司拥有研发人员68人；拥有有效国内发明专利55件、实用新型专利158件、国际发明专利3件，全面掌握季铵盐合成、季鏻盐合成、冠醚合成及离子膜有机电解等核心生产技术，构筑深厚技术壁垒。</w:t>
            </w:r>
          </w:p>
          <w:p w14:paraId="4FB19A33">
            <w:pPr>
              <w:widowControl/>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市场口碑方面，公司凭借稳定的产品品质与良好的行业信誉，与下游多个应用领域的知名企业建立了长期稳定的合作关系，客户粘性较强。</w:t>
            </w:r>
          </w:p>
          <w:p w14:paraId="684E368E">
            <w:pPr>
              <w:widowControl/>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综合而言，公司在多重竞争优势的叠加下，行业领先地位稳固，核心竞争力持续增强。</w:t>
            </w:r>
          </w:p>
          <w:p w14:paraId="369C7F25">
            <w:pPr>
              <w:widowControl/>
              <w:spacing w:line="360" w:lineRule="auto"/>
              <w:rPr>
                <w:rFonts w:hint="eastAsia" w:ascii="Times New Roman" w:hAnsi="Times New Roman" w:eastAsia="宋体" w:cs="Times New Roman"/>
                <w:sz w:val="24"/>
                <w:szCs w:val="24"/>
              </w:rPr>
            </w:pPr>
          </w:p>
          <w:p w14:paraId="7C750A34">
            <w:pPr>
              <w:widowControl/>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4. 提问：公司在产能扩张方面有哪些具体计划和推进安排？</w:t>
            </w:r>
          </w:p>
          <w:p w14:paraId="34D6BADD">
            <w:pPr>
              <w:widowControl/>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答：公司将根据下游市场需求变化及整体战略部署，重点推进两方面工作：一是对现有产线开展技术改造与提质增效，持续挖掘存量产能潜力；二是加快募投项目的建设与投产进度，进一步扩大产能规模、提升生产效率，以更加充分地满足客户多元化和定制化的采购需求。</w:t>
            </w:r>
          </w:p>
          <w:p w14:paraId="194549F4">
            <w:pPr>
              <w:widowControl/>
              <w:spacing w:line="360" w:lineRule="auto"/>
              <w:rPr>
                <w:rFonts w:hint="eastAsia" w:ascii="Times New Roman" w:hAnsi="Times New Roman" w:eastAsia="宋体" w:cs="Times New Roman"/>
                <w:sz w:val="24"/>
                <w:szCs w:val="24"/>
              </w:rPr>
            </w:pPr>
          </w:p>
          <w:p w14:paraId="2EC87AE5">
            <w:pPr>
              <w:widowControl/>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5. 提问：公司在研发投入及未来技术布局方面有哪些规划？</w:t>
            </w:r>
          </w:p>
          <w:p w14:paraId="27A7D8BF">
            <w:pPr>
              <w:widowControl/>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答：公司将持续加大研发投入力度，完善高端技术人才的引进与内部培养机制，并不断深化与国内高等院校的产学研协同合作。未来，公司的技术研发将重点聚焦于现有生产工艺的优化迭代、全新产品开发以及前沿技术市场转化落地。通过构建高效、完善的产学研合作协同研发体系与快速响应机制，以技术创新驱动企业高质量发展。</w:t>
            </w:r>
          </w:p>
          <w:p w14:paraId="4A76827F">
            <w:pPr>
              <w:widowControl/>
              <w:spacing w:line="360" w:lineRule="auto"/>
              <w:rPr>
                <w:rFonts w:hint="eastAsia" w:ascii="Times New Roman" w:hAnsi="Times New Roman" w:eastAsia="宋体" w:cs="Times New Roman"/>
                <w:sz w:val="24"/>
                <w:szCs w:val="24"/>
              </w:rPr>
            </w:pPr>
          </w:p>
          <w:p w14:paraId="74DE3404">
            <w:pPr>
              <w:widowControl/>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6. 提问：可否介绍一下公司中长期的发展规划？</w:t>
            </w:r>
          </w:p>
          <w:p w14:paraId="7CFBC856">
            <w:pPr>
              <w:widowControl/>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答：2026年，化工行业有望在多重利好因素驱动下保持温和增长态势。公司将立足相转移催化剂、分子筛模板剂、电解液添加剂、电子化学品、油田化学品等主要领域，深耕主业、拓展新兴市场，稳步推动业务规模与盈利能力的共同提升，夯实企业长期可持续发展的基础。</w:t>
            </w:r>
          </w:p>
          <w:p w14:paraId="06CF897D">
            <w:pPr>
              <w:widowControl/>
              <w:spacing w:line="360" w:lineRule="auto"/>
              <w:rPr>
                <w:rFonts w:ascii="Times New Roman" w:hAnsi="Times New Roman" w:eastAsia="宋体" w:cs="Times New Roman"/>
                <w:sz w:val="24"/>
                <w:szCs w:val="24"/>
              </w:rPr>
            </w:pPr>
          </w:p>
        </w:tc>
      </w:tr>
      <w:tr w14:paraId="1044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635C3425">
            <w:pPr>
              <w:widowControl/>
              <w:wordWrap w:val="0"/>
              <w:adjustRightInd w:val="0"/>
              <w:snapToGrid w:val="0"/>
              <w:spacing w:before="120" w:line="360" w:lineRule="auto"/>
              <w:jc w:val="center"/>
              <w:rPr>
                <w:rFonts w:hint="eastAsia" w:ascii="宋体" w:hAnsi="宋体" w:eastAsia="宋体" w:cs="USHEHF+ËÎÌå"/>
                <w:color w:val="000000"/>
                <w:sz w:val="24"/>
                <w:lang w:val="ru-RU"/>
              </w:rPr>
            </w:pPr>
            <w:r>
              <w:rPr>
                <w:rFonts w:ascii="Times New Roman" w:hAnsi="Times New Roman" w:eastAsia="宋体" w:cs="Times New Roman"/>
                <w:bCs/>
                <w:iCs/>
                <w:color w:val="000000"/>
                <w:sz w:val="24"/>
                <w:szCs w:val="24"/>
              </w:rPr>
              <w:t>关于本次活动是否涉及应当披露重大信息的说明</w:t>
            </w:r>
          </w:p>
        </w:tc>
        <w:tc>
          <w:tcPr>
            <w:tcW w:w="7655" w:type="dxa"/>
            <w:tcBorders>
              <w:top w:val="single" w:color="auto" w:sz="4" w:space="0"/>
              <w:left w:val="single" w:color="auto" w:sz="4" w:space="0"/>
              <w:bottom w:val="single" w:color="auto" w:sz="4" w:space="0"/>
              <w:right w:val="single" w:color="auto" w:sz="4" w:space="0"/>
            </w:tcBorders>
            <w:vAlign w:val="center"/>
          </w:tcPr>
          <w:p w14:paraId="63495B69">
            <w:pPr>
              <w:widowControl/>
              <w:wordWrap w:val="0"/>
              <w:adjustRightInd w:val="0"/>
              <w:snapToGrid w:val="0"/>
              <w:spacing w:before="120" w:after="240" w:line="360" w:lineRule="auto"/>
              <w:jc w:val="left"/>
              <w:rPr>
                <w:rFonts w:hint="eastAsia" w:ascii="宋体" w:hAnsi="宋体" w:eastAsia="宋体" w:cs="Times New Roman"/>
                <w:sz w:val="22"/>
                <w:lang w:val="ru-RU"/>
              </w:rPr>
            </w:pPr>
            <w:r>
              <w:rPr>
                <w:rFonts w:ascii="Times New Roman" w:hAnsi="Times New Roman" w:eastAsia="宋体" w:cs="Times New Roman"/>
                <w:bCs/>
                <w:iCs/>
                <w:color w:val="000000"/>
                <w:sz w:val="24"/>
                <w:szCs w:val="24"/>
              </w:rPr>
              <w:t>本次投资者调研活动全程严格遵守信息披露相关法律法规，不存在未披露重大内幕信息泄露</w:t>
            </w:r>
            <w:r>
              <w:rPr>
                <w:rFonts w:hint="eastAsia" w:ascii="Times New Roman" w:hAnsi="Times New Roman" w:eastAsia="宋体" w:cs="Times New Roman"/>
                <w:bCs/>
                <w:iCs/>
                <w:color w:val="000000"/>
                <w:sz w:val="24"/>
                <w:szCs w:val="24"/>
              </w:rPr>
              <w:t>等</w:t>
            </w:r>
            <w:r>
              <w:rPr>
                <w:rFonts w:ascii="Times New Roman" w:hAnsi="Times New Roman" w:eastAsia="宋体" w:cs="Times New Roman"/>
                <w:bCs/>
                <w:iCs/>
                <w:color w:val="000000"/>
                <w:sz w:val="24"/>
                <w:szCs w:val="24"/>
              </w:rPr>
              <w:t>情形。</w:t>
            </w:r>
          </w:p>
        </w:tc>
      </w:tr>
      <w:tr w14:paraId="5B03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0CF0A774">
            <w:pPr>
              <w:widowControl/>
              <w:wordWrap w:val="0"/>
              <w:adjustRightInd w:val="0"/>
              <w:snapToGrid w:val="0"/>
              <w:spacing w:before="120" w:line="360" w:lineRule="auto"/>
              <w:jc w:val="center"/>
              <w:rPr>
                <w:rFonts w:hint="eastAsia" w:ascii="宋体" w:hAnsi="宋体" w:eastAsia="宋体" w:cs="Times New Roman"/>
                <w:sz w:val="22"/>
                <w:lang w:val="ru-RU"/>
              </w:rPr>
            </w:pPr>
            <w:r>
              <w:rPr>
                <w:rFonts w:hint="eastAsia" w:ascii="宋体" w:hAnsi="宋体" w:eastAsia="宋体" w:cs="USHEHF+ËÎÌå"/>
                <w:color w:val="000000"/>
                <w:sz w:val="24"/>
                <w:lang w:val="ru-RU"/>
              </w:rPr>
              <w:t>附件清单（如有）</w:t>
            </w:r>
          </w:p>
        </w:tc>
        <w:tc>
          <w:tcPr>
            <w:tcW w:w="7655" w:type="dxa"/>
            <w:tcBorders>
              <w:top w:val="single" w:color="auto" w:sz="4" w:space="0"/>
              <w:left w:val="single" w:color="auto" w:sz="4" w:space="0"/>
              <w:bottom w:val="single" w:color="auto" w:sz="4" w:space="0"/>
              <w:right w:val="single" w:color="auto" w:sz="4" w:space="0"/>
            </w:tcBorders>
            <w:vAlign w:val="center"/>
          </w:tcPr>
          <w:p w14:paraId="0754CB2F">
            <w:pPr>
              <w:widowControl/>
              <w:wordWrap w:val="0"/>
              <w:adjustRightInd w:val="0"/>
              <w:snapToGrid w:val="0"/>
              <w:spacing w:before="120" w:after="240"/>
              <w:jc w:val="left"/>
              <w:rPr>
                <w:rFonts w:hint="eastAsia" w:ascii="宋体" w:hAnsi="宋体" w:eastAsia="宋体" w:cs="Times New Roman"/>
                <w:sz w:val="22"/>
                <w:lang w:val="ru-RU"/>
              </w:rPr>
            </w:pPr>
            <w:r>
              <w:rPr>
                <w:rFonts w:hint="eastAsia" w:ascii="宋体" w:hAnsi="宋体" w:eastAsia="宋体" w:cs="Times New Roman"/>
                <w:sz w:val="22"/>
                <w:lang w:val="ru-RU"/>
              </w:rPr>
              <w:t>无</w:t>
            </w:r>
          </w:p>
        </w:tc>
      </w:tr>
      <w:tr w14:paraId="0F5B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323EC183">
            <w:pPr>
              <w:widowControl/>
              <w:wordWrap w:val="0"/>
              <w:adjustRightInd w:val="0"/>
              <w:snapToGrid w:val="0"/>
              <w:spacing w:before="120" w:line="360" w:lineRule="auto"/>
              <w:jc w:val="center"/>
              <w:rPr>
                <w:rFonts w:hint="eastAsia" w:ascii="宋体" w:hAnsi="宋体" w:eastAsia="宋体" w:cs="Times New Roman"/>
                <w:sz w:val="22"/>
                <w:lang w:val="ru-RU"/>
              </w:rPr>
            </w:pPr>
            <w:r>
              <w:rPr>
                <w:rFonts w:hint="eastAsia" w:ascii="宋体" w:hAnsi="宋体" w:eastAsia="宋体" w:cs="USHEHF+ËÎÌå"/>
                <w:color w:val="000000"/>
                <w:sz w:val="24"/>
                <w:lang w:val="ru-RU"/>
              </w:rPr>
              <w:t>日期</w:t>
            </w:r>
          </w:p>
        </w:tc>
        <w:tc>
          <w:tcPr>
            <w:tcW w:w="7655" w:type="dxa"/>
            <w:tcBorders>
              <w:top w:val="single" w:color="auto" w:sz="4" w:space="0"/>
              <w:left w:val="single" w:color="auto" w:sz="4" w:space="0"/>
              <w:bottom w:val="single" w:color="auto" w:sz="4" w:space="0"/>
              <w:right w:val="single" w:color="auto" w:sz="4" w:space="0"/>
            </w:tcBorders>
            <w:vAlign w:val="center"/>
          </w:tcPr>
          <w:p w14:paraId="2C929B47">
            <w:pPr>
              <w:widowControl/>
              <w:wordWrap w:val="0"/>
              <w:adjustRightInd w:val="0"/>
              <w:snapToGrid w:val="0"/>
              <w:spacing w:before="120" w:after="240"/>
              <w:jc w:val="left"/>
              <w:rPr>
                <w:rFonts w:ascii="Times New Roman" w:hAnsi="Times New Roman" w:eastAsia="宋体" w:cs="Times New Roman"/>
                <w:sz w:val="24"/>
                <w:szCs w:val="24"/>
                <w:lang w:val="ru-RU"/>
              </w:rPr>
            </w:pPr>
            <w:r>
              <w:rPr>
                <w:rFonts w:hint="eastAsia" w:ascii="Times New Roman" w:hAnsi="Times New Roman" w:eastAsia="宋体" w:cs="Times New Roman"/>
                <w:sz w:val="24"/>
                <w:szCs w:val="24"/>
                <w:lang w:val="ru-RU"/>
              </w:rPr>
              <w:t>2026年07月24日</w:t>
            </w:r>
          </w:p>
        </w:tc>
      </w:tr>
    </w:tbl>
    <w:p w14:paraId="4DFD2916">
      <w:pPr>
        <w:rPr>
          <w:rFonts w:hint="eastAsia" w:ascii="宋体" w:hAnsi="宋体" w:eastAsia="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RDFSIJ+ºÚÌå">
    <w:altName w:val="Microsoft Sans Serif"/>
    <w:panose1 w:val="00000000000000000000"/>
    <w:charset w:val="00"/>
    <w:family w:val="auto"/>
    <w:pitch w:val="default"/>
    <w:sig w:usb0="00000000" w:usb1="00000000" w:usb2="01010101" w:usb3="01010101" w:csb0="01010101" w:csb1="01010101"/>
  </w:font>
  <w:font w:name="Microsoft Sans Serif">
    <w:panose1 w:val="020B0604020202020204"/>
    <w:charset w:val="00"/>
    <w:family w:val="auto"/>
    <w:pitch w:val="default"/>
    <w:sig w:usb0="E5002EFF" w:usb1="C000605B" w:usb2="00000029" w:usb3="00000000" w:csb0="200101FF" w:csb1="20280000"/>
  </w:font>
  <w:font w:name="USHEHF+ËÎÌå">
    <w:altName w:val="Microsoft Sans Serif"/>
    <w:panose1 w:val="00000000000000000000"/>
    <w:charset w:val="00"/>
    <w:family w:val="auto"/>
    <w:pitch w:val="default"/>
    <w:sig w:usb0="00000000" w:usb1="00000000" w:usb2="01010101" w:usb3="01010101" w:csb0="01010101" w:csb1="01010101"/>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5651294"/>
      <w:docPartObj>
        <w:docPartGallery w:val="autotext"/>
      </w:docPartObj>
    </w:sdtPr>
    <w:sdtEndPr>
      <w:rPr>
        <w:rFonts w:ascii="Times New Roman" w:hAnsi="Times New Roman" w:cs="Times New Roman"/>
      </w:rPr>
    </w:sdtEndPr>
    <w:sdtContent>
      <w:p w14:paraId="7E7AC8E9">
        <w:pPr>
          <w:pStyle w:val="5"/>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0MTdjODcwZGU1NzQyYzNhNDhiNzk0NWIyMjQ4MDQifQ=="/>
  </w:docVars>
  <w:rsids>
    <w:rsidRoot w:val="008D4693"/>
    <w:rsid w:val="00004123"/>
    <w:rsid w:val="0000779B"/>
    <w:rsid w:val="00030341"/>
    <w:rsid w:val="000309F9"/>
    <w:rsid w:val="00037129"/>
    <w:rsid w:val="00041B5C"/>
    <w:rsid w:val="000618A5"/>
    <w:rsid w:val="00072B02"/>
    <w:rsid w:val="0007641A"/>
    <w:rsid w:val="000874DF"/>
    <w:rsid w:val="000E099B"/>
    <w:rsid w:val="000F2A6D"/>
    <w:rsid w:val="00100534"/>
    <w:rsid w:val="00102411"/>
    <w:rsid w:val="001065FD"/>
    <w:rsid w:val="001077EE"/>
    <w:rsid w:val="00114CA3"/>
    <w:rsid w:val="00141B08"/>
    <w:rsid w:val="00174A48"/>
    <w:rsid w:val="001808D8"/>
    <w:rsid w:val="001811BB"/>
    <w:rsid w:val="00184F74"/>
    <w:rsid w:val="00186632"/>
    <w:rsid w:val="001B1D83"/>
    <w:rsid w:val="001B3B04"/>
    <w:rsid w:val="001C019D"/>
    <w:rsid w:val="001D456E"/>
    <w:rsid w:val="001E103A"/>
    <w:rsid w:val="00207057"/>
    <w:rsid w:val="00207F98"/>
    <w:rsid w:val="00211364"/>
    <w:rsid w:val="002136EE"/>
    <w:rsid w:val="002171E1"/>
    <w:rsid w:val="00222C62"/>
    <w:rsid w:val="00224325"/>
    <w:rsid w:val="002247F1"/>
    <w:rsid w:val="00244E0A"/>
    <w:rsid w:val="00246255"/>
    <w:rsid w:val="00257164"/>
    <w:rsid w:val="00275B52"/>
    <w:rsid w:val="00276807"/>
    <w:rsid w:val="002963B7"/>
    <w:rsid w:val="002D7C7D"/>
    <w:rsid w:val="002F0A0A"/>
    <w:rsid w:val="002F1F4F"/>
    <w:rsid w:val="00304635"/>
    <w:rsid w:val="003048CA"/>
    <w:rsid w:val="0031393E"/>
    <w:rsid w:val="00316044"/>
    <w:rsid w:val="0032062B"/>
    <w:rsid w:val="00324724"/>
    <w:rsid w:val="003416AE"/>
    <w:rsid w:val="00347BDA"/>
    <w:rsid w:val="00357A65"/>
    <w:rsid w:val="003628AB"/>
    <w:rsid w:val="00364046"/>
    <w:rsid w:val="003665B2"/>
    <w:rsid w:val="00367582"/>
    <w:rsid w:val="003802CC"/>
    <w:rsid w:val="003A0860"/>
    <w:rsid w:val="003A5D33"/>
    <w:rsid w:val="003B111C"/>
    <w:rsid w:val="003B26AA"/>
    <w:rsid w:val="003B6F82"/>
    <w:rsid w:val="003C6FB4"/>
    <w:rsid w:val="003E5945"/>
    <w:rsid w:val="003F433C"/>
    <w:rsid w:val="003F5CE7"/>
    <w:rsid w:val="004055B3"/>
    <w:rsid w:val="00410EE2"/>
    <w:rsid w:val="004113A7"/>
    <w:rsid w:val="0041536A"/>
    <w:rsid w:val="00417833"/>
    <w:rsid w:val="00432B2C"/>
    <w:rsid w:val="00450001"/>
    <w:rsid w:val="0046685B"/>
    <w:rsid w:val="004956B7"/>
    <w:rsid w:val="004960F1"/>
    <w:rsid w:val="004A77B4"/>
    <w:rsid w:val="004A7DB1"/>
    <w:rsid w:val="004B31B5"/>
    <w:rsid w:val="004B6228"/>
    <w:rsid w:val="004C3B14"/>
    <w:rsid w:val="004C772F"/>
    <w:rsid w:val="004C7DC2"/>
    <w:rsid w:val="004F36D5"/>
    <w:rsid w:val="00515F44"/>
    <w:rsid w:val="0052744E"/>
    <w:rsid w:val="00537186"/>
    <w:rsid w:val="00553AC9"/>
    <w:rsid w:val="00562C53"/>
    <w:rsid w:val="005753B1"/>
    <w:rsid w:val="00581694"/>
    <w:rsid w:val="00582448"/>
    <w:rsid w:val="005927F6"/>
    <w:rsid w:val="00593543"/>
    <w:rsid w:val="005964F7"/>
    <w:rsid w:val="005974F6"/>
    <w:rsid w:val="005A5603"/>
    <w:rsid w:val="005A5CE6"/>
    <w:rsid w:val="005B65EF"/>
    <w:rsid w:val="005C7E38"/>
    <w:rsid w:val="005D2CDB"/>
    <w:rsid w:val="00612466"/>
    <w:rsid w:val="00634EE0"/>
    <w:rsid w:val="00641E8D"/>
    <w:rsid w:val="0065522C"/>
    <w:rsid w:val="006646C5"/>
    <w:rsid w:val="00673FAE"/>
    <w:rsid w:val="006A2EBA"/>
    <w:rsid w:val="006B2ADA"/>
    <w:rsid w:val="006B4E2A"/>
    <w:rsid w:val="006B5E13"/>
    <w:rsid w:val="006F24D1"/>
    <w:rsid w:val="00705AE4"/>
    <w:rsid w:val="0073214A"/>
    <w:rsid w:val="0076189F"/>
    <w:rsid w:val="00762524"/>
    <w:rsid w:val="007657E9"/>
    <w:rsid w:val="00767156"/>
    <w:rsid w:val="007772AD"/>
    <w:rsid w:val="007A1F2D"/>
    <w:rsid w:val="007A50D8"/>
    <w:rsid w:val="007C75FF"/>
    <w:rsid w:val="007D7901"/>
    <w:rsid w:val="007F3F25"/>
    <w:rsid w:val="007F63EA"/>
    <w:rsid w:val="0082731E"/>
    <w:rsid w:val="00832C04"/>
    <w:rsid w:val="008332C1"/>
    <w:rsid w:val="00833488"/>
    <w:rsid w:val="00834FC9"/>
    <w:rsid w:val="00854142"/>
    <w:rsid w:val="00873750"/>
    <w:rsid w:val="00885121"/>
    <w:rsid w:val="008A152B"/>
    <w:rsid w:val="008A2B69"/>
    <w:rsid w:val="008C63A8"/>
    <w:rsid w:val="008D4693"/>
    <w:rsid w:val="008D5B0B"/>
    <w:rsid w:val="008F7A80"/>
    <w:rsid w:val="009249D5"/>
    <w:rsid w:val="0093169F"/>
    <w:rsid w:val="009333D0"/>
    <w:rsid w:val="009450FD"/>
    <w:rsid w:val="00974494"/>
    <w:rsid w:val="009875C4"/>
    <w:rsid w:val="00994BFD"/>
    <w:rsid w:val="00996355"/>
    <w:rsid w:val="009B0958"/>
    <w:rsid w:val="009C11AE"/>
    <w:rsid w:val="009E5559"/>
    <w:rsid w:val="009E7CC3"/>
    <w:rsid w:val="00A20D31"/>
    <w:rsid w:val="00A32163"/>
    <w:rsid w:val="00A352F3"/>
    <w:rsid w:val="00A358B1"/>
    <w:rsid w:val="00A65DD5"/>
    <w:rsid w:val="00A81981"/>
    <w:rsid w:val="00A83A45"/>
    <w:rsid w:val="00AA702B"/>
    <w:rsid w:val="00AA70BF"/>
    <w:rsid w:val="00AC58BF"/>
    <w:rsid w:val="00AC75BE"/>
    <w:rsid w:val="00B02047"/>
    <w:rsid w:val="00B1719D"/>
    <w:rsid w:val="00B20D98"/>
    <w:rsid w:val="00B26201"/>
    <w:rsid w:val="00B44BEE"/>
    <w:rsid w:val="00B47502"/>
    <w:rsid w:val="00B6000E"/>
    <w:rsid w:val="00B67029"/>
    <w:rsid w:val="00B760AD"/>
    <w:rsid w:val="00BA259B"/>
    <w:rsid w:val="00C10A4A"/>
    <w:rsid w:val="00C14A09"/>
    <w:rsid w:val="00C2318A"/>
    <w:rsid w:val="00C3507B"/>
    <w:rsid w:val="00C436F9"/>
    <w:rsid w:val="00C51686"/>
    <w:rsid w:val="00C67EB3"/>
    <w:rsid w:val="00C85B4B"/>
    <w:rsid w:val="00C97898"/>
    <w:rsid w:val="00CA36D3"/>
    <w:rsid w:val="00CA5826"/>
    <w:rsid w:val="00CB6A4A"/>
    <w:rsid w:val="00CC4A87"/>
    <w:rsid w:val="00CF23EA"/>
    <w:rsid w:val="00CF67CF"/>
    <w:rsid w:val="00D00812"/>
    <w:rsid w:val="00D1138C"/>
    <w:rsid w:val="00D3414F"/>
    <w:rsid w:val="00D35A7E"/>
    <w:rsid w:val="00D42C5C"/>
    <w:rsid w:val="00D71363"/>
    <w:rsid w:val="00DB15D2"/>
    <w:rsid w:val="00DB1911"/>
    <w:rsid w:val="00DB299F"/>
    <w:rsid w:val="00DD56DE"/>
    <w:rsid w:val="00DF1A3B"/>
    <w:rsid w:val="00E14C26"/>
    <w:rsid w:val="00E2048E"/>
    <w:rsid w:val="00E352E6"/>
    <w:rsid w:val="00E43AE3"/>
    <w:rsid w:val="00E45FD5"/>
    <w:rsid w:val="00E57D5F"/>
    <w:rsid w:val="00E829C7"/>
    <w:rsid w:val="00E924AF"/>
    <w:rsid w:val="00EA230F"/>
    <w:rsid w:val="00ED1D76"/>
    <w:rsid w:val="00ED76CF"/>
    <w:rsid w:val="00EE3707"/>
    <w:rsid w:val="00EE7006"/>
    <w:rsid w:val="00F035AF"/>
    <w:rsid w:val="00F04EE8"/>
    <w:rsid w:val="00F11B12"/>
    <w:rsid w:val="00F34504"/>
    <w:rsid w:val="00F8245A"/>
    <w:rsid w:val="00F86299"/>
    <w:rsid w:val="00FA0AF2"/>
    <w:rsid w:val="00FB3D64"/>
    <w:rsid w:val="00FD3B09"/>
    <w:rsid w:val="00FE3514"/>
    <w:rsid w:val="00FE6BE9"/>
    <w:rsid w:val="00FF5571"/>
    <w:rsid w:val="00FF71D8"/>
    <w:rsid w:val="0E157728"/>
    <w:rsid w:val="27110EAB"/>
    <w:rsid w:val="2C7A5105"/>
    <w:rsid w:val="4A182415"/>
    <w:rsid w:val="4B6702F3"/>
    <w:rsid w:val="50122996"/>
    <w:rsid w:val="58A62645"/>
    <w:rsid w:val="5B7D7A78"/>
    <w:rsid w:val="689626B7"/>
    <w:rsid w:val="6BC91E1E"/>
    <w:rsid w:val="6D3451EC"/>
    <w:rsid w:val="74835EFA"/>
    <w:rsid w:val="77400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2"/>
    <w:unhideWhenUsed/>
    <w:qFormat/>
    <w:uiPriority w:val="99"/>
    <w:pPr>
      <w:jc w:val="left"/>
    </w:pPr>
  </w:style>
  <w:style w:type="paragraph" w:styleId="4">
    <w:name w:val="Balloon Text"/>
    <w:basedOn w:val="1"/>
    <w:link w:val="13"/>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批注文字 字符"/>
    <w:basedOn w:val="10"/>
    <w:link w:val="3"/>
    <w:qFormat/>
    <w:uiPriority w:val="99"/>
  </w:style>
  <w:style w:type="character" w:customStyle="1" w:styleId="13">
    <w:name w:val="批注框文本 字符"/>
    <w:basedOn w:val="10"/>
    <w:link w:val="4"/>
    <w:semiHidden/>
    <w:qFormat/>
    <w:uiPriority w:val="99"/>
    <w:rPr>
      <w:sz w:val="18"/>
      <w:szCs w:val="18"/>
    </w:rPr>
  </w:style>
  <w:style w:type="table" w:customStyle="1" w:styleId="14">
    <w:name w:val="网格型1"/>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批注主题 字符"/>
    <w:basedOn w:val="12"/>
    <w:link w:val="7"/>
    <w:semiHidden/>
    <w:qFormat/>
    <w:uiPriority w:val="99"/>
    <w:rPr>
      <w:b/>
      <w:bCs/>
    </w:rPr>
  </w:style>
  <w:style w:type="character" w:customStyle="1" w:styleId="16">
    <w:name w:val="页眉 字符"/>
    <w:basedOn w:val="10"/>
    <w:link w:val="6"/>
    <w:qFormat/>
    <w:uiPriority w:val="99"/>
    <w:rPr>
      <w:sz w:val="18"/>
      <w:szCs w:val="18"/>
    </w:rPr>
  </w:style>
  <w:style w:type="character" w:customStyle="1" w:styleId="17">
    <w:name w:val="页脚 字符"/>
    <w:basedOn w:val="10"/>
    <w:link w:val="5"/>
    <w:qFormat/>
    <w:uiPriority w:val="99"/>
    <w:rPr>
      <w:sz w:val="18"/>
      <w:szCs w:val="18"/>
    </w:rPr>
  </w:style>
  <w:style w:type="paragraph" w:customStyle="1" w:styleId="18">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styleId="2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660A-EF25-4AA7-81F4-369DAF386591}">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2255</Words>
  <Characters>2366</Characters>
  <Lines>17</Lines>
  <Paragraphs>4</Paragraphs>
  <TotalTime>21</TotalTime>
  <ScaleCrop>false</ScaleCrop>
  <LinksUpToDate>false</LinksUpToDate>
  <CharactersWithSpaces>2461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2023-12-04T06:19:00Z</dcterms:created>
  <dc:creator>23221</dc:creator>
  <cp:lastModifiedBy>LiuQQ</cp:lastModifiedBy>
  <dcterms:modified xsi:type="dcterms:W3CDTF">2026-07-24T08:42:58Z</dcterms:modified>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7B15A0F3C3B6411CA717600D90F9B788_13</vt:lpwstr>
  </property>
  <property fmtid="{D5CDD505-2E9C-101B-9397-08002B2CF9AE}" pid="4" name="KSOTemplateDocerSaveRecord">
    <vt:lpwstr>eyJoZGlkIjoiY2NmZTY4NmI2ZThjZGU0Yjc3NmE0M2Y0MWE4ODFlNWQiLCJ1c2VySWQiOiIxMTQ5MTU5NTg4In0=</vt:lpwstr>
  </property>
</Properties>
</file>