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98ABB4">
      <w:pPr>
        <w:jc w:val="center"/>
        <w:rPr>
          <w:rFonts w:hint="eastAsia" w:ascii="Times New Roman" w:hAnsi="Times New Roman"/>
          <w:sz w:val="24"/>
        </w:rPr>
      </w:pPr>
      <w:r>
        <w:rPr>
          <w:rFonts w:ascii="Times New Roman" w:hAnsi="Times New Roman"/>
          <w:sz w:val="24"/>
        </w:rPr>
        <w:t>证券代码：60</w:t>
      </w:r>
      <w:r>
        <w:rPr>
          <w:rFonts w:hint="eastAsia" w:ascii="Times New Roman" w:hAnsi="Times New Roman"/>
          <w:sz w:val="24"/>
        </w:rPr>
        <w:t>1086</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证券简称：</w:t>
      </w:r>
      <w:r>
        <w:rPr>
          <w:rFonts w:hint="eastAsia" w:ascii="Times New Roman" w:hAnsi="Times New Roman"/>
          <w:sz w:val="24"/>
        </w:rPr>
        <w:t>国芳集团</w:t>
      </w:r>
    </w:p>
    <w:p w14:paraId="1980E63D">
      <w:pPr>
        <w:jc w:val="center"/>
        <w:rPr>
          <w:rFonts w:hint="eastAsia"/>
          <w:sz w:val="24"/>
        </w:rPr>
      </w:pPr>
    </w:p>
    <w:p w14:paraId="43467954">
      <w:pPr>
        <w:spacing w:before="156" w:beforeLines="50" w:after="156" w:afterLines="50" w:line="360" w:lineRule="auto"/>
        <w:jc w:val="center"/>
        <w:rPr>
          <w:b/>
          <w:bCs/>
          <w:sz w:val="32"/>
          <w:szCs w:val="28"/>
        </w:rPr>
      </w:pPr>
      <w:r>
        <w:rPr>
          <w:rFonts w:hint="eastAsia"/>
          <w:b/>
          <w:bCs/>
          <w:sz w:val="32"/>
          <w:szCs w:val="28"/>
        </w:rPr>
        <w:t>甘肃国芳工贸（集团）股份有限公司</w:t>
      </w:r>
    </w:p>
    <w:p w14:paraId="4918184A">
      <w:pPr>
        <w:spacing w:before="156" w:beforeLines="50" w:after="156" w:afterLines="50" w:line="360" w:lineRule="auto"/>
        <w:jc w:val="center"/>
        <w:rPr>
          <w:rFonts w:hint="eastAsia"/>
          <w:b/>
          <w:bCs/>
          <w:sz w:val="32"/>
          <w:szCs w:val="28"/>
        </w:rPr>
      </w:pPr>
      <w:r>
        <w:rPr>
          <w:rFonts w:hint="eastAsia"/>
          <w:b/>
          <w:bCs/>
          <w:sz w:val="32"/>
          <w:szCs w:val="28"/>
        </w:rPr>
        <w:t>投资者关系活动记录表</w:t>
      </w:r>
    </w:p>
    <w:p w14:paraId="7C5012DA">
      <w:pPr>
        <w:spacing w:before="156" w:beforeLines="50" w:after="156" w:afterLines="50" w:line="360" w:lineRule="auto"/>
        <w:ind w:firstLine="5880" w:firstLineChars="2450"/>
        <w:jc w:val="right"/>
        <w:rPr>
          <w:rFonts w:hint="default" w:ascii="Times New Roman" w:hAnsi="Times New Roman" w:eastAsia="宋体"/>
          <w:bCs/>
          <w:sz w:val="24"/>
          <w:szCs w:val="28"/>
          <w:lang w:val="en-US" w:eastAsia="zh-CN"/>
        </w:rPr>
      </w:pPr>
      <w:r>
        <w:rPr>
          <w:rFonts w:ascii="Times New Roman"/>
          <w:bCs/>
          <w:sz w:val="24"/>
          <w:szCs w:val="28"/>
        </w:rPr>
        <w:t>编号：</w:t>
      </w:r>
      <w:r>
        <w:rPr>
          <w:rFonts w:hint="eastAsia" w:ascii="Times New Roman" w:hAnsi="Times New Roman"/>
          <w:bCs/>
          <w:sz w:val="24"/>
          <w:szCs w:val="28"/>
          <w:lang w:val="en-US" w:eastAsia="zh-CN"/>
        </w:rPr>
        <w:t>2026-002</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883"/>
      </w:tblGrid>
      <w:tr w14:paraId="7B9A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615202F1">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投资者关系活动类别</w:t>
            </w:r>
          </w:p>
        </w:tc>
        <w:tc>
          <w:tcPr>
            <w:tcW w:w="6883" w:type="dxa"/>
            <w:noWrap w:val="0"/>
            <w:vAlign w:val="center"/>
          </w:tcPr>
          <w:p w14:paraId="362B3D48">
            <w:pPr>
              <w:keepNext w:val="0"/>
              <w:keepLines w:val="0"/>
              <w:suppressLineNumbers w:val="0"/>
              <w:spacing w:before="0" w:beforeAutospacing="0" w:after="0" w:afterAutospacing="0" w:line="360" w:lineRule="auto"/>
              <w:ind w:left="0" w:right="0"/>
              <w:rPr>
                <w:rFonts w:hint="default" w:ascii="Calibri" w:hAnsi="Calibri" w:cs="Times New Roman"/>
                <w:bCs/>
                <w:sz w:val="24"/>
              </w:rPr>
            </w:pPr>
            <w:r>
              <w:rPr>
                <w:rFonts w:hint="eastAsia" w:cs="Times New Roman"/>
                <w:sz w:val="24"/>
                <w:lang w:eastAsia="zh-CN"/>
              </w:rPr>
              <w:t>☑</w:t>
            </w:r>
            <w:r>
              <w:rPr>
                <w:rFonts w:hint="default" w:ascii="Calibri" w:hAnsi="Calibri" w:cs="Times New Roman"/>
                <w:bCs/>
                <w:sz w:val="24"/>
              </w:rPr>
              <w:t xml:space="preserve">特定对象调研 </w:t>
            </w:r>
            <w:r>
              <w:rPr>
                <w:rFonts w:hint="eastAsia" w:ascii="Calibri" w:hAnsi="Calibri" w:cs="Times New Roman"/>
                <w:sz w:val="24"/>
                <w:lang w:eastAsia="zh-CN"/>
              </w:rPr>
              <w:t>□</w:t>
            </w:r>
            <w:r>
              <w:rPr>
                <w:rFonts w:hint="default" w:ascii="Calibri" w:hAnsi="Calibri" w:cs="Times New Roman"/>
                <w:bCs/>
                <w:sz w:val="24"/>
              </w:rPr>
              <w:t xml:space="preserve">分析师会议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媒体采访 </w:t>
            </w:r>
          </w:p>
          <w:p w14:paraId="74D31519">
            <w:pPr>
              <w:keepNext w:val="0"/>
              <w:keepLines w:val="0"/>
              <w:suppressLineNumbers w:val="0"/>
              <w:spacing w:before="0" w:beforeAutospacing="0" w:after="0" w:afterAutospacing="0" w:line="360" w:lineRule="auto"/>
              <w:ind w:left="0" w:right="0"/>
              <w:rPr>
                <w:rFonts w:hint="default" w:ascii="Calibri" w:hAnsi="Calibri" w:cs="Times New Roman"/>
                <w:bCs/>
                <w:sz w:val="24"/>
              </w:rPr>
            </w:pPr>
            <w:r>
              <w:rPr>
                <w:rFonts w:hint="eastAsia" w:cs="Times New Roman"/>
                <w:sz w:val="24"/>
                <w:lang w:eastAsia="zh-CN"/>
              </w:rPr>
              <w:t>□</w:t>
            </w:r>
            <w:r>
              <w:rPr>
                <w:rFonts w:hint="default" w:ascii="Calibri" w:hAnsi="Calibri" w:cs="Times New Roman"/>
                <w:bCs/>
                <w:sz w:val="24"/>
              </w:rPr>
              <w:t xml:space="preserve">业绩说明会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新闻发布会</w:t>
            </w:r>
            <w:r>
              <w:rPr>
                <w:rFonts w:hint="eastAsia" w:ascii="Calibri" w:hAnsi="Calibri" w:cs="Times New Roman"/>
                <w:bCs/>
                <w:sz w:val="24"/>
              </w:rPr>
              <w:t xml:space="preserve"> </w:t>
            </w:r>
            <w:r>
              <w:rPr>
                <w:rFonts w:hint="default"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路演活动 </w:t>
            </w:r>
          </w:p>
          <w:p w14:paraId="35C1FB6C">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cs="Times New Roman"/>
                <w:sz w:val="24"/>
                <w:lang w:eastAsia="zh-CN"/>
              </w:rPr>
              <w:t>☑</w:t>
            </w:r>
            <w:r>
              <w:rPr>
                <w:rFonts w:hint="default" w:ascii="Calibri" w:hAnsi="Calibri" w:cs="Times New Roman"/>
                <w:bCs/>
                <w:sz w:val="24"/>
              </w:rPr>
              <w:t xml:space="preserve">现场参观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其他 </w:t>
            </w:r>
            <w:r>
              <w:rPr>
                <w:rFonts w:hint="default" w:ascii="Calibri" w:hAnsi="Calibri" w:cs="Times New Roman"/>
                <w:bCs/>
                <w:sz w:val="24"/>
                <w:u w:val="single"/>
              </w:rPr>
              <w:t>（请文字说明其他活动内容）</w:t>
            </w:r>
          </w:p>
        </w:tc>
      </w:tr>
      <w:tr w14:paraId="4284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47573EB2">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参与单位名称及人员姓名</w:t>
            </w:r>
          </w:p>
        </w:tc>
        <w:tc>
          <w:tcPr>
            <w:tcW w:w="6883" w:type="dxa"/>
            <w:noWrap w:val="0"/>
            <w:vAlign w:val="center"/>
          </w:tcPr>
          <w:p w14:paraId="6499A06C">
            <w:pPr>
              <w:keepNext w:val="0"/>
              <w:keepLines w:val="0"/>
              <w:suppressLineNumbers w:val="0"/>
              <w:spacing w:before="0" w:beforeAutospacing="0" w:after="0" w:afterAutospacing="0" w:line="360" w:lineRule="auto"/>
              <w:ind w:left="0" w:right="0"/>
              <w:rPr>
                <w:rFonts w:hint="eastAsia" w:ascii="Times New Roman" w:hAnsi="Times New Roman" w:cs="Times New Roman"/>
                <w:bCs/>
                <w:sz w:val="24"/>
                <w:szCs w:val="28"/>
              </w:rPr>
            </w:pPr>
            <w:r>
              <w:rPr>
                <w:rFonts w:hint="eastAsia" w:ascii="Times New Roman" w:hAnsi="Times New Roman" w:cs="Times New Roman"/>
                <w:bCs/>
                <w:sz w:val="24"/>
                <w:szCs w:val="28"/>
              </w:rPr>
              <w:t>华龙证券投资者教育基地</w:t>
            </w:r>
            <w:r>
              <w:rPr>
                <w:rFonts w:hint="eastAsia" w:ascii="Times New Roman" w:hAnsi="Times New Roman" w:cs="Times New Roman"/>
                <w:bCs/>
                <w:sz w:val="24"/>
                <w:szCs w:val="28"/>
                <w:lang w:val="en-US" w:eastAsia="zh-CN"/>
              </w:rPr>
              <w:t>、</w:t>
            </w:r>
            <w:r>
              <w:rPr>
                <w:rFonts w:hint="eastAsia" w:ascii="Times New Roman" w:hAnsi="Times New Roman" w:cs="Times New Roman"/>
                <w:bCs/>
                <w:sz w:val="24"/>
                <w:szCs w:val="28"/>
              </w:rPr>
              <w:t>兰州民主东路营业部、</w:t>
            </w:r>
            <w:r>
              <w:rPr>
                <w:rFonts w:hint="eastAsia" w:ascii="Times New Roman" w:hAnsi="Times New Roman" w:cs="Times New Roman"/>
                <w:bCs/>
                <w:sz w:val="24"/>
                <w:szCs w:val="28"/>
                <w:lang w:val="en-US" w:eastAsia="zh-CN"/>
              </w:rPr>
              <w:t>兰州</w:t>
            </w:r>
            <w:r>
              <w:rPr>
                <w:rFonts w:hint="eastAsia" w:ascii="Times New Roman" w:hAnsi="Times New Roman" w:cs="Times New Roman"/>
                <w:bCs/>
                <w:sz w:val="24"/>
                <w:szCs w:val="28"/>
              </w:rPr>
              <w:t>酒泉路营业部及</w:t>
            </w:r>
            <w:r>
              <w:rPr>
                <w:rFonts w:hint="eastAsia" w:ascii="Times New Roman" w:hAnsi="Times New Roman" w:cs="Times New Roman"/>
                <w:bCs/>
                <w:sz w:val="24"/>
                <w:szCs w:val="28"/>
                <w:lang w:val="en-US" w:eastAsia="zh-CN"/>
              </w:rPr>
              <w:t>20名</w:t>
            </w:r>
            <w:r>
              <w:rPr>
                <w:rFonts w:hint="eastAsia" w:ascii="Times New Roman" w:hAnsi="Times New Roman" w:cs="Times New Roman"/>
                <w:bCs/>
                <w:sz w:val="24"/>
                <w:szCs w:val="28"/>
              </w:rPr>
              <w:t>自然人投资者</w:t>
            </w:r>
          </w:p>
        </w:tc>
      </w:tr>
      <w:tr w14:paraId="20F0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DEA68D1">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时间</w:t>
            </w:r>
          </w:p>
        </w:tc>
        <w:tc>
          <w:tcPr>
            <w:tcW w:w="6883" w:type="dxa"/>
            <w:noWrap w:val="0"/>
            <w:vAlign w:val="center"/>
          </w:tcPr>
          <w:p w14:paraId="2D3608DD">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ascii="Times New Roman" w:hAnsi="Times New Roman" w:cs="Times New Roman"/>
                <w:sz w:val="24"/>
              </w:rPr>
              <w:t>202</w:t>
            </w:r>
            <w:r>
              <w:rPr>
                <w:rFonts w:hint="eastAsia" w:ascii="Times New Roman" w:hAnsi="Times New Roman" w:cs="Times New Roman"/>
                <w:sz w:val="24"/>
                <w:lang w:val="en-US" w:eastAsia="zh-CN"/>
              </w:rPr>
              <w:t>6</w:t>
            </w:r>
            <w:r>
              <w:rPr>
                <w:rFonts w:hint="eastAsia" w:ascii="Times New Roman" w:hAnsi="Times New Roman" w:cs="Times New Roman"/>
                <w:sz w:val="24"/>
              </w:rPr>
              <w:t>年</w:t>
            </w:r>
            <w:r>
              <w:rPr>
                <w:rFonts w:hint="eastAsia" w:ascii="Times New Roman" w:hAnsi="Times New Roman" w:cs="Times New Roman"/>
                <w:sz w:val="24"/>
                <w:lang w:val="en-US" w:eastAsia="zh-CN"/>
              </w:rPr>
              <w:t>7</w:t>
            </w:r>
            <w:r>
              <w:rPr>
                <w:rFonts w:hint="default" w:ascii="Times New Roman" w:hAnsi="Times New Roman" w:cs="Times New Roman"/>
                <w:sz w:val="24"/>
              </w:rPr>
              <w:t>月</w:t>
            </w:r>
            <w:r>
              <w:rPr>
                <w:rFonts w:hint="eastAsia" w:ascii="Times New Roman" w:hAnsi="Times New Roman" w:cs="Times New Roman"/>
                <w:sz w:val="24"/>
                <w:lang w:val="en-US" w:eastAsia="zh-CN"/>
              </w:rPr>
              <w:t>28</w:t>
            </w:r>
            <w:r>
              <w:rPr>
                <w:rFonts w:hint="eastAsia" w:ascii="Times New Roman" w:hAnsi="Times New Roman" w:cs="Times New Roman"/>
                <w:sz w:val="24"/>
              </w:rPr>
              <w:t>日</w:t>
            </w:r>
            <w:r>
              <w:rPr>
                <w:rFonts w:hint="default" w:ascii="Times New Roman" w:hAnsi="Times New Roman" w:cs="Times New Roman"/>
                <w:color w:val="000000"/>
                <w:kern w:val="0"/>
                <w:sz w:val="24"/>
              </w:rPr>
              <w:t>（星期</w:t>
            </w:r>
            <w:r>
              <w:rPr>
                <w:rFonts w:hint="eastAsia" w:ascii="Times New Roman" w:hAnsi="Times New Roman" w:cs="Times New Roman"/>
                <w:color w:val="000000"/>
                <w:kern w:val="0"/>
                <w:sz w:val="24"/>
                <w:lang w:val="en-US" w:eastAsia="zh-CN"/>
              </w:rPr>
              <w:t>二</w:t>
            </w:r>
            <w:r>
              <w:rPr>
                <w:rFonts w:hint="default" w:ascii="Times New Roman" w:hAnsi="Times New Roman" w:cs="Times New Roman"/>
                <w:color w:val="000000"/>
                <w:kern w:val="0"/>
                <w:sz w:val="24"/>
              </w:rPr>
              <w:t>）</w:t>
            </w:r>
            <w:r>
              <w:rPr>
                <w:rFonts w:hint="eastAsia" w:ascii="Times New Roman" w:hAnsi="Times New Roman" w:cs="Times New Roman"/>
                <w:color w:val="000000"/>
                <w:kern w:val="0"/>
                <w:sz w:val="24"/>
                <w:lang w:val="en-US" w:eastAsia="zh-CN"/>
              </w:rPr>
              <w:t>上</w:t>
            </w:r>
            <w:r>
              <w:rPr>
                <w:rFonts w:hint="eastAsia" w:ascii="Times New Roman" w:hAnsi="Times New Roman" w:cs="Times New Roman"/>
                <w:color w:val="000000"/>
                <w:kern w:val="0"/>
                <w:sz w:val="24"/>
              </w:rPr>
              <w:t>午</w:t>
            </w:r>
            <w:r>
              <w:rPr>
                <w:rFonts w:hint="default" w:ascii="Times New Roman" w:hAnsi="Times New Roman" w:cs="Times New Roman"/>
                <w:color w:val="000000"/>
                <w:kern w:val="0"/>
                <w:sz w:val="24"/>
              </w:rPr>
              <w:t>1</w:t>
            </w:r>
            <w:r>
              <w:rPr>
                <w:rFonts w:hint="eastAsia" w:ascii="Times New Roman" w:hAnsi="Times New Roman" w:cs="Times New Roman"/>
                <w:color w:val="000000"/>
                <w:kern w:val="0"/>
                <w:sz w:val="24"/>
                <w:lang w:val="en-US" w:eastAsia="zh-CN"/>
              </w:rPr>
              <w:t>0</w:t>
            </w:r>
            <w:r>
              <w:rPr>
                <w:rFonts w:hint="default" w:ascii="Times New Roman" w:hAnsi="Times New Roman" w:cs="Times New Roman"/>
                <w:color w:val="000000"/>
                <w:kern w:val="0"/>
                <w:sz w:val="24"/>
              </w:rPr>
              <w:t>:00</w:t>
            </w:r>
            <w:r>
              <w:rPr>
                <w:rFonts w:hint="default" w:ascii="宋体" w:hAnsi="宋体" w:cs="Times New Roman"/>
                <w:color w:val="000000"/>
                <w:kern w:val="0"/>
                <w:sz w:val="24"/>
              </w:rPr>
              <w:t>-</w:t>
            </w:r>
            <w:r>
              <w:rPr>
                <w:rFonts w:hint="eastAsia" w:ascii="Times New Roman" w:hAnsi="Times New Roman" w:cs="Times New Roman"/>
                <w:color w:val="000000"/>
                <w:kern w:val="0"/>
                <w:sz w:val="24"/>
                <w:lang w:val="en-US" w:eastAsia="zh-CN"/>
              </w:rPr>
              <w:t>12</w:t>
            </w:r>
            <w:r>
              <w:rPr>
                <w:rFonts w:hint="default" w:ascii="Times New Roman" w:hAnsi="Times New Roman" w:cs="Times New Roman"/>
                <w:color w:val="000000"/>
                <w:kern w:val="0"/>
                <w:sz w:val="24"/>
              </w:rPr>
              <w:t>:00</w:t>
            </w:r>
          </w:p>
        </w:tc>
      </w:tr>
      <w:tr w14:paraId="0396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67E7DB4F">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地点</w:t>
            </w:r>
          </w:p>
        </w:tc>
        <w:tc>
          <w:tcPr>
            <w:tcW w:w="6883" w:type="dxa"/>
            <w:noWrap w:val="0"/>
            <w:vAlign w:val="center"/>
          </w:tcPr>
          <w:p w14:paraId="21EE55C7">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bCs/>
                <w:sz w:val="24"/>
              </w:rPr>
              <w:t>兰州市城关区广场南路</w:t>
            </w:r>
            <w:r>
              <w:rPr>
                <w:rFonts w:hint="default" w:ascii="Times New Roman" w:hAnsi="Times New Roman" w:cs="Times New Roman"/>
                <w:bCs/>
                <w:sz w:val="24"/>
              </w:rPr>
              <w:t>4-6</w:t>
            </w:r>
            <w:r>
              <w:rPr>
                <w:rFonts w:hint="eastAsia"/>
                <w:bCs/>
                <w:sz w:val="24"/>
              </w:rPr>
              <w:t>号国芳集团总部及国芳百货东方红广场店</w:t>
            </w:r>
          </w:p>
        </w:tc>
      </w:tr>
      <w:tr w14:paraId="3388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6BBB16F">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上市公司接待人员姓名</w:t>
            </w:r>
          </w:p>
        </w:tc>
        <w:tc>
          <w:tcPr>
            <w:tcW w:w="6883" w:type="dxa"/>
            <w:noWrap w:val="0"/>
            <w:vAlign w:val="center"/>
          </w:tcPr>
          <w:p w14:paraId="4C511002">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default" w:ascii="Calibri" w:hAnsi="Calibri" w:cs="Times New Roman"/>
                <w:bCs/>
                <w:sz w:val="24"/>
              </w:rPr>
              <w:t>董事会秘书马琳先生及证券部工作人员</w:t>
            </w:r>
          </w:p>
        </w:tc>
      </w:tr>
      <w:tr w14:paraId="0354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0559E86">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投资者关系活动主要内容介绍</w:t>
            </w:r>
          </w:p>
        </w:tc>
        <w:tc>
          <w:tcPr>
            <w:tcW w:w="6883" w:type="dxa"/>
            <w:noWrap w:val="0"/>
            <w:vAlign w:val="center"/>
          </w:tcPr>
          <w:p w14:paraId="2339C82F">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jc w:val="both"/>
              <w:textAlignment w:val="auto"/>
              <w:rPr>
                <w:rFonts w:hint="default"/>
                <w:b/>
                <w:bCs/>
                <w:sz w:val="24"/>
                <w:szCs w:val="24"/>
              </w:rPr>
            </w:pPr>
            <w:r>
              <w:rPr>
                <w:rFonts w:hint="eastAsia" w:ascii="Times New Roman" w:hAnsi="Times New Roman" w:cs="Times New Roman"/>
                <w:b/>
                <w:bCs w:val="0"/>
                <w:sz w:val="24"/>
                <w:szCs w:val="24"/>
                <w:highlight w:val="none"/>
                <w:lang w:val="en-US" w:eastAsia="zh-CN"/>
              </w:rPr>
              <w:t>问题1：</w:t>
            </w:r>
            <w:r>
              <w:rPr>
                <w:rFonts w:hint="default"/>
                <w:b/>
                <w:bCs/>
                <w:sz w:val="24"/>
                <w:szCs w:val="24"/>
              </w:rPr>
              <w:t>公司未来 3-5 年核心发展战略，是深耕西北本地零售、发力自有资产增值，还是拓展新业务赛道？</w:t>
            </w:r>
          </w:p>
          <w:p w14:paraId="6B27FD05">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jc w:val="both"/>
              <w:textAlignment w:val="auto"/>
              <w:rPr>
                <w:rFonts w:hint="eastAsia"/>
                <w:sz w:val="24"/>
                <w:szCs w:val="24"/>
                <w:lang w:val="en-US" w:eastAsia="zh-CN"/>
              </w:rPr>
            </w:pPr>
            <w:r>
              <w:rPr>
                <w:rFonts w:hint="eastAsia" w:ascii="Times New Roman" w:hAnsi="Times New Roman" w:cs="Times New Roman"/>
                <w:b/>
                <w:bCs w:val="0"/>
                <w:sz w:val="24"/>
                <w:szCs w:val="24"/>
                <w:highlight w:val="none"/>
                <w:lang w:val="en-US" w:eastAsia="zh-CN"/>
              </w:rPr>
              <w:t>回答：</w:t>
            </w:r>
            <w:r>
              <w:rPr>
                <w:rFonts w:hint="eastAsia"/>
                <w:sz w:val="24"/>
                <w:szCs w:val="24"/>
              </w:rPr>
              <w:t>公司深入贯彻国家经营政策导向，聚焦主业发展，专注新零售布局，把握商业发展机遇，存量项目“一店一策”因地制宜落地实施经营重点工作，积极布局新业态新模式，优化公司收入与利润增长点，持续提升公司品牌影响力及核心竞争力。公司亦将发挥企业品牌价值及区位龙头优势，结合地区发展战略，采用轻、重资产相结合的方式，有计划、有重点地扩张拓展，持续扩大零售连锁发展增量规模，实现零售主业态高质高效发展。</w:t>
            </w:r>
          </w:p>
          <w:p w14:paraId="26CCD41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val="0"/>
                <w:sz w:val="24"/>
                <w:szCs w:val="24"/>
                <w:highlight w:val="none"/>
                <w:lang w:val="en-US" w:eastAsia="zh-CN"/>
              </w:rPr>
              <w:t>问题2：</w:t>
            </w:r>
            <w:r>
              <w:rPr>
                <w:rFonts w:hint="default" w:ascii="Times New Roman" w:hAnsi="Times New Roman" w:cs="Times New Roman"/>
                <w:b/>
                <w:bCs/>
                <w:sz w:val="24"/>
                <w:szCs w:val="24"/>
              </w:rPr>
              <w:t>面对消费降级、居民消费意愿偏弱大环境，公司对冲行业周期的核心策略是什么？</w:t>
            </w:r>
          </w:p>
          <w:p w14:paraId="2B106BC7">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b/>
                <w:bCs w:val="0"/>
                <w:sz w:val="24"/>
                <w:szCs w:val="24"/>
                <w:highlight w:val="none"/>
                <w:lang w:val="en-US" w:eastAsia="zh-CN"/>
              </w:rPr>
              <w:t>回答：</w:t>
            </w:r>
            <w:r>
              <w:rPr>
                <w:rFonts w:hint="default" w:ascii="Times New Roman" w:hAnsi="Times New Roman" w:cs="Times New Roman"/>
                <w:sz w:val="24"/>
                <w:szCs w:val="24"/>
              </w:rPr>
              <w:t>公司立足门店定位，基于市场调研与空间规划，锁定客群需求的优质品牌，构建涵盖时尚餐饮、网红文化、圈层社交、智能家居、文化潮玩等多元业态矩阵，升级场景体验，构建消费新范式。打破传统百货</w:t>
            </w:r>
            <w:r>
              <w:rPr>
                <w:rFonts w:hint="eastAsia" w:ascii="宋体" w:hAnsi="宋体" w:eastAsia="宋体" w:cs="宋体"/>
                <w:sz w:val="24"/>
                <w:szCs w:val="24"/>
              </w:rPr>
              <w:t>“</w:t>
            </w:r>
            <w:r>
              <w:rPr>
                <w:rFonts w:hint="default" w:ascii="Times New Roman" w:hAnsi="Times New Roman" w:cs="Times New Roman"/>
                <w:sz w:val="24"/>
                <w:szCs w:val="24"/>
              </w:rPr>
              <w:t>重零售、轻体验</w:t>
            </w:r>
            <w:r>
              <w:rPr>
                <w:rFonts w:hint="eastAsia" w:ascii="宋体" w:hAnsi="宋体" w:eastAsia="宋体" w:cs="宋体"/>
                <w:sz w:val="24"/>
                <w:szCs w:val="24"/>
              </w:rPr>
              <w:t>”</w:t>
            </w:r>
            <w:r>
              <w:rPr>
                <w:rFonts w:hint="default" w:ascii="Times New Roman" w:hAnsi="Times New Roman" w:cs="Times New Roman"/>
                <w:sz w:val="24"/>
                <w:szCs w:val="24"/>
              </w:rPr>
              <w:t>的运营模式，通过</w:t>
            </w:r>
            <w:r>
              <w:rPr>
                <w:rFonts w:hint="eastAsia" w:ascii="宋体" w:hAnsi="宋体" w:eastAsia="宋体" w:cs="宋体"/>
                <w:sz w:val="24"/>
                <w:szCs w:val="24"/>
              </w:rPr>
              <w:t>“首</w:t>
            </w:r>
            <w:r>
              <w:rPr>
                <w:rFonts w:hint="default" w:ascii="Times New Roman" w:hAnsi="Times New Roman" w:cs="Times New Roman"/>
                <w:sz w:val="24"/>
                <w:szCs w:val="24"/>
              </w:rPr>
              <w:t>店经济+体验业态+主题空</w:t>
            </w:r>
            <w:r>
              <w:rPr>
                <w:rFonts w:hint="eastAsia" w:ascii="宋体" w:hAnsi="宋体" w:eastAsia="宋体" w:cs="宋体"/>
                <w:sz w:val="24"/>
                <w:szCs w:val="24"/>
              </w:rPr>
              <w:t>间”</w:t>
            </w:r>
            <w:r>
              <w:rPr>
                <w:rFonts w:hint="default" w:ascii="Times New Roman" w:hAnsi="Times New Roman" w:cs="Times New Roman"/>
                <w:sz w:val="24"/>
                <w:szCs w:val="24"/>
              </w:rPr>
              <w:t>的组合</w:t>
            </w:r>
            <w:bookmarkStart w:id="0" w:name="_GoBack"/>
            <w:bookmarkEnd w:id="0"/>
            <w:r>
              <w:rPr>
                <w:rFonts w:hint="default" w:ascii="Times New Roman" w:hAnsi="Times New Roman" w:cs="Times New Roman"/>
                <w:sz w:val="24"/>
                <w:szCs w:val="24"/>
              </w:rPr>
              <w:t>策略，为消费者提供更加多元缤纷的消费体验，更好</w:t>
            </w:r>
            <w:r>
              <w:rPr>
                <w:rFonts w:hint="eastAsia" w:ascii="Times New Roman" w:hAnsi="Times New Roman" w:cs="Times New Roman"/>
                <w:sz w:val="24"/>
                <w:szCs w:val="24"/>
                <w:lang w:val="en-US" w:eastAsia="zh-CN"/>
              </w:rPr>
              <w:t>地</w:t>
            </w:r>
            <w:r>
              <w:rPr>
                <w:rFonts w:hint="default" w:ascii="Times New Roman" w:hAnsi="Times New Roman" w:cs="Times New Roman"/>
                <w:sz w:val="24"/>
                <w:szCs w:val="24"/>
              </w:rPr>
              <w:t>满足消费者个性化、多层次、品质化的消费需求。</w:t>
            </w:r>
          </w:p>
          <w:p w14:paraId="62D3B63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val="0"/>
                <w:sz w:val="24"/>
                <w:szCs w:val="24"/>
                <w:highlight w:val="none"/>
                <w:lang w:val="en-US" w:eastAsia="zh-CN"/>
              </w:rPr>
              <w:t>问题3：</w:t>
            </w:r>
            <w:r>
              <w:rPr>
                <w:rFonts w:hint="eastAsia"/>
                <w:b/>
                <w:bCs/>
                <w:sz w:val="24"/>
                <w:szCs w:val="24"/>
              </w:rPr>
              <w:t>线上电商持续分流线下客流，目前线上渠道营收占比多少，线上线下融合有哪些成熟落地举措？</w:t>
            </w:r>
          </w:p>
          <w:p w14:paraId="793098F3">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default" w:ascii="Times New Roman" w:hAnsi="Times New Roman" w:cs="Times New Roman"/>
                <w:b/>
                <w:bCs w:val="0"/>
                <w:sz w:val="24"/>
                <w:szCs w:val="28"/>
                <w:highlight w:val="none"/>
                <w:lang w:val="en-US" w:eastAsia="zh-CN"/>
              </w:rPr>
            </w:pPr>
            <w:r>
              <w:rPr>
                <w:rFonts w:hint="eastAsia" w:ascii="Times New Roman" w:hAnsi="Times New Roman" w:cs="Times New Roman"/>
                <w:b/>
                <w:bCs w:val="0"/>
                <w:sz w:val="24"/>
                <w:szCs w:val="24"/>
                <w:highlight w:val="none"/>
                <w:lang w:val="en-US" w:eastAsia="zh-CN"/>
              </w:rPr>
              <w:t>回答：</w:t>
            </w:r>
            <w:r>
              <w:rPr>
                <w:rFonts w:hint="default" w:ascii="Times New Roman" w:hAnsi="Times New Roman" w:cs="Times New Roman"/>
                <w:sz w:val="24"/>
                <w:szCs w:val="24"/>
              </w:rPr>
              <w:t>2025年，国芳百货线上商城入驻商家662家，累计访问人数达518万人次，成交单数71,503笔，线上交易额（GMV）实现7,692万元，占线上线下交易总额的4%。公司通过统一数据中台实现线上线下库存、订单、会员数据的实时同步；消费者可线上下单、线下自提，也可线下体验、线上下单，会员积分与优惠权益全域通用，打造无缝衔接的消费体验，实现线上线下一体化的场景融合。</w:t>
            </w:r>
          </w:p>
          <w:p w14:paraId="6C1E5C1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val="0"/>
                <w:sz w:val="24"/>
                <w:szCs w:val="24"/>
                <w:highlight w:val="none"/>
                <w:lang w:val="en-US" w:eastAsia="zh-CN"/>
              </w:rPr>
              <w:t>问题4：</w:t>
            </w:r>
            <w:r>
              <w:rPr>
                <w:rFonts w:hint="default" w:ascii="Times New Roman" w:hAnsi="Times New Roman" w:cs="Times New Roman"/>
                <w:b/>
                <w:bCs/>
                <w:sz w:val="24"/>
                <w:szCs w:val="24"/>
              </w:rPr>
              <w:t>门店会员体系目前活跃度怎么样，公司会推出哪些会员专属活动提升复购和粘性？</w:t>
            </w:r>
          </w:p>
          <w:p w14:paraId="745C0F32">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default" w:ascii="Times New Roman" w:hAnsi="Times New Roman" w:cs="Times New Roman"/>
                <w:b/>
                <w:bCs w:val="0"/>
                <w:sz w:val="24"/>
                <w:szCs w:val="28"/>
                <w:highlight w:val="none"/>
                <w:lang w:val="en-US" w:eastAsia="zh-CN"/>
              </w:rPr>
            </w:pPr>
            <w:r>
              <w:rPr>
                <w:rFonts w:hint="default" w:ascii="Times New Roman" w:hAnsi="Times New Roman" w:cs="Times New Roman"/>
                <w:b/>
                <w:bCs w:val="0"/>
                <w:sz w:val="24"/>
                <w:szCs w:val="24"/>
                <w:highlight w:val="none"/>
                <w:lang w:val="en-US" w:eastAsia="zh-CN"/>
              </w:rPr>
              <w:t>回答：</w:t>
            </w:r>
            <w:r>
              <w:rPr>
                <w:rFonts w:hint="default" w:ascii="Times New Roman" w:hAnsi="Times New Roman" w:cs="Times New Roman"/>
                <w:sz w:val="24"/>
                <w:szCs w:val="24"/>
              </w:rPr>
              <w:t>公司通过会员画像、目标定位，筛选出活动客群、商品及策略，制定营销活动实现差异化营销，保证会员专项服务体验，同时为会员准备专属权益，如生日礼金、私享沙龙活动、停车礼遇、专属客服顾问等权益，并建立区域会员社群，定期推送搭配技巧、新品预告与专属活动等以提升会员复购率及粘性。</w:t>
            </w:r>
          </w:p>
          <w:p w14:paraId="1D38739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val="0"/>
                <w:sz w:val="24"/>
                <w:szCs w:val="24"/>
                <w:highlight w:val="none"/>
                <w:lang w:val="en-US" w:eastAsia="zh-CN"/>
              </w:rPr>
              <w:t>问题5：</w:t>
            </w:r>
            <w:r>
              <w:rPr>
                <w:rFonts w:hint="default" w:ascii="Times New Roman" w:hAnsi="Times New Roman" w:cs="Times New Roman"/>
                <w:b/>
                <w:bCs/>
                <w:sz w:val="24"/>
                <w:szCs w:val="24"/>
              </w:rPr>
              <w:t>从长期发展角度，管理层对公司未来两三年的业绩增长预期如何，有哪些核心抓手？</w:t>
            </w:r>
          </w:p>
          <w:p w14:paraId="2602AB80">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eastAsia" w:ascii="Times New Roman" w:hAnsi="Times New Roman" w:cs="Times New Roman"/>
                <w:b/>
                <w:bCs w:val="0"/>
                <w:sz w:val="24"/>
                <w:szCs w:val="28"/>
                <w:highlight w:val="none"/>
                <w:lang w:val="en-US" w:eastAsia="zh-CN"/>
              </w:rPr>
            </w:pPr>
            <w:r>
              <w:rPr>
                <w:rFonts w:hint="default" w:ascii="Times New Roman" w:hAnsi="Times New Roman" w:cs="Times New Roman"/>
                <w:b/>
                <w:bCs w:val="0"/>
                <w:sz w:val="24"/>
                <w:szCs w:val="24"/>
                <w:highlight w:val="none"/>
                <w:lang w:val="en-US" w:eastAsia="zh-CN"/>
              </w:rPr>
              <w:t>回答：</w:t>
            </w:r>
            <w:r>
              <w:rPr>
                <w:rFonts w:hint="default" w:ascii="Times New Roman" w:hAnsi="Times New Roman" w:cs="Times New Roman"/>
                <w:sz w:val="24"/>
                <w:szCs w:val="24"/>
              </w:rPr>
              <w:t>公司将紧紧围绕整体发展战略，以创新变革为核心发展动力，以市场为导向，不断提高经营管理水平，通过门店调改升级、品牌级次提升、全渠道运营、数字化建设、团队培养、安全生产、内控建设等多方面工作，巩固并提升市场占有率，加强公司领先优势，加快战略拓展，保持健康发展态势，为员工、顾客及股东创造更多价值。</w:t>
            </w:r>
          </w:p>
          <w:p w14:paraId="4C1B987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default" w:ascii="Times New Roman" w:hAnsi="Times New Roman" w:cs="Times New Roman"/>
                <w:b/>
                <w:bCs w:val="0"/>
                <w:i w:val="0"/>
                <w:iCs w:val="0"/>
                <w:caps w:val="0"/>
                <w:color w:val="000000" w:themeColor="text1"/>
                <w:spacing w:val="0"/>
                <w:sz w:val="24"/>
                <w:szCs w:val="24"/>
                <w14:textFill>
                  <w14:solidFill>
                    <w14:schemeClr w14:val="tx1"/>
                  </w14:solidFill>
                </w14:textFill>
              </w:rPr>
            </w:pPr>
            <w:r>
              <w:rPr>
                <w:rFonts w:hint="default" w:ascii="Times New Roman" w:hAnsi="Times New Roman" w:cs="Times New Roman"/>
                <w:b/>
                <w:bCs w:val="0"/>
                <w:color w:val="000000" w:themeColor="text1"/>
                <w:sz w:val="24"/>
                <w:szCs w:val="24"/>
                <w:highlight w:val="none"/>
                <w:lang w:val="en-US" w:eastAsia="zh-CN"/>
                <w14:textFill>
                  <w14:solidFill>
                    <w14:schemeClr w14:val="tx1"/>
                  </w14:solidFill>
                </w14:textFill>
              </w:rPr>
              <w:t>问题6：</w:t>
            </w:r>
            <w:r>
              <w:rPr>
                <w:rFonts w:hint="default" w:ascii="Times New Roman" w:hAnsi="Times New Roman" w:cs="Times New Roman"/>
                <w:b/>
                <w:bCs w:val="0"/>
                <w:i w:val="0"/>
                <w:iCs w:val="0"/>
                <w:caps w:val="0"/>
                <w:color w:val="000000" w:themeColor="text1"/>
                <w:spacing w:val="0"/>
                <w:sz w:val="24"/>
                <w:szCs w:val="24"/>
                <w14:textFill>
                  <w14:solidFill>
                    <w14:schemeClr w14:val="tx1"/>
                  </w14:solidFill>
                </w14:textFill>
              </w:rPr>
              <w:t>针对当下大众理性消费趋势，公司超市、百货分别采取哪些调整手段提升客流与客单价？</w:t>
            </w:r>
          </w:p>
          <w:p w14:paraId="0ED5F9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jc w:val="both"/>
              <w:textAlignment w:val="auto"/>
              <w:rPr>
                <w:rFonts w:hint="default" w:ascii="Times New Roman" w:hAnsi="Times New Roman"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cs="Times New Roman"/>
                <w:b/>
                <w:bCs/>
                <w:i w:val="0"/>
                <w:iCs w:val="0"/>
                <w:caps w:val="0"/>
                <w:color w:val="000000" w:themeColor="text1"/>
                <w:spacing w:val="0"/>
                <w:sz w:val="24"/>
                <w:szCs w:val="24"/>
                <w:lang w:val="en-US" w:eastAsia="zh-CN"/>
                <w14:textFill>
                  <w14:solidFill>
                    <w14:schemeClr w14:val="tx1"/>
                  </w14:solidFill>
                </w14:textFill>
              </w:rPr>
              <w:t>回答：</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针对当下大众理性消费趋势，公司超市业态将以</w:t>
            </w:r>
            <w:r>
              <w:rPr>
                <w:rFonts w:hint="eastAsia" w:ascii="宋体" w:hAnsi="宋体" w:eastAsia="宋体" w:cs="宋体"/>
                <w:i w:val="0"/>
                <w:iCs w:val="0"/>
                <w:caps w:val="0"/>
                <w:color w:val="000000" w:themeColor="text1"/>
                <w:spacing w:val="0"/>
                <w:sz w:val="24"/>
                <w:szCs w:val="24"/>
                <w14:textFill>
                  <w14:solidFill>
                    <w14:schemeClr w14:val="tx1"/>
                  </w14:solidFill>
                </w14:textFill>
              </w:rPr>
              <w:t>“商</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品力+场景力+</w:t>
            </w:r>
            <w:r>
              <w:rPr>
                <w:rFonts w:hint="eastAsia" w:ascii="宋体" w:hAnsi="宋体" w:eastAsia="宋体" w:cs="宋体"/>
                <w:i w:val="0"/>
                <w:iCs w:val="0"/>
                <w:caps w:val="0"/>
                <w:color w:val="000000" w:themeColor="text1"/>
                <w:spacing w:val="0"/>
                <w:sz w:val="24"/>
                <w:szCs w:val="24"/>
                <w14:textFill>
                  <w14:solidFill>
                    <w14:schemeClr w14:val="tx1"/>
                  </w14:solidFill>
                </w14:textFill>
              </w:rPr>
              <w:t>服务力”</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重塑线下价值，通过极致精选的商品矩阵、沉浸式的烟火气场景以及有温度可感知的全业态全场景服务，实现顾客体验及经营效益的全面提升；百货业态将通过</w:t>
            </w:r>
            <w:r>
              <w:rPr>
                <w:rFonts w:hint="eastAsia" w:ascii="宋体" w:hAnsi="宋体" w:eastAsia="宋体" w:cs="宋体"/>
                <w:i w:val="0"/>
                <w:iCs w:val="0"/>
                <w:caps w:val="0"/>
                <w:color w:val="000000" w:themeColor="text1"/>
                <w:spacing w:val="0"/>
                <w:sz w:val="24"/>
                <w:szCs w:val="24"/>
                <w14:textFill>
                  <w14:solidFill>
                    <w14:schemeClr w14:val="tx1"/>
                  </w14:solidFill>
                </w14:textFill>
              </w:rPr>
              <w:t>“数</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字化+内容化</w:t>
            </w:r>
            <w:r>
              <w:rPr>
                <w:rFonts w:hint="eastAsia" w:ascii="宋体" w:hAnsi="宋体" w:eastAsia="宋体" w:cs="宋体"/>
                <w:i w:val="0"/>
                <w:iCs w:val="0"/>
                <w:caps w:val="0"/>
                <w:color w:val="000000" w:themeColor="text1"/>
                <w:spacing w:val="0"/>
                <w:sz w:val="24"/>
                <w:szCs w:val="24"/>
                <w14:textFill>
                  <w14:solidFill>
                    <w14:schemeClr w14:val="tx1"/>
                  </w14:solidFill>
                </w14:textFill>
              </w:rPr>
              <w:t>”重建“人</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与</w:t>
            </w:r>
            <w:r>
              <w:rPr>
                <w:rFonts w:hint="eastAsia" w:ascii="宋体" w:hAnsi="宋体" w:eastAsia="宋体" w:cs="宋体"/>
                <w:i w:val="0"/>
                <w:iCs w:val="0"/>
                <w:caps w:val="0"/>
                <w:color w:val="000000" w:themeColor="text1"/>
                <w:spacing w:val="0"/>
                <w:sz w:val="24"/>
                <w:szCs w:val="24"/>
                <w14:textFill>
                  <w14:solidFill>
                    <w14:schemeClr w14:val="tx1"/>
                  </w14:solidFill>
                </w14:textFill>
              </w:rPr>
              <w:t>场”的</w:t>
            </w:r>
            <w:r>
              <w:rPr>
                <w:rFonts w:hint="default" w:ascii="Times New Roman" w:hAnsi="Times New Roman" w:cs="Times New Roman"/>
                <w:i w:val="0"/>
                <w:iCs w:val="0"/>
                <w:caps w:val="0"/>
                <w:color w:val="000000" w:themeColor="text1"/>
                <w:spacing w:val="0"/>
                <w:sz w:val="24"/>
                <w:szCs w:val="24"/>
                <w14:textFill>
                  <w14:solidFill>
                    <w14:schemeClr w14:val="tx1"/>
                  </w14:solidFill>
                </w14:textFill>
              </w:rPr>
              <w:t>深度连接，借助数字化工具精准洞察会员需求，用专属服务和圈层活动提升单客价值，同时通过内容运营将卖场空间转变为社交场和打卡点，吸引顾客到店并延长停留时间；超市业态通过自营自采业务优化商品丰富度，引入网红商品、劲爆特价商品带动顾客购买欲望，通过常态化会员日，塑造更为实惠的平价优质商业口碑，充分满足老客新客的消费服务需求。</w:t>
            </w:r>
          </w:p>
          <w:p w14:paraId="1B06CF7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textAlignment w:val="auto"/>
              <w:rPr>
                <w:rFonts w:hint="eastAsia" w:ascii="Times New Roman" w:hAnsi="Times New Roman" w:cs="Times New Roman"/>
                <w:b/>
                <w:bCs/>
                <w:i w:val="0"/>
                <w:iCs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cs="Times New Roman"/>
                <w:b/>
                <w:bCs/>
                <w:i w:val="0"/>
                <w:iCs w:val="0"/>
                <w:caps w:val="0"/>
                <w:color w:val="000000" w:themeColor="text1"/>
                <w:spacing w:val="0"/>
                <w:sz w:val="24"/>
                <w:szCs w:val="24"/>
                <w:lang w:val="en-US" w:eastAsia="zh-CN"/>
                <w14:textFill>
                  <w14:solidFill>
                    <w14:schemeClr w14:val="tx1"/>
                  </w14:solidFill>
                </w14:textFill>
              </w:rPr>
              <w:t>问题7：面对区域内同行竞争，公司区别于其他商超百货的长期核心竞争优势是什么？</w:t>
            </w:r>
          </w:p>
          <w:p w14:paraId="11A39A9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360" w:lineRule="auto"/>
              <w:ind w:left="0" w:right="0" w:firstLine="482" w:firstLineChars="200"/>
              <w:jc w:val="both"/>
              <w:textAlignment w:val="auto"/>
              <w:rPr>
                <w:rFonts w:hint="default" w:ascii="Times New Roman" w:hAnsi="Times New Roman" w:cs="Times New Roman"/>
                <w:b/>
                <w:bCs/>
                <w:i w:val="0"/>
                <w:iCs w:val="0"/>
                <w:caps w:val="0"/>
                <w:color w:val="000000" w:themeColor="text1"/>
                <w:spacing w:val="0"/>
                <w:sz w:val="24"/>
                <w:szCs w:val="24"/>
                <w:lang w:val="en-US" w:eastAsia="zh-CN"/>
                <w14:textFill>
                  <w14:solidFill>
                    <w14:schemeClr w14:val="tx1"/>
                  </w14:solidFill>
                </w14:textFill>
              </w:rPr>
            </w:pPr>
            <w:r>
              <w:rPr>
                <w:rFonts w:hint="eastAsia" w:ascii="Times New Roman" w:hAnsi="Times New Roman" w:cs="Times New Roman"/>
                <w:b/>
                <w:bCs/>
                <w:i w:val="0"/>
                <w:iCs w:val="0"/>
                <w:caps w:val="0"/>
                <w:color w:val="000000" w:themeColor="text1"/>
                <w:spacing w:val="0"/>
                <w:sz w:val="24"/>
                <w:szCs w:val="24"/>
                <w:lang w:val="en-US" w:eastAsia="zh-CN"/>
                <w14:textFill>
                  <w14:solidFill>
                    <w14:schemeClr w14:val="tx1"/>
                  </w14:solidFill>
                </w14:textFill>
              </w:rPr>
              <w:t>回答：</w:t>
            </w:r>
            <w:r>
              <w:rPr>
                <w:rFonts w:hint="eastAsia" w:ascii="Times New Roman" w:hAnsi="Times New Roman" w:cs="Times New Roman"/>
                <w:b w:val="0"/>
                <w:bCs w:val="0"/>
                <w:i w:val="0"/>
                <w:iCs w:val="0"/>
                <w:caps w:val="0"/>
                <w:color w:val="000000" w:themeColor="text1"/>
                <w:spacing w:val="0"/>
                <w:sz w:val="24"/>
                <w:szCs w:val="24"/>
                <w:lang w:val="en-US" w:eastAsia="zh-CN"/>
                <w14:textFill>
                  <w14:solidFill>
                    <w14:schemeClr w14:val="tx1"/>
                  </w14:solidFill>
                </w14:textFill>
              </w:rPr>
              <w:t>作为甘、青、宁三省区的区域性头部连锁零售企业，公司熟悉当地消费习惯和消费需求，在多年的经营中占据了优越的经营网点，夯实了差异化业态组合，培育了众多忠实客户，在区域内取得了一定的竞争优势，其中甘肃地区百货购物中心业态经营表现较为积极，受益于公司核心门店调改升级，以首店和旗舰店的业态矩阵与丰富体验感的商业场景重构形成强劲差异化竞争力。</w:t>
            </w:r>
          </w:p>
        </w:tc>
      </w:tr>
      <w:tr w14:paraId="0039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26B752CF">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附件清单（如有）</w:t>
            </w:r>
          </w:p>
        </w:tc>
        <w:tc>
          <w:tcPr>
            <w:tcW w:w="6883" w:type="dxa"/>
            <w:noWrap w:val="0"/>
            <w:vAlign w:val="center"/>
          </w:tcPr>
          <w:p w14:paraId="7C8C3CC7">
            <w:pPr>
              <w:pStyle w:val="9"/>
              <w:keepNext w:val="0"/>
              <w:keepLines w:val="0"/>
              <w:widowControl w:val="0"/>
              <w:suppressLineNumbers w:val="0"/>
              <w:spacing w:before="0" w:beforeAutospacing="0" w:after="0" w:afterAutospacing="0" w:line="360" w:lineRule="auto"/>
              <w:ind w:left="0" w:right="0"/>
              <w:jc w:val="both"/>
              <w:rPr>
                <w:rFonts w:hint="eastAsia" w:ascii="Times New Roman" w:hAnsi="Times New Roman" w:cs="Times New Roman"/>
                <w:color w:val="000000"/>
              </w:rPr>
            </w:pPr>
            <w:r>
              <w:rPr>
                <w:rFonts w:hint="eastAsia" w:ascii="Times New Roman" w:hAnsi="Times New Roman" w:cs="Times New Roman"/>
                <w:color w:val="000000"/>
              </w:rPr>
              <w:t>无</w:t>
            </w:r>
          </w:p>
        </w:tc>
      </w:tr>
      <w:tr w14:paraId="175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1196C73C">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日期</w:t>
            </w:r>
          </w:p>
        </w:tc>
        <w:tc>
          <w:tcPr>
            <w:tcW w:w="6883" w:type="dxa"/>
            <w:noWrap w:val="0"/>
            <w:vAlign w:val="center"/>
          </w:tcPr>
          <w:p w14:paraId="3DA62CE6">
            <w:pPr>
              <w:pStyle w:val="9"/>
              <w:keepNext w:val="0"/>
              <w:keepLines w:val="0"/>
              <w:widowControl w:val="0"/>
              <w:suppressLineNumbers w:val="0"/>
              <w:spacing w:before="0" w:beforeAutospacing="0" w:after="0" w:afterAutospacing="0" w:line="360" w:lineRule="auto"/>
              <w:ind w:left="0" w:right="0"/>
              <w:jc w:val="both"/>
              <w:rPr>
                <w:rFonts w:hint="eastAsia" w:ascii="Times New Roman" w:hAnsi="Times New Roman" w:cs="Times New Roman"/>
                <w:color w:val="000000"/>
              </w:rPr>
            </w:pPr>
            <w:r>
              <w:rPr>
                <w:rFonts w:hint="default" w:ascii="Times New Roman" w:hAnsi="Times New Roman" w:cs="Times New Roman"/>
                <w:color w:val="000000"/>
              </w:rPr>
              <w:t>202</w:t>
            </w:r>
            <w:r>
              <w:rPr>
                <w:rFonts w:hint="eastAsia" w:ascii="Times New Roman" w:hAnsi="Times New Roman" w:cs="Times New Roman"/>
                <w:color w:val="000000"/>
                <w:lang w:val="en-US" w:eastAsia="zh-CN"/>
              </w:rPr>
              <w:t>6</w:t>
            </w:r>
            <w:r>
              <w:rPr>
                <w:rFonts w:hint="default" w:ascii="Times New Roman" w:hAnsi="Times New Roman" w:cs="Times New Roman"/>
                <w:color w:val="000000"/>
              </w:rPr>
              <w:t>年</w:t>
            </w:r>
            <w:r>
              <w:rPr>
                <w:rFonts w:hint="eastAsia" w:ascii="Times New Roman" w:hAnsi="Times New Roman" w:cs="Times New Roman"/>
                <w:color w:val="000000"/>
                <w:lang w:val="en-US" w:eastAsia="zh-CN"/>
              </w:rPr>
              <w:t>7</w:t>
            </w:r>
            <w:r>
              <w:rPr>
                <w:rFonts w:hint="default" w:ascii="Times New Roman" w:hAnsi="Times New Roman" w:cs="Times New Roman"/>
                <w:color w:val="000000"/>
              </w:rPr>
              <w:t>月</w:t>
            </w:r>
            <w:r>
              <w:rPr>
                <w:rFonts w:hint="eastAsia" w:ascii="Times New Roman" w:hAnsi="Times New Roman" w:cs="Times New Roman"/>
                <w:color w:val="000000"/>
                <w:lang w:val="en-US" w:eastAsia="zh-CN"/>
              </w:rPr>
              <w:t>28</w:t>
            </w:r>
            <w:r>
              <w:rPr>
                <w:rFonts w:hint="default" w:ascii="Times New Roman" w:hAnsi="Times New Roman" w:cs="Times New Roman"/>
                <w:color w:val="000000"/>
              </w:rPr>
              <w:t>日</w:t>
            </w:r>
          </w:p>
        </w:tc>
      </w:tr>
    </w:tbl>
    <w:p w14:paraId="2EDFF29F">
      <w:pPr>
        <w:spacing w:before="156" w:beforeLines="50" w:after="156" w:afterLines="50" w:line="360" w:lineRule="auto"/>
        <w:jc w:val="left"/>
        <w:rPr>
          <w:rFonts w:ascii="Times New Roman" w:hAnsi="Times New Roman"/>
          <w:bCs/>
          <w:sz w:val="24"/>
          <w:szCs w:val="28"/>
        </w:rPr>
      </w:pPr>
    </w:p>
    <w:sectPr>
      <w:footerReference r:id="rId3" w:type="default"/>
      <w:pgSz w:w="11906" w:h="16838"/>
      <w:pgMar w:top="1247" w:right="1644" w:bottom="1191"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37C27">
    <w:pPr>
      <w:pStyle w:val="6"/>
      <w:jc w:val="center"/>
      <w:rPr>
        <w:rFonts w:hint="eastAsia"/>
        <w:lang w:eastAsia="zh-CN"/>
      </w:rPr>
    </w:pPr>
    <w:r>
      <w:fldChar w:fldCharType="begin"/>
    </w:r>
    <w:r>
      <w:instrText xml:space="preserve">PAGE   \* MERGEFORMAT</w:instrText>
    </w:r>
    <w:r>
      <w:fldChar w:fldCharType="separate"/>
    </w:r>
    <w:r>
      <w:rPr>
        <w:lang w:val="zh-CN" w:eastAsia="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6E"/>
    <w:rsid w:val="00004363"/>
    <w:rsid w:val="00011254"/>
    <w:rsid w:val="0001420B"/>
    <w:rsid w:val="00024ADF"/>
    <w:rsid w:val="00032EAE"/>
    <w:rsid w:val="000344B6"/>
    <w:rsid w:val="000358A7"/>
    <w:rsid w:val="00042940"/>
    <w:rsid w:val="0005018B"/>
    <w:rsid w:val="00056B5D"/>
    <w:rsid w:val="00056DF4"/>
    <w:rsid w:val="00056E40"/>
    <w:rsid w:val="00065BA9"/>
    <w:rsid w:val="000728EB"/>
    <w:rsid w:val="0007459A"/>
    <w:rsid w:val="000753C2"/>
    <w:rsid w:val="000771B0"/>
    <w:rsid w:val="00080AA5"/>
    <w:rsid w:val="000832BB"/>
    <w:rsid w:val="00090194"/>
    <w:rsid w:val="000919E1"/>
    <w:rsid w:val="00092CA4"/>
    <w:rsid w:val="000961AD"/>
    <w:rsid w:val="00096889"/>
    <w:rsid w:val="000A0C29"/>
    <w:rsid w:val="000A5396"/>
    <w:rsid w:val="000A5610"/>
    <w:rsid w:val="000A6149"/>
    <w:rsid w:val="000B48D6"/>
    <w:rsid w:val="000C091E"/>
    <w:rsid w:val="000C7C81"/>
    <w:rsid w:val="000D5B8E"/>
    <w:rsid w:val="000D5E65"/>
    <w:rsid w:val="000E2A0C"/>
    <w:rsid w:val="000E367B"/>
    <w:rsid w:val="000E491F"/>
    <w:rsid w:val="000E6BDA"/>
    <w:rsid w:val="000E75B6"/>
    <w:rsid w:val="000F2F6B"/>
    <w:rsid w:val="00105226"/>
    <w:rsid w:val="00111606"/>
    <w:rsid w:val="00113C4B"/>
    <w:rsid w:val="001143B1"/>
    <w:rsid w:val="00115C0F"/>
    <w:rsid w:val="00117638"/>
    <w:rsid w:val="00117AD8"/>
    <w:rsid w:val="00125F01"/>
    <w:rsid w:val="001301F4"/>
    <w:rsid w:val="00135764"/>
    <w:rsid w:val="0013734F"/>
    <w:rsid w:val="00137BD0"/>
    <w:rsid w:val="00145B82"/>
    <w:rsid w:val="0014609E"/>
    <w:rsid w:val="00150889"/>
    <w:rsid w:val="00160FCA"/>
    <w:rsid w:val="00162E0A"/>
    <w:rsid w:val="00163287"/>
    <w:rsid w:val="00164588"/>
    <w:rsid w:val="00167DB5"/>
    <w:rsid w:val="00172CDC"/>
    <w:rsid w:val="00175A30"/>
    <w:rsid w:val="0018012D"/>
    <w:rsid w:val="0018065E"/>
    <w:rsid w:val="0019003B"/>
    <w:rsid w:val="00196086"/>
    <w:rsid w:val="001A5A79"/>
    <w:rsid w:val="001B31BB"/>
    <w:rsid w:val="001B43C2"/>
    <w:rsid w:val="001B48C8"/>
    <w:rsid w:val="001B4FEA"/>
    <w:rsid w:val="001C0635"/>
    <w:rsid w:val="001C0A95"/>
    <w:rsid w:val="001C57B7"/>
    <w:rsid w:val="001C5EB3"/>
    <w:rsid w:val="001D1466"/>
    <w:rsid w:val="001E290F"/>
    <w:rsid w:val="001E377C"/>
    <w:rsid w:val="001E4BEE"/>
    <w:rsid w:val="001E551C"/>
    <w:rsid w:val="001E65B4"/>
    <w:rsid w:val="001F0E4E"/>
    <w:rsid w:val="001F1E11"/>
    <w:rsid w:val="001F6146"/>
    <w:rsid w:val="002056B9"/>
    <w:rsid w:val="002153EA"/>
    <w:rsid w:val="0022218E"/>
    <w:rsid w:val="00225040"/>
    <w:rsid w:val="002260BB"/>
    <w:rsid w:val="00230D50"/>
    <w:rsid w:val="0023657B"/>
    <w:rsid w:val="00240D0C"/>
    <w:rsid w:val="002452DF"/>
    <w:rsid w:val="00245F93"/>
    <w:rsid w:val="00252FEA"/>
    <w:rsid w:val="002551A0"/>
    <w:rsid w:val="002551EC"/>
    <w:rsid w:val="00260375"/>
    <w:rsid w:val="00260D10"/>
    <w:rsid w:val="002621FD"/>
    <w:rsid w:val="00266763"/>
    <w:rsid w:val="00266814"/>
    <w:rsid w:val="002703BB"/>
    <w:rsid w:val="00270B4D"/>
    <w:rsid w:val="00276E57"/>
    <w:rsid w:val="0028013F"/>
    <w:rsid w:val="0028029E"/>
    <w:rsid w:val="0028251B"/>
    <w:rsid w:val="00284D9A"/>
    <w:rsid w:val="0028782D"/>
    <w:rsid w:val="002900BB"/>
    <w:rsid w:val="002933A5"/>
    <w:rsid w:val="002974CF"/>
    <w:rsid w:val="002A149A"/>
    <w:rsid w:val="002A629C"/>
    <w:rsid w:val="002C118A"/>
    <w:rsid w:val="002C30C9"/>
    <w:rsid w:val="002C7166"/>
    <w:rsid w:val="002D7677"/>
    <w:rsid w:val="002D7AD4"/>
    <w:rsid w:val="002E4836"/>
    <w:rsid w:val="002E57E4"/>
    <w:rsid w:val="002E6557"/>
    <w:rsid w:val="002E6FE7"/>
    <w:rsid w:val="002E7182"/>
    <w:rsid w:val="002E74F3"/>
    <w:rsid w:val="003009F3"/>
    <w:rsid w:val="00300C50"/>
    <w:rsid w:val="003021FE"/>
    <w:rsid w:val="0030566C"/>
    <w:rsid w:val="00305A3A"/>
    <w:rsid w:val="00311535"/>
    <w:rsid w:val="00314779"/>
    <w:rsid w:val="003152EA"/>
    <w:rsid w:val="003153B8"/>
    <w:rsid w:val="00317136"/>
    <w:rsid w:val="003179D3"/>
    <w:rsid w:val="003179D5"/>
    <w:rsid w:val="00320C46"/>
    <w:rsid w:val="00323055"/>
    <w:rsid w:val="00324391"/>
    <w:rsid w:val="00324B5A"/>
    <w:rsid w:val="003251DF"/>
    <w:rsid w:val="003270B9"/>
    <w:rsid w:val="00330785"/>
    <w:rsid w:val="003404A3"/>
    <w:rsid w:val="00345736"/>
    <w:rsid w:val="00350EF4"/>
    <w:rsid w:val="003547E5"/>
    <w:rsid w:val="003559CE"/>
    <w:rsid w:val="00355D1F"/>
    <w:rsid w:val="00370CE6"/>
    <w:rsid w:val="003712EB"/>
    <w:rsid w:val="00371F3A"/>
    <w:rsid w:val="00381F72"/>
    <w:rsid w:val="00384956"/>
    <w:rsid w:val="00387B40"/>
    <w:rsid w:val="00390DEA"/>
    <w:rsid w:val="0039173A"/>
    <w:rsid w:val="00391CDE"/>
    <w:rsid w:val="00392333"/>
    <w:rsid w:val="00393CFA"/>
    <w:rsid w:val="00396729"/>
    <w:rsid w:val="003A2718"/>
    <w:rsid w:val="003A2EEB"/>
    <w:rsid w:val="003A6D02"/>
    <w:rsid w:val="003B0A04"/>
    <w:rsid w:val="003B21C0"/>
    <w:rsid w:val="003B370E"/>
    <w:rsid w:val="003B4867"/>
    <w:rsid w:val="003B533F"/>
    <w:rsid w:val="003B6A8C"/>
    <w:rsid w:val="003C0E79"/>
    <w:rsid w:val="003C18F3"/>
    <w:rsid w:val="003D0E58"/>
    <w:rsid w:val="003D5E19"/>
    <w:rsid w:val="003E0778"/>
    <w:rsid w:val="003E0CD7"/>
    <w:rsid w:val="003E18FE"/>
    <w:rsid w:val="003E3FFE"/>
    <w:rsid w:val="003E6DF1"/>
    <w:rsid w:val="003E7A3B"/>
    <w:rsid w:val="003F1C3C"/>
    <w:rsid w:val="003F2129"/>
    <w:rsid w:val="003F3991"/>
    <w:rsid w:val="003F7FE9"/>
    <w:rsid w:val="004061F2"/>
    <w:rsid w:val="0041206D"/>
    <w:rsid w:val="004169F0"/>
    <w:rsid w:val="004209F9"/>
    <w:rsid w:val="00423F91"/>
    <w:rsid w:val="00424827"/>
    <w:rsid w:val="0042669D"/>
    <w:rsid w:val="004356C1"/>
    <w:rsid w:val="00435986"/>
    <w:rsid w:val="00436433"/>
    <w:rsid w:val="00440E8C"/>
    <w:rsid w:val="00444211"/>
    <w:rsid w:val="0044509F"/>
    <w:rsid w:val="0045152C"/>
    <w:rsid w:val="00455F43"/>
    <w:rsid w:val="00457CEF"/>
    <w:rsid w:val="004651FD"/>
    <w:rsid w:val="0046630A"/>
    <w:rsid w:val="00474432"/>
    <w:rsid w:val="0047505F"/>
    <w:rsid w:val="00475271"/>
    <w:rsid w:val="00480E54"/>
    <w:rsid w:val="00483C48"/>
    <w:rsid w:val="00490D08"/>
    <w:rsid w:val="0049337F"/>
    <w:rsid w:val="00493D22"/>
    <w:rsid w:val="00494C60"/>
    <w:rsid w:val="0049525B"/>
    <w:rsid w:val="004A1C9B"/>
    <w:rsid w:val="004A5575"/>
    <w:rsid w:val="004A6338"/>
    <w:rsid w:val="004B2505"/>
    <w:rsid w:val="004B62C8"/>
    <w:rsid w:val="004C19B5"/>
    <w:rsid w:val="004C1E2D"/>
    <w:rsid w:val="004D454C"/>
    <w:rsid w:val="004D45A9"/>
    <w:rsid w:val="004D65B6"/>
    <w:rsid w:val="004E401D"/>
    <w:rsid w:val="004F3F52"/>
    <w:rsid w:val="004F765D"/>
    <w:rsid w:val="0050341A"/>
    <w:rsid w:val="005120A9"/>
    <w:rsid w:val="00516C30"/>
    <w:rsid w:val="005209B4"/>
    <w:rsid w:val="00527479"/>
    <w:rsid w:val="005312A3"/>
    <w:rsid w:val="0053568F"/>
    <w:rsid w:val="00541EEE"/>
    <w:rsid w:val="00541FCB"/>
    <w:rsid w:val="00542228"/>
    <w:rsid w:val="0054394D"/>
    <w:rsid w:val="00546C07"/>
    <w:rsid w:val="00552266"/>
    <w:rsid w:val="0056018A"/>
    <w:rsid w:val="005603DF"/>
    <w:rsid w:val="00560C2E"/>
    <w:rsid w:val="00566A12"/>
    <w:rsid w:val="00566DC6"/>
    <w:rsid w:val="00574654"/>
    <w:rsid w:val="00574E27"/>
    <w:rsid w:val="00577216"/>
    <w:rsid w:val="00585EED"/>
    <w:rsid w:val="005865EE"/>
    <w:rsid w:val="0058694D"/>
    <w:rsid w:val="00587652"/>
    <w:rsid w:val="00590511"/>
    <w:rsid w:val="00596264"/>
    <w:rsid w:val="005964AA"/>
    <w:rsid w:val="00596663"/>
    <w:rsid w:val="00597713"/>
    <w:rsid w:val="005A12AD"/>
    <w:rsid w:val="005A1CF6"/>
    <w:rsid w:val="005A24B3"/>
    <w:rsid w:val="005B1226"/>
    <w:rsid w:val="005B2BBC"/>
    <w:rsid w:val="005C14A0"/>
    <w:rsid w:val="005C157C"/>
    <w:rsid w:val="005C3D0F"/>
    <w:rsid w:val="005C4F89"/>
    <w:rsid w:val="005D0397"/>
    <w:rsid w:val="005D0F3F"/>
    <w:rsid w:val="005D1D4D"/>
    <w:rsid w:val="005D4187"/>
    <w:rsid w:val="005D7452"/>
    <w:rsid w:val="005E21F0"/>
    <w:rsid w:val="005E3EAD"/>
    <w:rsid w:val="005E563D"/>
    <w:rsid w:val="005E75FC"/>
    <w:rsid w:val="005F032C"/>
    <w:rsid w:val="005F15E9"/>
    <w:rsid w:val="005F30BD"/>
    <w:rsid w:val="005F6C5F"/>
    <w:rsid w:val="00603240"/>
    <w:rsid w:val="006035C1"/>
    <w:rsid w:val="00604F65"/>
    <w:rsid w:val="00612765"/>
    <w:rsid w:val="0061481F"/>
    <w:rsid w:val="00615D57"/>
    <w:rsid w:val="006168CD"/>
    <w:rsid w:val="006317CC"/>
    <w:rsid w:val="00633B8C"/>
    <w:rsid w:val="00635755"/>
    <w:rsid w:val="006434E9"/>
    <w:rsid w:val="00646C2D"/>
    <w:rsid w:val="006472E7"/>
    <w:rsid w:val="006505CD"/>
    <w:rsid w:val="00654DEA"/>
    <w:rsid w:val="00656681"/>
    <w:rsid w:val="00660CE2"/>
    <w:rsid w:val="006632DE"/>
    <w:rsid w:val="00664E99"/>
    <w:rsid w:val="0066529D"/>
    <w:rsid w:val="0066785B"/>
    <w:rsid w:val="006758B2"/>
    <w:rsid w:val="006770CF"/>
    <w:rsid w:val="006813CE"/>
    <w:rsid w:val="006816B9"/>
    <w:rsid w:val="006821C2"/>
    <w:rsid w:val="006866F3"/>
    <w:rsid w:val="00686AA2"/>
    <w:rsid w:val="0069030F"/>
    <w:rsid w:val="006917F7"/>
    <w:rsid w:val="006A0A4F"/>
    <w:rsid w:val="006A14AA"/>
    <w:rsid w:val="006A1584"/>
    <w:rsid w:val="006A1A5C"/>
    <w:rsid w:val="006B1DA0"/>
    <w:rsid w:val="006B25C8"/>
    <w:rsid w:val="006B2CA5"/>
    <w:rsid w:val="006B5AE3"/>
    <w:rsid w:val="006B6E98"/>
    <w:rsid w:val="006C6267"/>
    <w:rsid w:val="006C7699"/>
    <w:rsid w:val="006D16BA"/>
    <w:rsid w:val="006D26F8"/>
    <w:rsid w:val="006E6485"/>
    <w:rsid w:val="006E6525"/>
    <w:rsid w:val="006E6DFA"/>
    <w:rsid w:val="006E76D8"/>
    <w:rsid w:val="006F02D9"/>
    <w:rsid w:val="006F0B80"/>
    <w:rsid w:val="006F0F2E"/>
    <w:rsid w:val="006F25E4"/>
    <w:rsid w:val="007013C8"/>
    <w:rsid w:val="0070178F"/>
    <w:rsid w:val="00701AAA"/>
    <w:rsid w:val="00703569"/>
    <w:rsid w:val="007059F9"/>
    <w:rsid w:val="007066A8"/>
    <w:rsid w:val="00707CAD"/>
    <w:rsid w:val="00712B71"/>
    <w:rsid w:val="007168DA"/>
    <w:rsid w:val="0073026B"/>
    <w:rsid w:val="0073104A"/>
    <w:rsid w:val="0073293D"/>
    <w:rsid w:val="007357FF"/>
    <w:rsid w:val="00740A49"/>
    <w:rsid w:val="00742B2E"/>
    <w:rsid w:val="00742B39"/>
    <w:rsid w:val="00743D15"/>
    <w:rsid w:val="00745F06"/>
    <w:rsid w:val="00746618"/>
    <w:rsid w:val="00750841"/>
    <w:rsid w:val="007535AD"/>
    <w:rsid w:val="00756280"/>
    <w:rsid w:val="007574C6"/>
    <w:rsid w:val="0076018F"/>
    <w:rsid w:val="00762273"/>
    <w:rsid w:val="0076457F"/>
    <w:rsid w:val="007662FD"/>
    <w:rsid w:val="00773B64"/>
    <w:rsid w:val="007764A8"/>
    <w:rsid w:val="007801B4"/>
    <w:rsid w:val="00782ECC"/>
    <w:rsid w:val="00785A1C"/>
    <w:rsid w:val="00792C82"/>
    <w:rsid w:val="007936B6"/>
    <w:rsid w:val="007945DD"/>
    <w:rsid w:val="007A301C"/>
    <w:rsid w:val="007A4A5B"/>
    <w:rsid w:val="007A60B6"/>
    <w:rsid w:val="007A66A0"/>
    <w:rsid w:val="007B23CA"/>
    <w:rsid w:val="007B2C6D"/>
    <w:rsid w:val="007B355C"/>
    <w:rsid w:val="007B37F6"/>
    <w:rsid w:val="007B679F"/>
    <w:rsid w:val="007C7492"/>
    <w:rsid w:val="007D2CFF"/>
    <w:rsid w:val="007E0FA0"/>
    <w:rsid w:val="007E1718"/>
    <w:rsid w:val="007E1D76"/>
    <w:rsid w:val="007E5239"/>
    <w:rsid w:val="007E6DEF"/>
    <w:rsid w:val="007F156E"/>
    <w:rsid w:val="007F22F1"/>
    <w:rsid w:val="007F6C4B"/>
    <w:rsid w:val="008001A0"/>
    <w:rsid w:val="00800896"/>
    <w:rsid w:val="008044A0"/>
    <w:rsid w:val="0081421C"/>
    <w:rsid w:val="00827490"/>
    <w:rsid w:val="00830342"/>
    <w:rsid w:val="00834020"/>
    <w:rsid w:val="008347AE"/>
    <w:rsid w:val="0083525D"/>
    <w:rsid w:val="00835C28"/>
    <w:rsid w:val="00841626"/>
    <w:rsid w:val="0085038D"/>
    <w:rsid w:val="00854636"/>
    <w:rsid w:val="00855646"/>
    <w:rsid w:val="00862ACF"/>
    <w:rsid w:val="00864E71"/>
    <w:rsid w:val="00865E11"/>
    <w:rsid w:val="00866EC9"/>
    <w:rsid w:val="00867524"/>
    <w:rsid w:val="00872787"/>
    <w:rsid w:val="00873337"/>
    <w:rsid w:val="00877277"/>
    <w:rsid w:val="00880D54"/>
    <w:rsid w:val="0088129C"/>
    <w:rsid w:val="0089166B"/>
    <w:rsid w:val="00893114"/>
    <w:rsid w:val="0089434A"/>
    <w:rsid w:val="008A12B4"/>
    <w:rsid w:val="008B0227"/>
    <w:rsid w:val="008B07B8"/>
    <w:rsid w:val="008B2711"/>
    <w:rsid w:val="008C65D8"/>
    <w:rsid w:val="008E2982"/>
    <w:rsid w:val="008E5593"/>
    <w:rsid w:val="008E5F39"/>
    <w:rsid w:val="008F1AA5"/>
    <w:rsid w:val="008F3469"/>
    <w:rsid w:val="008F61D7"/>
    <w:rsid w:val="00901BCA"/>
    <w:rsid w:val="00902C4D"/>
    <w:rsid w:val="00903A47"/>
    <w:rsid w:val="009068A8"/>
    <w:rsid w:val="00907E82"/>
    <w:rsid w:val="009147B2"/>
    <w:rsid w:val="00915E54"/>
    <w:rsid w:val="009165EC"/>
    <w:rsid w:val="0091732B"/>
    <w:rsid w:val="00920822"/>
    <w:rsid w:val="00920B24"/>
    <w:rsid w:val="00922010"/>
    <w:rsid w:val="00922B7B"/>
    <w:rsid w:val="009241DB"/>
    <w:rsid w:val="00926989"/>
    <w:rsid w:val="00927736"/>
    <w:rsid w:val="00930F44"/>
    <w:rsid w:val="00932159"/>
    <w:rsid w:val="00935CC4"/>
    <w:rsid w:val="00936327"/>
    <w:rsid w:val="009408C4"/>
    <w:rsid w:val="009423DD"/>
    <w:rsid w:val="00944120"/>
    <w:rsid w:val="00944C17"/>
    <w:rsid w:val="00946679"/>
    <w:rsid w:val="00946FD0"/>
    <w:rsid w:val="00955820"/>
    <w:rsid w:val="00956363"/>
    <w:rsid w:val="0095719F"/>
    <w:rsid w:val="009574B0"/>
    <w:rsid w:val="009635BB"/>
    <w:rsid w:val="00965559"/>
    <w:rsid w:val="00965D19"/>
    <w:rsid w:val="00967E95"/>
    <w:rsid w:val="0097497F"/>
    <w:rsid w:val="00976D0E"/>
    <w:rsid w:val="009777E7"/>
    <w:rsid w:val="009911F9"/>
    <w:rsid w:val="009951B2"/>
    <w:rsid w:val="009A0FCF"/>
    <w:rsid w:val="009A4601"/>
    <w:rsid w:val="009A6BC0"/>
    <w:rsid w:val="009A6F09"/>
    <w:rsid w:val="009B2B7B"/>
    <w:rsid w:val="009B383B"/>
    <w:rsid w:val="009B44BE"/>
    <w:rsid w:val="009C06B0"/>
    <w:rsid w:val="009C21EE"/>
    <w:rsid w:val="009C7B59"/>
    <w:rsid w:val="009D2087"/>
    <w:rsid w:val="009D22E1"/>
    <w:rsid w:val="009D58A7"/>
    <w:rsid w:val="009D59D1"/>
    <w:rsid w:val="009D6323"/>
    <w:rsid w:val="009E16B9"/>
    <w:rsid w:val="009E1FC1"/>
    <w:rsid w:val="009E4F66"/>
    <w:rsid w:val="009F29CC"/>
    <w:rsid w:val="009F2B41"/>
    <w:rsid w:val="009F7022"/>
    <w:rsid w:val="00A008CC"/>
    <w:rsid w:val="00A11BE8"/>
    <w:rsid w:val="00A1593C"/>
    <w:rsid w:val="00A25A27"/>
    <w:rsid w:val="00A309D9"/>
    <w:rsid w:val="00A31249"/>
    <w:rsid w:val="00A32F04"/>
    <w:rsid w:val="00A355D5"/>
    <w:rsid w:val="00A35A3B"/>
    <w:rsid w:val="00A429BE"/>
    <w:rsid w:val="00A42F20"/>
    <w:rsid w:val="00A43401"/>
    <w:rsid w:val="00A45E9B"/>
    <w:rsid w:val="00A55286"/>
    <w:rsid w:val="00A55C95"/>
    <w:rsid w:val="00A56A72"/>
    <w:rsid w:val="00A601C4"/>
    <w:rsid w:val="00A66C80"/>
    <w:rsid w:val="00A751BD"/>
    <w:rsid w:val="00A76C5B"/>
    <w:rsid w:val="00A76D8D"/>
    <w:rsid w:val="00A779C3"/>
    <w:rsid w:val="00A803E3"/>
    <w:rsid w:val="00A8070B"/>
    <w:rsid w:val="00A832D6"/>
    <w:rsid w:val="00A8357A"/>
    <w:rsid w:val="00A8622E"/>
    <w:rsid w:val="00A91C30"/>
    <w:rsid w:val="00A95C24"/>
    <w:rsid w:val="00AA2460"/>
    <w:rsid w:val="00AA4DA3"/>
    <w:rsid w:val="00AA615D"/>
    <w:rsid w:val="00AB086B"/>
    <w:rsid w:val="00AB0976"/>
    <w:rsid w:val="00AB2C5D"/>
    <w:rsid w:val="00AC0322"/>
    <w:rsid w:val="00AC63F9"/>
    <w:rsid w:val="00AC73CB"/>
    <w:rsid w:val="00AD47FE"/>
    <w:rsid w:val="00AD5B3A"/>
    <w:rsid w:val="00AE0928"/>
    <w:rsid w:val="00AE7306"/>
    <w:rsid w:val="00AE757C"/>
    <w:rsid w:val="00AE75D6"/>
    <w:rsid w:val="00AF3DE2"/>
    <w:rsid w:val="00AF4105"/>
    <w:rsid w:val="00AF54E0"/>
    <w:rsid w:val="00AF7233"/>
    <w:rsid w:val="00AF76F1"/>
    <w:rsid w:val="00B014D1"/>
    <w:rsid w:val="00B03674"/>
    <w:rsid w:val="00B13956"/>
    <w:rsid w:val="00B15C5C"/>
    <w:rsid w:val="00B203BF"/>
    <w:rsid w:val="00B23D74"/>
    <w:rsid w:val="00B27868"/>
    <w:rsid w:val="00B27C95"/>
    <w:rsid w:val="00B30316"/>
    <w:rsid w:val="00B32AB8"/>
    <w:rsid w:val="00B34E7E"/>
    <w:rsid w:val="00B35543"/>
    <w:rsid w:val="00B370AB"/>
    <w:rsid w:val="00B37D9D"/>
    <w:rsid w:val="00B40B9A"/>
    <w:rsid w:val="00B4241B"/>
    <w:rsid w:val="00B51199"/>
    <w:rsid w:val="00B54560"/>
    <w:rsid w:val="00B55D5D"/>
    <w:rsid w:val="00B6091E"/>
    <w:rsid w:val="00B62154"/>
    <w:rsid w:val="00B715BC"/>
    <w:rsid w:val="00B75259"/>
    <w:rsid w:val="00B77ABE"/>
    <w:rsid w:val="00B8148E"/>
    <w:rsid w:val="00B823A0"/>
    <w:rsid w:val="00B85614"/>
    <w:rsid w:val="00B9134C"/>
    <w:rsid w:val="00B93207"/>
    <w:rsid w:val="00BA0DFC"/>
    <w:rsid w:val="00BA2939"/>
    <w:rsid w:val="00BA3C7C"/>
    <w:rsid w:val="00BA72F0"/>
    <w:rsid w:val="00BB3877"/>
    <w:rsid w:val="00BB6B55"/>
    <w:rsid w:val="00BC5229"/>
    <w:rsid w:val="00BC7552"/>
    <w:rsid w:val="00BD1379"/>
    <w:rsid w:val="00BD32D8"/>
    <w:rsid w:val="00BD7B6E"/>
    <w:rsid w:val="00BE54F5"/>
    <w:rsid w:val="00BE5D6E"/>
    <w:rsid w:val="00BF5955"/>
    <w:rsid w:val="00C0044D"/>
    <w:rsid w:val="00C138B9"/>
    <w:rsid w:val="00C142DE"/>
    <w:rsid w:val="00C17460"/>
    <w:rsid w:val="00C203C4"/>
    <w:rsid w:val="00C20AE5"/>
    <w:rsid w:val="00C21939"/>
    <w:rsid w:val="00C2195F"/>
    <w:rsid w:val="00C2605D"/>
    <w:rsid w:val="00C27163"/>
    <w:rsid w:val="00C34E37"/>
    <w:rsid w:val="00C36EAF"/>
    <w:rsid w:val="00C40067"/>
    <w:rsid w:val="00C421C6"/>
    <w:rsid w:val="00C424AE"/>
    <w:rsid w:val="00C51473"/>
    <w:rsid w:val="00C57A15"/>
    <w:rsid w:val="00C64937"/>
    <w:rsid w:val="00C66FD4"/>
    <w:rsid w:val="00C81C15"/>
    <w:rsid w:val="00C84FA7"/>
    <w:rsid w:val="00C902FA"/>
    <w:rsid w:val="00C94399"/>
    <w:rsid w:val="00C967EF"/>
    <w:rsid w:val="00CA1296"/>
    <w:rsid w:val="00CA3E47"/>
    <w:rsid w:val="00CA454D"/>
    <w:rsid w:val="00CA7688"/>
    <w:rsid w:val="00CB3C30"/>
    <w:rsid w:val="00CB4C33"/>
    <w:rsid w:val="00CC02EB"/>
    <w:rsid w:val="00CD509D"/>
    <w:rsid w:val="00CE3A1E"/>
    <w:rsid w:val="00CE7076"/>
    <w:rsid w:val="00CF04C9"/>
    <w:rsid w:val="00CF2577"/>
    <w:rsid w:val="00D01E97"/>
    <w:rsid w:val="00D0297D"/>
    <w:rsid w:val="00D12AB8"/>
    <w:rsid w:val="00D1478F"/>
    <w:rsid w:val="00D14C8A"/>
    <w:rsid w:val="00D233CC"/>
    <w:rsid w:val="00D23FF7"/>
    <w:rsid w:val="00D25A13"/>
    <w:rsid w:val="00D25D7F"/>
    <w:rsid w:val="00D34494"/>
    <w:rsid w:val="00D36298"/>
    <w:rsid w:val="00D51943"/>
    <w:rsid w:val="00D524A6"/>
    <w:rsid w:val="00D643B5"/>
    <w:rsid w:val="00D65673"/>
    <w:rsid w:val="00D75F2E"/>
    <w:rsid w:val="00D84B2D"/>
    <w:rsid w:val="00D865CF"/>
    <w:rsid w:val="00D86C06"/>
    <w:rsid w:val="00D97683"/>
    <w:rsid w:val="00DA0623"/>
    <w:rsid w:val="00DA43F3"/>
    <w:rsid w:val="00DA4AE0"/>
    <w:rsid w:val="00DB1D92"/>
    <w:rsid w:val="00DB415A"/>
    <w:rsid w:val="00DB6985"/>
    <w:rsid w:val="00DB7D3D"/>
    <w:rsid w:val="00DC0BC9"/>
    <w:rsid w:val="00DC1BE7"/>
    <w:rsid w:val="00DC2084"/>
    <w:rsid w:val="00DC4CDD"/>
    <w:rsid w:val="00DD33AE"/>
    <w:rsid w:val="00DD5734"/>
    <w:rsid w:val="00DD6BA6"/>
    <w:rsid w:val="00DE29F6"/>
    <w:rsid w:val="00DE2CCD"/>
    <w:rsid w:val="00DE44F6"/>
    <w:rsid w:val="00DE4695"/>
    <w:rsid w:val="00DE5C2D"/>
    <w:rsid w:val="00DE6657"/>
    <w:rsid w:val="00DF1E35"/>
    <w:rsid w:val="00DF3949"/>
    <w:rsid w:val="00DF5570"/>
    <w:rsid w:val="00E00003"/>
    <w:rsid w:val="00E018B4"/>
    <w:rsid w:val="00E03662"/>
    <w:rsid w:val="00E06CF9"/>
    <w:rsid w:val="00E07A12"/>
    <w:rsid w:val="00E10CE2"/>
    <w:rsid w:val="00E116BC"/>
    <w:rsid w:val="00E11783"/>
    <w:rsid w:val="00E13EBC"/>
    <w:rsid w:val="00E14A59"/>
    <w:rsid w:val="00E17268"/>
    <w:rsid w:val="00E279D5"/>
    <w:rsid w:val="00E35BC1"/>
    <w:rsid w:val="00E403C1"/>
    <w:rsid w:val="00E43733"/>
    <w:rsid w:val="00E50DF3"/>
    <w:rsid w:val="00E575D9"/>
    <w:rsid w:val="00E643C0"/>
    <w:rsid w:val="00E73C8B"/>
    <w:rsid w:val="00E778E5"/>
    <w:rsid w:val="00E80102"/>
    <w:rsid w:val="00E8654D"/>
    <w:rsid w:val="00E875D7"/>
    <w:rsid w:val="00EA2FD7"/>
    <w:rsid w:val="00EB025D"/>
    <w:rsid w:val="00EB233F"/>
    <w:rsid w:val="00EC53CF"/>
    <w:rsid w:val="00EC5D5F"/>
    <w:rsid w:val="00EC7499"/>
    <w:rsid w:val="00ED190D"/>
    <w:rsid w:val="00ED3F6E"/>
    <w:rsid w:val="00ED60A4"/>
    <w:rsid w:val="00ED6E49"/>
    <w:rsid w:val="00ED7CBC"/>
    <w:rsid w:val="00ED7FF0"/>
    <w:rsid w:val="00EE0614"/>
    <w:rsid w:val="00EF2992"/>
    <w:rsid w:val="00EF438D"/>
    <w:rsid w:val="00F026E4"/>
    <w:rsid w:val="00F042EC"/>
    <w:rsid w:val="00F04505"/>
    <w:rsid w:val="00F20E67"/>
    <w:rsid w:val="00F221EF"/>
    <w:rsid w:val="00F2389D"/>
    <w:rsid w:val="00F2699C"/>
    <w:rsid w:val="00F275E8"/>
    <w:rsid w:val="00F30C96"/>
    <w:rsid w:val="00F3232F"/>
    <w:rsid w:val="00F42641"/>
    <w:rsid w:val="00F45D03"/>
    <w:rsid w:val="00F51761"/>
    <w:rsid w:val="00F53EDA"/>
    <w:rsid w:val="00F61642"/>
    <w:rsid w:val="00F627BE"/>
    <w:rsid w:val="00F647BF"/>
    <w:rsid w:val="00F64ED2"/>
    <w:rsid w:val="00F6638E"/>
    <w:rsid w:val="00F7081E"/>
    <w:rsid w:val="00F73168"/>
    <w:rsid w:val="00F733B7"/>
    <w:rsid w:val="00F836E1"/>
    <w:rsid w:val="00F90D1D"/>
    <w:rsid w:val="00F92161"/>
    <w:rsid w:val="00F93BDD"/>
    <w:rsid w:val="00F9768B"/>
    <w:rsid w:val="00FA1AE6"/>
    <w:rsid w:val="00FA3E77"/>
    <w:rsid w:val="00FA5486"/>
    <w:rsid w:val="00FA6957"/>
    <w:rsid w:val="00FB40C6"/>
    <w:rsid w:val="00FB620D"/>
    <w:rsid w:val="00FC0577"/>
    <w:rsid w:val="00FC698A"/>
    <w:rsid w:val="00FD061A"/>
    <w:rsid w:val="00FD4013"/>
    <w:rsid w:val="00FE3B0C"/>
    <w:rsid w:val="00FE3E14"/>
    <w:rsid w:val="00FE5DD6"/>
    <w:rsid w:val="00FE7628"/>
    <w:rsid w:val="00FF1177"/>
    <w:rsid w:val="00FF3A8E"/>
    <w:rsid w:val="00FF3C93"/>
    <w:rsid w:val="043451BC"/>
    <w:rsid w:val="045B0C31"/>
    <w:rsid w:val="0C3F1BD1"/>
    <w:rsid w:val="0CC442C6"/>
    <w:rsid w:val="123639F0"/>
    <w:rsid w:val="13E13DDF"/>
    <w:rsid w:val="163F4B3A"/>
    <w:rsid w:val="16F56543"/>
    <w:rsid w:val="177F1919"/>
    <w:rsid w:val="184716FF"/>
    <w:rsid w:val="188D5CB2"/>
    <w:rsid w:val="198033AB"/>
    <w:rsid w:val="1A2C027D"/>
    <w:rsid w:val="1D15077D"/>
    <w:rsid w:val="224F3F94"/>
    <w:rsid w:val="28A96F49"/>
    <w:rsid w:val="28F4613D"/>
    <w:rsid w:val="293A46B3"/>
    <w:rsid w:val="2A28047C"/>
    <w:rsid w:val="2DFD7B3F"/>
    <w:rsid w:val="2F9F2191"/>
    <w:rsid w:val="2FFD0E93"/>
    <w:rsid w:val="33037AA9"/>
    <w:rsid w:val="333A197F"/>
    <w:rsid w:val="35EF3825"/>
    <w:rsid w:val="37635EED"/>
    <w:rsid w:val="38D26A82"/>
    <w:rsid w:val="390037A2"/>
    <w:rsid w:val="3AD82C28"/>
    <w:rsid w:val="3E292915"/>
    <w:rsid w:val="3ED77313"/>
    <w:rsid w:val="40486C5A"/>
    <w:rsid w:val="4136428A"/>
    <w:rsid w:val="484C07B1"/>
    <w:rsid w:val="4DB76A0C"/>
    <w:rsid w:val="4F391107"/>
    <w:rsid w:val="4FFC0D0F"/>
    <w:rsid w:val="56C7506B"/>
    <w:rsid w:val="5B021EDD"/>
    <w:rsid w:val="66E43C17"/>
    <w:rsid w:val="68465A22"/>
    <w:rsid w:val="6E200CBB"/>
    <w:rsid w:val="71BD5CFE"/>
    <w:rsid w:val="73BB4D8B"/>
    <w:rsid w:val="73CA7234"/>
    <w:rsid w:val="7E3742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rFonts w:cs="Times New Roman"/>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8">
    <w:name w:val="Subtitle"/>
    <w:basedOn w:val="1"/>
    <w:next w:val="1"/>
    <w:link w:val="18"/>
    <w:qFormat/>
    <w:uiPriority w:val="0"/>
    <w:pPr>
      <w:spacing w:before="240" w:after="60" w:line="312" w:lineRule="auto"/>
      <w:jc w:val="center"/>
      <w:outlineLvl w:val="1"/>
    </w:pPr>
    <w:rPr>
      <w:rFonts w:ascii="Cambria" w:hAnsi="Cambria" w:cs="Times New Roman"/>
      <w:b/>
      <w:bCs/>
      <w:kern w:val="28"/>
      <w:sz w:val="32"/>
      <w:szCs w:val="32"/>
    </w:rPr>
  </w:style>
  <w:style w:type="paragraph" w:styleId="9">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FF"/>
      <w:u w:val="single"/>
    </w:rPr>
  </w:style>
  <w:style w:type="character" w:customStyle="1" w:styleId="14">
    <w:name w:val="标题 1 Char"/>
    <w:link w:val="2"/>
    <w:qFormat/>
    <w:uiPriority w:val="9"/>
    <w:rPr>
      <w:rFonts w:ascii="Calibri" w:hAnsi="Calibri" w:eastAsia="宋体" w:cs="Times New Roman"/>
      <w:b/>
      <w:bCs/>
      <w:kern w:val="44"/>
      <w:sz w:val="44"/>
      <w:szCs w:val="44"/>
    </w:rPr>
  </w:style>
  <w:style w:type="character" w:customStyle="1" w:styleId="15">
    <w:name w:val="批注框文本 Char"/>
    <w:link w:val="5"/>
    <w:qFormat/>
    <w:uiPriority w:val="0"/>
    <w:rPr>
      <w:kern w:val="2"/>
      <w:sz w:val="18"/>
      <w:szCs w:val="18"/>
    </w:rPr>
  </w:style>
  <w:style w:type="character" w:customStyle="1" w:styleId="16">
    <w:name w:val="页脚 Char"/>
    <w:link w:val="6"/>
    <w:qFormat/>
    <w:uiPriority w:val="0"/>
    <w:rPr>
      <w:kern w:val="2"/>
      <w:sz w:val="18"/>
      <w:szCs w:val="18"/>
    </w:rPr>
  </w:style>
  <w:style w:type="character" w:customStyle="1" w:styleId="17">
    <w:name w:val="页眉 Char"/>
    <w:link w:val="7"/>
    <w:qFormat/>
    <w:uiPriority w:val="0"/>
    <w:rPr>
      <w:kern w:val="2"/>
      <w:sz w:val="18"/>
      <w:szCs w:val="18"/>
    </w:rPr>
  </w:style>
  <w:style w:type="character" w:customStyle="1" w:styleId="18">
    <w:name w:val="副标题 Char"/>
    <w:link w:val="8"/>
    <w:qFormat/>
    <w:uiPriority w:val="0"/>
    <w:rPr>
      <w:rFonts w:ascii="Cambria" w:hAnsi="Cambria" w:cs="Times New Roman"/>
      <w:b/>
      <w:bCs/>
      <w:kern w:val="28"/>
      <w:sz w:val="32"/>
      <w:szCs w:val="32"/>
    </w:rPr>
  </w:style>
  <w:style w:type="character" w:customStyle="1" w:styleId="19">
    <w:name w:val="HTML 预设格式 字符"/>
    <w:link w:val="9"/>
    <w:qFormat/>
    <w:uiPriority w:val="99"/>
    <w:rPr>
      <w:rFonts w:ascii="宋体" w:hAnsi="宋体" w:cs="宋体"/>
      <w:sz w:val="24"/>
      <w:szCs w:val="24"/>
    </w:rPr>
  </w:style>
  <w:style w:type="character" w:customStyle="1" w:styleId="20">
    <w:name w:val="fontstyle21"/>
    <w:qFormat/>
    <w:uiPriority w:val="0"/>
    <w:rPr>
      <w:rFonts w:hint="default" w:ascii="Times New Roman" w:hAnsi="Times New Roman" w:cs="Times New Roman"/>
      <w:color w:val="000000"/>
      <w:sz w:val="22"/>
      <w:szCs w:val="22"/>
    </w:rPr>
  </w:style>
  <w:style w:type="character" w:customStyle="1" w:styleId="21">
    <w:name w:val="fontstyle01"/>
    <w:qFormat/>
    <w:uiPriority w:val="0"/>
    <w:rPr>
      <w:rFonts w:hint="eastAsia" w:ascii="宋体" w:hAnsi="宋体" w:eastAsia="宋体"/>
      <w:color w:val="000000"/>
      <w:sz w:val="22"/>
      <w:szCs w:val="22"/>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23">
    <w:name w:val="List Paragraph"/>
    <w:basedOn w:val="1"/>
    <w:qFormat/>
    <w:uiPriority w:val="34"/>
    <w:pPr>
      <w:ind w:firstLine="420" w:firstLineChars="200"/>
    </w:pPr>
    <w:rPr>
      <w:rFonts w:ascii="Calibri" w:hAnsi="Calibri" w:eastAsia="宋体" w:cs="Times New Roman"/>
      <w:sz w:val="24"/>
    </w:rPr>
  </w:style>
  <w:style w:type="paragraph" w:customStyle="1" w:styleId="24">
    <w:name w:val="_Style 1"/>
    <w:basedOn w:val="1"/>
    <w:qFormat/>
    <w:uiPriority w:val="72"/>
    <w:pPr>
      <w:ind w:firstLine="420" w:firstLineChars="200"/>
    </w:pPr>
  </w:style>
  <w:style w:type="character" w:customStyle="1" w:styleId="25">
    <w:name w:val="页脚 字符"/>
    <w:basedOn w:val="12"/>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Templates\SSEReport.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SSEReport.dotm</Template>
  <Pages>3</Pages>
  <Words>1829</Words>
  <Characters>1883</Characters>
  <Lines>18</Lines>
  <Paragraphs>5</Paragraphs>
  <TotalTime>99</TotalTime>
  <ScaleCrop>false</ScaleCrop>
  <LinksUpToDate>false</LinksUpToDate>
  <CharactersWithSpaces>1939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2017-12-29T10:15:00Z</dcterms:created>
  <dc:creator>Administrator.BU97Y153KSSG48Q</dc:creator>
  <cp:lastModifiedBy>仙女不讲李</cp:lastModifiedBy>
  <cp:lastPrinted>2017-12-29T10:22:00Z</cp:lastPrinted>
  <dcterms:modified xsi:type="dcterms:W3CDTF">2026-07-28T07:20:10Z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eyJoZGlkIjoiZWJiMjYyOTQyMWMzZWY1MGY3OTkyZWNjNDFkNTdlYjEiLCJ1c2VySWQiOiIxMDA1NjIxOTI4In0=</vt:lpwstr>
  </property>
  <property fmtid="{D5CDD505-2E9C-101B-9397-08002B2CF9AE}" pid="4" name="ICV">
    <vt:lpwstr>4C64111F4D9A45D0BB1198E670807797_13</vt:lpwstr>
  </property>
</Properties>
</file>