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D7AB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center"/>
        <w:textAlignment w:val="auto"/>
        <w:rPr>
          <w:rFonts w:hint="eastAsia" w:ascii="Times New Roman" w:hAnsi="Times New Roman" w:eastAsia="华文楷体"/>
          <w:b/>
          <w:bCs/>
          <w:iCs/>
          <w:color w:val="000000"/>
          <w:sz w:val="24"/>
          <w:lang w:val="en-US" w:eastAsia="zh-CN"/>
        </w:rPr>
      </w:pPr>
      <w:r>
        <w:rPr>
          <w:rFonts w:ascii="Times New Roman" w:hAnsi="Times New Roman" w:eastAsia="华文楷体"/>
          <w:bCs/>
          <w:iCs/>
          <w:color w:val="000000"/>
          <w:sz w:val="24"/>
        </w:rPr>
        <w:t>证券代码：</w:t>
      </w:r>
      <w:r>
        <w:rPr>
          <w:rFonts w:hint="eastAsia" w:ascii="Times New Roman" w:hAnsi="Times New Roman" w:eastAsia="华文楷体"/>
          <w:bCs/>
          <w:iCs/>
          <w:color w:val="000000"/>
          <w:sz w:val="24"/>
          <w:lang w:val="en-US" w:eastAsia="zh-CN"/>
        </w:rPr>
        <w:t>603092</w:t>
      </w:r>
      <w:r>
        <w:rPr>
          <w:rFonts w:ascii="Times New Roman" w:hAnsi="Times New Roman" w:eastAsia="华文楷体"/>
          <w:bCs/>
          <w:iCs/>
          <w:color w:val="000000"/>
          <w:sz w:val="24"/>
        </w:rPr>
        <w:t xml:space="preserve">    </w:t>
      </w:r>
      <w:r>
        <w:rPr>
          <w:rFonts w:hint="eastAsia" w:ascii="Times New Roman" w:hAnsi="Times New Roman" w:eastAsia="华文楷体"/>
          <w:bCs/>
          <w:iCs/>
          <w:color w:val="000000"/>
          <w:sz w:val="24"/>
          <w:lang w:val="en-US" w:eastAsia="zh-CN"/>
        </w:rPr>
        <w:t xml:space="preserve">               </w:t>
      </w:r>
      <w:r>
        <w:rPr>
          <w:rFonts w:ascii="Times New Roman" w:hAnsi="Times New Roman" w:eastAsia="华文楷体"/>
          <w:bCs/>
          <w:iCs/>
          <w:color w:val="000000"/>
          <w:sz w:val="24"/>
        </w:rPr>
        <w:t xml:space="preserve"> </w:t>
      </w:r>
      <w:r>
        <w:rPr>
          <w:rFonts w:hint="eastAsia" w:ascii="Times New Roman" w:hAnsi="Times New Roman" w:eastAsia="华文楷体"/>
          <w:bCs/>
          <w:iCs/>
          <w:color w:val="000000"/>
          <w:sz w:val="24"/>
          <w:lang w:val="en-US" w:eastAsia="zh-CN"/>
        </w:rPr>
        <w:t xml:space="preserve"> </w:t>
      </w:r>
      <w:r>
        <w:rPr>
          <w:rFonts w:ascii="Times New Roman" w:hAnsi="Times New Roman" w:eastAsia="华文楷体"/>
          <w:bCs/>
          <w:iCs/>
          <w:color w:val="000000"/>
          <w:sz w:val="24"/>
        </w:rPr>
        <w:t xml:space="preserve">                证券简称：</w:t>
      </w:r>
      <w:r>
        <w:rPr>
          <w:rFonts w:hint="eastAsia" w:ascii="Times New Roman" w:hAnsi="Times New Roman" w:eastAsia="华文楷体"/>
          <w:bCs/>
          <w:iCs/>
          <w:color w:val="000000"/>
          <w:sz w:val="24"/>
          <w:lang w:val="en-US" w:eastAsia="zh-CN"/>
        </w:rPr>
        <w:t>德力佳</w:t>
      </w:r>
    </w:p>
    <w:p w14:paraId="4194B459">
      <w:pPr>
        <w:ind w:firstLine="482"/>
        <w:jc w:val="center"/>
        <w:rPr>
          <w:rFonts w:ascii="Times New Roman" w:hAnsi="Times New Roman" w:eastAsia="华文楷体"/>
          <w:b/>
          <w:bCs/>
          <w:iCs/>
          <w:color w:val="000000"/>
          <w:sz w:val="24"/>
        </w:rPr>
      </w:pPr>
    </w:p>
    <w:p w14:paraId="27F2C342">
      <w:pPr>
        <w:ind w:firstLine="482"/>
        <w:jc w:val="center"/>
        <w:rPr>
          <w:rFonts w:ascii="Times New Roman" w:hAnsi="Times New Roman" w:eastAsia="华文楷体"/>
          <w:b/>
          <w:bCs/>
          <w:iCs/>
          <w:color w:val="000000"/>
          <w:sz w:val="32"/>
        </w:rPr>
      </w:pPr>
      <w:r>
        <w:rPr>
          <w:rFonts w:hint="eastAsia" w:ascii="Times New Roman" w:hAnsi="Times New Roman" w:eastAsia="华文楷体"/>
          <w:b/>
          <w:bCs/>
          <w:iCs/>
          <w:color w:val="000000"/>
          <w:sz w:val="32"/>
          <w:lang w:val="en-US" w:eastAsia="zh-CN"/>
        </w:rPr>
        <w:t>德力佳传动科技（江苏）</w:t>
      </w:r>
      <w:r>
        <w:rPr>
          <w:rFonts w:ascii="Times New Roman" w:hAnsi="Times New Roman" w:eastAsia="华文楷体"/>
          <w:b/>
          <w:bCs/>
          <w:iCs/>
          <w:color w:val="000000"/>
          <w:sz w:val="32"/>
        </w:rPr>
        <w:t>股份有限公司</w:t>
      </w:r>
    </w:p>
    <w:p w14:paraId="582B3917">
      <w:pPr>
        <w:ind w:firstLine="482"/>
        <w:jc w:val="center"/>
        <w:rPr>
          <w:rFonts w:ascii="Times New Roman" w:hAnsi="Times New Roman" w:eastAsia="华文楷体"/>
          <w:b/>
          <w:bCs/>
          <w:iCs/>
          <w:color w:val="000000"/>
          <w:sz w:val="32"/>
        </w:rPr>
      </w:pPr>
      <w:r>
        <w:rPr>
          <w:rFonts w:ascii="Times New Roman" w:hAnsi="Times New Roman" w:eastAsia="华文楷体"/>
          <w:b/>
          <w:bCs/>
          <w:iCs/>
          <w:color w:val="000000"/>
          <w:sz w:val="32"/>
        </w:rPr>
        <w:t>投资者关系活动记录表</w:t>
      </w:r>
    </w:p>
    <w:p w14:paraId="16EDFD3F">
      <w:pPr>
        <w:spacing w:line="400" w:lineRule="exact"/>
        <w:ind w:firstLine="480"/>
        <w:rPr>
          <w:rFonts w:hint="default" w:ascii="Times New Roman" w:hAnsi="Times New Roman" w:eastAsia="华文楷体"/>
          <w:bCs/>
          <w:iCs/>
          <w:color w:val="000000"/>
          <w:sz w:val="24"/>
          <w:lang w:val="en-US" w:eastAsia="zh-CN"/>
        </w:rPr>
      </w:pPr>
      <w:r>
        <w:rPr>
          <w:rFonts w:ascii="Times New Roman" w:hAnsi="Times New Roman" w:eastAsia="华文楷体"/>
          <w:bCs/>
          <w:iCs/>
          <w:color w:val="000000"/>
          <w:sz w:val="24"/>
        </w:rPr>
        <w:t xml:space="preserve">                                                    编号：</w:t>
      </w:r>
      <w:r>
        <w:rPr>
          <w:rFonts w:hint="eastAsia" w:ascii="Times New Roman" w:hAnsi="Times New Roman" w:eastAsia="华文楷体"/>
          <w:bCs/>
          <w:iCs/>
          <w:color w:val="000000"/>
          <w:sz w:val="24"/>
          <w:lang w:val="en-US" w:eastAsia="zh-CN"/>
        </w:rPr>
        <w:t>2026-005</w:t>
      </w:r>
    </w:p>
    <w:tbl>
      <w:tblPr>
        <w:tblStyle w:val="4"/>
        <w:tblW w:w="0" w:type="auto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8"/>
        <w:gridCol w:w="6614"/>
      </w:tblGrid>
      <w:tr w14:paraId="08E9B49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08" w:type="dxa"/>
            <w:tcBorders>
              <w:tl2br w:val="nil"/>
              <w:tr2bl w:val="nil"/>
            </w:tcBorders>
            <w:vAlign w:val="center"/>
          </w:tcPr>
          <w:p w14:paraId="1F00D7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both"/>
              <w:textAlignment w:val="auto"/>
              <w:rPr>
                <w:rFonts w:ascii="Times New Roman" w:hAnsi="Times New Roman" w:eastAsia="华文楷体"/>
                <w:bCs/>
                <w:iCs/>
                <w:color w:val="000000"/>
                <w:sz w:val="24"/>
              </w:rPr>
            </w:pPr>
            <w:r>
              <w:rPr>
                <w:rFonts w:ascii="Times New Roman" w:hAnsi="Times New Roman" w:eastAsia="华文楷体"/>
                <w:bCs/>
                <w:iCs/>
                <w:color w:val="000000"/>
                <w:sz w:val="24"/>
              </w:rPr>
              <w:t>投资者关系活动类别</w:t>
            </w:r>
          </w:p>
          <w:p w14:paraId="5890CF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both"/>
              <w:textAlignment w:val="auto"/>
              <w:rPr>
                <w:rFonts w:ascii="Times New Roman" w:hAnsi="Times New Roman" w:eastAsia="华文楷体"/>
                <w:bCs/>
                <w:iCs/>
                <w:color w:val="000000"/>
                <w:sz w:val="24"/>
              </w:rPr>
            </w:pPr>
          </w:p>
        </w:tc>
        <w:tc>
          <w:tcPr>
            <w:tcW w:w="6614" w:type="dxa"/>
            <w:tcBorders>
              <w:tl2br w:val="nil"/>
              <w:tr2bl w:val="nil"/>
            </w:tcBorders>
          </w:tcPr>
          <w:p w14:paraId="4BAABC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line="360" w:lineRule="auto"/>
              <w:textAlignment w:val="auto"/>
              <w:rPr>
                <w:rFonts w:ascii="Times New Roman" w:hAnsi="Times New Roman" w:eastAsia="华文楷体"/>
                <w:bCs/>
                <w:iCs/>
                <w:color w:val="000000"/>
                <w:sz w:val="24"/>
              </w:rPr>
            </w:pPr>
            <w:r>
              <w:rPr>
                <w:rFonts w:hint="eastAsia" w:ascii="Times New Roman" w:hAnsi="Times New Roman" w:eastAsia="华文楷体"/>
                <w:bCs/>
                <w:iCs/>
                <w:color w:val="000000"/>
                <w:sz w:val="24"/>
                <w:lang w:eastAsia="zh-CN"/>
              </w:rPr>
              <w:t>☑</w:t>
            </w:r>
            <w:r>
              <w:rPr>
                <w:rFonts w:ascii="Times New Roman" w:hAnsi="Times New Roman" w:eastAsia="华文楷体"/>
                <w:sz w:val="24"/>
              </w:rPr>
              <w:t xml:space="preserve">特定对象调研        </w:t>
            </w:r>
            <w:r>
              <w:rPr>
                <w:rFonts w:hint="eastAsia" w:ascii="Times New Roman" w:hAnsi="Times New Roman" w:eastAsia="华文楷体"/>
                <w:bCs/>
                <w:iCs/>
                <w:color w:val="000000"/>
                <w:sz w:val="24"/>
                <w:lang w:eastAsia="zh-CN"/>
              </w:rPr>
              <w:t>☑</w:t>
            </w:r>
            <w:r>
              <w:rPr>
                <w:rFonts w:ascii="Times New Roman" w:hAnsi="Times New Roman" w:eastAsia="华文楷体"/>
                <w:sz w:val="24"/>
              </w:rPr>
              <w:t>分析师会议</w:t>
            </w:r>
          </w:p>
          <w:p w14:paraId="44EEEE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ascii="Times New Roman" w:hAnsi="Times New Roman" w:eastAsia="华文楷体"/>
                <w:bCs/>
                <w:iCs/>
                <w:color w:val="000000"/>
                <w:sz w:val="24"/>
              </w:rPr>
            </w:pPr>
            <w:r>
              <w:rPr>
                <w:rFonts w:hint="eastAsia" w:ascii="Times New Roman" w:hAnsi="Times New Roman" w:eastAsia="华文楷体"/>
                <w:bCs/>
                <w:iCs/>
                <w:color w:val="000000"/>
                <w:sz w:val="24"/>
                <w:lang w:eastAsia="zh-CN"/>
              </w:rPr>
              <w:t>□</w:t>
            </w:r>
            <w:r>
              <w:rPr>
                <w:rFonts w:ascii="Times New Roman" w:hAnsi="Times New Roman" w:eastAsia="华文楷体"/>
                <w:sz w:val="24"/>
              </w:rPr>
              <w:t xml:space="preserve">媒体采访            </w:t>
            </w:r>
            <w:r>
              <w:rPr>
                <w:rFonts w:hint="eastAsia" w:ascii="Times New Roman" w:hAnsi="Times New Roman" w:eastAsia="华文楷体"/>
                <w:bCs/>
                <w:iCs/>
                <w:color w:val="000000"/>
                <w:sz w:val="24"/>
                <w:lang w:eastAsia="zh-CN"/>
              </w:rPr>
              <w:t>□</w:t>
            </w:r>
            <w:r>
              <w:rPr>
                <w:rFonts w:ascii="Times New Roman" w:hAnsi="Times New Roman" w:eastAsia="华文楷体"/>
                <w:sz w:val="24"/>
              </w:rPr>
              <w:t>业绩说明会</w:t>
            </w:r>
          </w:p>
          <w:p w14:paraId="33A6D2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ascii="Times New Roman" w:hAnsi="Times New Roman" w:eastAsia="华文楷体"/>
                <w:bCs/>
                <w:iCs/>
                <w:color w:val="000000"/>
                <w:sz w:val="24"/>
              </w:rPr>
            </w:pPr>
            <w:r>
              <w:rPr>
                <w:rFonts w:hint="eastAsia" w:ascii="Times New Roman" w:hAnsi="Times New Roman" w:eastAsia="华文楷体"/>
                <w:bCs/>
                <w:iCs/>
                <w:color w:val="000000"/>
                <w:sz w:val="24"/>
                <w:lang w:eastAsia="zh-CN"/>
              </w:rPr>
              <w:t>□</w:t>
            </w:r>
            <w:r>
              <w:rPr>
                <w:rFonts w:ascii="Times New Roman" w:hAnsi="Times New Roman" w:eastAsia="华文楷体"/>
                <w:sz w:val="24"/>
              </w:rPr>
              <w:t xml:space="preserve">新闻发布会          </w:t>
            </w:r>
            <w:r>
              <w:rPr>
                <w:rFonts w:hint="eastAsia" w:ascii="Times New Roman" w:hAnsi="Times New Roman" w:eastAsia="华文楷体"/>
                <w:bCs/>
                <w:iCs/>
                <w:color w:val="000000"/>
                <w:sz w:val="24"/>
                <w:lang w:eastAsia="zh-CN"/>
              </w:rPr>
              <w:t>□</w:t>
            </w:r>
            <w:r>
              <w:rPr>
                <w:rFonts w:ascii="Times New Roman" w:hAnsi="Times New Roman" w:eastAsia="华文楷体"/>
                <w:sz w:val="24"/>
              </w:rPr>
              <w:t>路演活动</w:t>
            </w:r>
          </w:p>
          <w:p w14:paraId="53FE2D3F">
            <w:pPr>
              <w:keepNext w:val="0"/>
              <w:keepLines w:val="0"/>
              <w:pageBreakBefore w:val="0"/>
              <w:widowControl w:val="0"/>
              <w:tabs>
                <w:tab w:val="left" w:pos="3045"/>
                <w:tab w:val="center" w:pos="319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ascii="Times New Roman" w:hAnsi="Times New Roman" w:eastAsia="华文楷体"/>
                <w:bCs/>
                <w:iCs/>
                <w:color w:val="000000"/>
                <w:sz w:val="24"/>
              </w:rPr>
            </w:pPr>
            <w:r>
              <w:rPr>
                <w:rFonts w:hint="eastAsia" w:ascii="Times New Roman" w:hAnsi="Times New Roman" w:eastAsia="华文楷体"/>
                <w:bCs/>
                <w:iCs/>
                <w:color w:val="000000"/>
                <w:sz w:val="24"/>
                <w:lang w:eastAsia="zh-CN"/>
              </w:rPr>
              <w:t>☑</w:t>
            </w:r>
            <w:r>
              <w:rPr>
                <w:rFonts w:ascii="Times New Roman" w:hAnsi="Times New Roman" w:eastAsia="华文楷体"/>
                <w:sz w:val="24"/>
              </w:rPr>
              <w:t>现场参观</w:t>
            </w:r>
            <w:r>
              <w:rPr>
                <w:rFonts w:ascii="Times New Roman" w:hAnsi="Times New Roman" w:eastAsia="华文楷体"/>
                <w:bCs/>
                <w:iCs/>
                <w:color w:val="000000"/>
                <w:sz w:val="24"/>
              </w:rPr>
              <w:tab/>
            </w:r>
          </w:p>
          <w:p w14:paraId="3346F5DB">
            <w:pPr>
              <w:keepNext w:val="0"/>
              <w:keepLines w:val="0"/>
              <w:pageBreakBefore w:val="0"/>
              <w:widowControl w:val="0"/>
              <w:tabs>
                <w:tab w:val="center" w:pos="319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ascii="Times New Roman" w:hAnsi="Times New Roman" w:eastAsia="华文楷体"/>
                <w:bCs/>
                <w:iCs/>
                <w:color w:val="000000"/>
                <w:sz w:val="24"/>
              </w:rPr>
            </w:pPr>
            <w:r>
              <w:rPr>
                <w:rFonts w:hint="eastAsia" w:ascii="Times New Roman" w:hAnsi="Times New Roman" w:eastAsia="华文楷体"/>
                <w:bCs/>
                <w:iCs/>
                <w:color w:val="000000"/>
                <w:sz w:val="24"/>
                <w:lang w:eastAsia="zh-CN"/>
              </w:rPr>
              <w:t>□</w:t>
            </w:r>
            <w:r>
              <w:rPr>
                <w:rFonts w:ascii="Times New Roman" w:hAnsi="Times New Roman" w:eastAsia="华文楷体"/>
                <w:sz w:val="24"/>
              </w:rPr>
              <w:t>其他 （</w:t>
            </w:r>
            <w:r>
              <w:rPr>
                <w:rFonts w:ascii="Times New Roman" w:hAnsi="Times New Roman" w:eastAsia="华文楷体"/>
                <w:sz w:val="24"/>
                <w:u w:val="single"/>
              </w:rPr>
              <w:t>请文字说明其他活动内容）</w:t>
            </w:r>
          </w:p>
        </w:tc>
      </w:tr>
      <w:tr w14:paraId="61DA2B0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08" w:type="dxa"/>
            <w:tcBorders>
              <w:tl2br w:val="nil"/>
              <w:tr2bl w:val="nil"/>
            </w:tcBorders>
            <w:vAlign w:val="center"/>
          </w:tcPr>
          <w:p w14:paraId="6FE480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line="360" w:lineRule="auto"/>
              <w:jc w:val="both"/>
              <w:textAlignment w:val="auto"/>
              <w:rPr>
                <w:rFonts w:ascii="Times New Roman" w:hAnsi="Times New Roman" w:eastAsia="华文楷体"/>
                <w:bCs/>
                <w:iCs/>
                <w:color w:val="000000"/>
                <w:sz w:val="24"/>
              </w:rPr>
            </w:pPr>
            <w:r>
              <w:rPr>
                <w:rFonts w:hint="eastAsia" w:ascii="Times New Roman" w:hAnsi="Times New Roman" w:eastAsia="华文楷体"/>
                <w:bCs/>
                <w:iCs/>
                <w:color w:val="000000"/>
                <w:sz w:val="24"/>
              </w:rPr>
              <w:t>参与单位名称及人员姓名</w:t>
            </w:r>
          </w:p>
        </w:tc>
        <w:tc>
          <w:tcPr>
            <w:tcW w:w="6614" w:type="dxa"/>
            <w:tcBorders>
              <w:tl2br w:val="nil"/>
              <w:tr2bl w:val="nil"/>
            </w:tcBorders>
          </w:tcPr>
          <w:p w14:paraId="139C99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line="360" w:lineRule="auto"/>
              <w:textAlignment w:val="auto"/>
              <w:rPr>
                <w:rFonts w:hint="eastAsia" w:ascii="Times New Roman" w:hAnsi="Times New Roman" w:eastAsia="华文楷体"/>
                <w:bCs/>
                <w:iCs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华文楷体"/>
                <w:bCs/>
                <w:iCs/>
                <w:color w:val="000000"/>
                <w:sz w:val="24"/>
                <w:highlight w:val="none"/>
                <w:lang w:val="en-US" w:eastAsia="zh-CN"/>
              </w:rPr>
              <w:t>东吴证券</w:t>
            </w:r>
            <w:r>
              <w:rPr>
                <w:rFonts w:hint="eastAsia" w:ascii="Times New Roman" w:hAnsi="Times New Roman" w:eastAsia="华文楷体"/>
                <w:bCs/>
                <w:iCs/>
                <w:color w:val="000000"/>
                <w:sz w:val="24"/>
                <w:highlight w:val="none"/>
              </w:rPr>
              <w:t>、</w:t>
            </w:r>
            <w:r>
              <w:rPr>
                <w:rFonts w:hint="eastAsia" w:ascii="Times New Roman" w:hAnsi="Times New Roman" w:eastAsia="华文楷体"/>
                <w:bCs/>
                <w:iCs/>
                <w:color w:val="000000"/>
                <w:sz w:val="24"/>
                <w:highlight w:val="none"/>
                <w:lang w:val="en-US" w:eastAsia="zh-CN"/>
              </w:rPr>
              <w:t>易方达基金</w:t>
            </w:r>
            <w:r>
              <w:rPr>
                <w:rFonts w:hint="eastAsia" w:ascii="Times New Roman" w:hAnsi="Times New Roman" w:eastAsia="华文楷体"/>
                <w:bCs/>
                <w:iCs/>
                <w:color w:val="000000"/>
                <w:sz w:val="24"/>
                <w:highlight w:val="none"/>
              </w:rPr>
              <w:t>、</w:t>
            </w:r>
            <w:r>
              <w:rPr>
                <w:rFonts w:hint="eastAsia" w:ascii="Times New Roman" w:hAnsi="Times New Roman" w:eastAsia="华文楷体"/>
                <w:bCs/>
                <w:iCs/>
                <w:color w:val="000000"/>
                <w:sz w:val="24"/>
                <w:highlight w:val="none"/>
                <w:lang w:val="en-US" w:eastAsia="zh-CN"/>
              </w:rPr>
              <w:t>交银基金</w:t>
            </w:r>
            <w:r>
              <w:rPr>
                <w:rFonts w:hint="eastAsia" w:ascii="Times New Roman" w:hAnsi="Times New Roman" w:eastAsia="华文楷体"/>
                <w:bCs/>
                <w:iCs/>
                <w:color w:val="000000"/>
                <w:sz w:val="24"/>
                <w:highlight w:val="none"/>
              </w:rPr>
              <w:t>、</w:t>
            </w:r>
            <w:r>
              <w:rPr>
                <w:rFonts w:hint="eastAsia" w:ascii="Times New Roman" w:hAnsi="Times New Roman" w:eastAsia="华文楷体"/>
                <w:bCs/>
                <w:iCs/>
                <w:color w:val="000000"/>
                <w:sz w:val="24"/>
                <w:highlight w:val="none"/>
                <w:lang w:val="en-US" w:eastAsia="zh-CN"/>
              </w:rPr>
              <w:t>泰康基金</w:t>
            </w:r>
            <w:r>
              <w:rPr>
                <w:rFonts w:hint="eastAsia" w:ascii="Times New Roman" w:hAnsi="Times New Roman" w:eastAsia="华文楷体"/>
                <w:bCs/>
                <w:iCs/>
                <w:color w:val="000000"/>
                <w:sz w:val="24"/>
                <w:highlight w:val="none"/>
              </w:rPr>
              <w:t>、</w:t>
            </w:r>
            <w:r>
              <w:rPr>
                <w:rFonts w:hint="eastAsia" w:ascii="Times New Roman" w:hAnsi="Times New Roman" w:eastAsia="华文楷体"/>
                <w:bCs/>
                <w:iCs/>
                <w:color w:val="000000"/>
                <w:sz w:val="24"/>
                <w:highlight w:val="none"/>
                <w:lang w:val="en-US" w:eastAsia="zh-CN"/>
              </w:rPr>
              <w:t>华泰证券</w:t>
            </w:r>
            <w:r>
              <w:rPr>
                <w:rFonts w:hint="eastAsia" w:ascii="Times New Roman" w:hAnsi="Times New Roman" w:eastAsia="华文楷体"/>
                <w:bCs/>
                <w:iCs/>
                <w:color w:val="000000"/>
                <w:sz w:val="24"/>
                <w:highlight w:val="none"/>
              </w:rPr>
              <w:t>、</w:t>
            </w:r>
            <w:r>
              <w:rPr>
                <w:rFonts w:hint="eastAsia" w:ascii="Times New Roman" w:hAnsi="Times New Roman" w:eastAsia="华文楷体"/>
                <w:bCs/>
                <w:iCs/>
                <w:color w:val="000000"/>
                <w:sz w:val="24"/>
                <w:highlight w:val="none"/>
                <w:lang w:val="en-US" w:eastAsia="zh-CN"/>
              </w:rPr>
              <w:t>中加基金</w:t>
            </w:r>
            <w:r>
              <w:rPr>
                <w:rFonts w:hint="eastAsia" w:ascii="Times New Roman" w:hAnsi="Times New Roman" w:eastAsia="华文楷体"/>
                <w:bCs/>
                <w:iCs/>
                <w:color w:val="000000"/>
                <w:sz w:val="24"/>
                <w:highlight w:val="none"/>
              </w:rPr>
              <w:t>、</w:t>
            </w:r>
            <w:r>
              <w:rPr>
                <w:rFonts w:hint="eastAsia" w:ascii="Times New Roman" w:hAnsi="Times New Roman" w:eastAsia="华文楷体"/>
                <w:bCs/>
                <w:iCs/>
                <w:color w:val="000000"/>
                <w:sz w:val="24"/>
                <w:highlight w:val="none"/>
                <w:lang w:val="en-US" w:eastAsia="zh-CN"/>
              </w:rPr>
              <w:t>兴业证券</w:t>
            </w:r>
            <w:r>
              <w:rPr>
                <w:rFonts w:hint="eastAsia" w:ascii="Times New Roman" w:hAnsi="Times New Roman" w:eastAsia="华文楷体"/>
                <w:bCs/>
                <w:iCs/>
                <w:color w:val="000000"/>
                <w:sz w:val="24"/>
                <w:highlight w:val="none"/>
              </w:rPr>
              <w:t>、</w:t>
            </w:r>
            <w:r>
              <w:rPr>
                <w:rFonts w:hint="eastAsia" w:ascii="Times New Roman" w:hAnsi="Times New Roman" w:eastAsia="华文楷体"/>
                <w:bCs/>
                <w:iCs/>
                <w:color w:val="000000"/>
                <w:sz w:val="24"/>
                <w:highlight w:val="none"/>
                <w:lang w:val="en-US" w:eastAsia="zh-CN"/>
              </w:rPr>
              <w:t>嘉实基金</w:t>
            </w:r>
          </w:p>
        </w:tc>
      </w:tr>
      <w:tr w14:paraId="5A4D36B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08" w:type="dxa"/>
            <w:tcBorders>
              <w:tl2br w:val="nil"/>
              <w:tr2bl w:val="nil"/>
            </w:tcBorders>
            <w:vAlign w:val="center"/>
          </w:tcPr>
          <w:p w14:paraId="205F62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line="360" w:lineRule="auto"/>
              <w:jc w:val="both"/>
              <w:textAlignment w:val="auto"/>
              <w:rPr>
                <w:rFonts w:ascii="Times New Roman" w:hAnsi="Times New Roman" w:eastAsia="华文楷体"/>
                <w:bCs/>
                <w:iCs/>
                <w:color w:val="000000"/>
                <w:sz w:val="24"/>
              </w:rPr>
            </w:pPr>
            <w:r>
              <w:rPr>
                <w:rFonts w:ascii="Times New Roman" w:hAnsi="Times New Roman" w:eastAsia="华文楷体"/>
                <w:bCs/>
                <w:iCs/>
                <w:color w:val="000000"/>
                <w:sz w:val="24"/>
              </w:rPr>
              <w:t>时间</w:t>
            </w:r>
          </w:p>
        </w:tc>
        <w:tc>
          <w:tcPr>
            <w:tcW w:w="6614" w:type="dxa"/>
            <w:tcBorders>
              <w:tl2br w:val="nil"/>
              <w:tr2bl w:val="nil"/>
            </w:tcBorders>
          </w:tcPr>
          <w:p w14:paraId="5A00DA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line="360" w:lineRule="auto"/>
              <w:textAlignment w:val="auto"/>
              <w:rPr>
                <w:rFonts w:hint="default" w:ascii="Times New Roman" w:hAnsi="Times New Roman" w:eastAsia="宋体"/>
                <w:bCs/>
                <w:iCs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华文楷体"/>
                <w:bCs/>
                <w:iCs/>
                <w:color w:val="000000"/>
                <w:sz w:val="24"/>
                <w:lang w:val="en-US" w:eastAsia="zh-CN"/>
              </w:rPr>
              <w:t>2026年7月</w:t>
            </w:r>
          </w:p>
        </w:tc>
      </w:tr>
      <w:tr w14:paraId="1AEFA19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08" w:type="dxa"/>
            <w:tcBorders>
              <w:tl2br w:val="nil"/>
              <w:tr2bl w:val="nil"/>
            </w:tcBorders>
            <w:vAlign w:val="center"/>
          </w:tcPr>
          <w:p w14:paraId="688CAA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line="360" w:lineRule="auto"/>
              <w:jc w:val="both"/>
              <w:textAlignment w:val="auto"/>
              <w:rPr>
                <w:rFonts w:hint="eastAsia" w:ascii="Times New Roman" w:hAnsi="Times New Roman" w:eastAsia="华文楷体"/>
                <w:bCs/>
                <w:iCs/>
                <w:color w:val="000000"/>
                <w:sz w:val="24"/>
                <w:lang w:eastAsia="zh-CN"/>
              </w:rPr>
            </w:pPr>
            <w:r>
              <w:rPr>
                <w:rFonts w:ascii="Times New Roman" w:hAnsi="Times New Roman" w:eastAsia="华文楷体"/>
                <w:bCs/>
                <w:iCs/>
                <w:color w:val="000000"/>
                <w:sz w:val="24"/>
              </w:rPr>
              <w:t>地点</w:t>
            </w:r>
          </w:p>
        </w:tc>
        <w:tc>
          <w:tcPr>
            <w:tcW w:w="6614" w:type="dxa"/>
            <w:tcBorders>
              <w:tl2br w:val="nil"/>
              <w:tr2bl w:val="nil"/>
            </w:tcBorders>
          </w:tcPr>
          <w:p w14:paraId="173984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line="360" w:lineRule="auto"/>
              <w:textAlignment w:val="auto"/>
              <w:rPr>
                <w:rFonts w:hint="default" w:ascii="Times New Roman" w:hAnsi="Times New Roman" w:eastAsia="华文楷体"/>
                <w:bCs/>
                <w:iCs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华文楷体"/>
                <w:bCs/>
                <w:iCs/>
                <w:color w:val="000000"/>
                <w:sz w:val="24"/>
              </w:rPr>
              <w:t>德力佳传动科技（江苏）股份有限公司会议室、厂区</w:t>
            </w:r>
          </w:p>
        </w:tc>
      </w:tr>
      <w:tr w14:paraId="72D39F0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08" w:type="dxa"/>
            <w:tcBorders>
              <w:tl2br w:val="nil"/>
              <w:tr2bl w:val="nil"/>
            </w:tcBorders>
            <w:vAlign w:val="center"/>
          </w:tcPr>
          <w:p w14:paraId="7A1EEC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line="360" w:lineRule="auto"/>
              <w:jc w:val="both"/>
              <w:textAlignment w:val="auto"/>
              <w:rPr>
                <w:rFonts w:ascii="Times New Roman" w:hAnsi="Times New Roman" w:eastAsia="华文楷体"/>
                <w:bCs/>
                <w:iCs/>
                <w:color w:val="000000"/>
                <w:sz w:val="24"/>
              </w:rPr>
            </w:pPr>
            <w:r>
              <w:rPr>
                <w:rFonts w:hint="eastAsia" w:ascii="Times New Roman" w:hAnsi="Times New Roman" w:eastAsia="华文楷体"/>
                <w:bCs/>
                <w:iCs/>
                <w:color w:val="000000"/>
                <w:sz w:val="24"/>
              </w:rPr>
              <w:t>上市公司接待人员姓名</w:t>
            </w:r>
          </w:p>
        </w:tc>
        <w:tc>
          <w:tcPr>
            <w:tcW w:w="6614" w:type="dxa"/>
            <w:tcBorders>
              <w:tl2br w:val="nil"/>
              <w:tr2bl w:val="nil"/>
            </w:tcBorders>
          </w:tcPr>
          <w:p w14:paraId="199547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line="360" w:lineRule="auto"/>
              <w:textAlignment w:val="auto"/>
              <w:rPr>
                <w:rFonts w:hint="default" w:ascii="Times New Roman" w:hAnsi="Times New Roman" w:eastAsia="华文楷体"/>
                <w:bCs/>
                <w:iCs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华文楷体"/>
                <w:bCs/>
                <w:iCs/>
                <w:color w:val="000000"/>
                <w:sz w:val="24"/>
                <w:lang w:val="en-US" w:eastAsia="zh-CN"/>
              </w:rPr>
              <w:t>董事长、总经理：刘建国</w:t>
            </w:r>
          </w:p>
          <w:p w14:paraId="1082DD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eastAsia" w:ascii="Times New Roman" w:hAnsi="Times New Roman" w:eastAsia="华文楷体"/>
                <w:bCs/>
                <w:iCs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华文楷体"/>
                <w:bCs/>
                <w:iCs/>
                <w:color w:val="000000"/>
                <w:sz w:val="24"/>
                <w:lang w:val="en-US" w:eastAsia="zh-CN"/>
              </w:rPr>
              <w:t>董事会秘书：陈佳海</w:t>
            </w:r>
          </w:p>
          <w:p w14:paraId="659C98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default" w:ascii="Times New Roman" w:hAnsi="Times New Roman" w:eastAsia="华文楷体"/>
                <w:bCs/>
                <w:iCs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华文楷体"/>
                <w:bCs/>
                <w:iCs/>
                <w:color w:val="000000"/>
                <w:sz w:val="24"/>
                <w:lang w:val="en-US" w:eastAsia="zh-CN"/>
              </w:rPr>
              <w:t>证券事务代表：朱灵芝</w:t>
            </w:r>
          </w:p>
        </w:tc>
      </w:tr>
      <w:tr w14:paraId="1BBBE99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908" w:type="dxa"/>
            <w:tcBorders>
              <w:tl2br w:val="nil"/>
              <w:tr2bl w:val="nil"/>
            </w:tcBorders>
            <w:vAlign w:val="center"/>
          </w:tcPr>
          <w:p w14:paraId="57E887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both"/>
              <w:textAlignment w:val="auto"/>
              <w:rPr>
                <w:rFonts w:ascii="Times New Roman" w:hAnsi="Times New Roman" w:eastAsia="华文楷体"/>
                <w:bCs/>
                <w:iCs/>
                <w:color w:val="000000"/>
                <w:sz w:val="24"/>
              </w:rPr>
            </w:pPr>
            <w:r>
              <w:rPr>
                <w:rFonts w:ascii="Times New Roman" w:hAnsi="Times New Roman" w:eastAsia="华文楷体"/>
                <w:bCs/>
                <w:iCs/>
                <w:color w:val="000000"/>
                <w:sz w:val="24"/>
              </w:rPr>
              <w:t>投资者关系活动主要内容介绍</w:t>
            </w:r>
          </w:p>
          <w:p w14:paraId="392D7B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both"/>
              <w:textAlignment w:val="auto"/>
              <w:rPr>
                <w:rFonts w:ascii="Times New Roman" w:hAnsi="Times New Roman" w:eastAsia="华文楷体"/>
                <w:bCs/>
                <w:iCs/>
                <w:color w:val="000000"/>
                <w:sz w:val="24"/>
              </w:rPr>
            </w:pPr>
          </w:p>
        </w:tc>
        <w:tc>
          <w:tcPr>
            <w:tcW w:w="6614" w:type="dxa"/>
            <w:tcBorders>
              <w:tl2br w:val="nil"/>
              <w:tr2bl w:val="nil"/>
            </w:tcBorders>
          </w:tcPr>
          <w:p w14:paraId="78789AB5">
            <w:pPr>
              <w:keepNext w:val="0"/>
              <w:keepLines w:val="0"/>
              <w:pageBreakBefore w:val="0"/>
              <w:widowControl w:val="0"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line="360" w:lineRule="auto"/>
              <w:textAlignment w:val="auto"/>
              <w:rPr>
                <w:rFonts w:hint="eastAsia" w:ascii="Times New Roman" w:hAnsi="Times New Roman" w:eastAsia="华文楷体"/>
                <w:b w:val="0"/>
                <w:bCs/>
                <w:iCs/>
                <w:color w:val="000000"/>
                <w:sz w:val="24"/>
                <w:lang w:val="en-US" w:eastAsia="zh-CN"/>
              </w:rPr>
            </w:pPr>
            <w:bookmarkStart w:id="0" w:name="OLE_LINK6"/>
            <w:bookmarkStart w:id="1" w:name="OLE_LINK1"/>
            <w:r>
              <w:rPr>
                <w:rFonts w:hint="eastAsia" w:ascii="Times New Roman" w:hAnsi="Times New Roman" w:eastAsia="华文楷体"/>
                <w:b w:val="0"/>
                <w:bCs/>
                <w:iCs/>
                <w:color w:val="000000"/>
                <w:sz w:val="24"/>
                <w:lang w:val="en-US" w:eastAsia="zh-CN"/>
              </w:rPr>
              <w:t>一、</w:t>
            </w:r>
            <w:r>
              <w:rPr>
                <w:rFonts w:hint="eastAsia" w:ascii="Times New Roman" w:hAnsi="Times New Roman" w:eastAsia="华文楷体" w:cs="Times New Roman"/>
                <w:bCs/>
                <w:i w:val="0"/>
                <w:iCs/>
                <w:caps w:val="0"/>
                <w:color w:val="000000"/>
                <w:spacing w:val="0"/>
                <w:sz w:val="24"/>
                <w:szCs w:val="24"/>
                <w:shd w:val="clear" w:fill="auto"/>
              </w:rPr>
              <w:t>签署调研承诺书</w:t>
            </w:r>
          </w:p>
          <w:p w14:paraId="782C8831">
            <w:pPr>
              <w:keepNext w:val="0"/>
              <w:keepLines w:val="0"/>
              <w:pageBreakBefore w:val="0"/>
              <w:widowControl w:val="0"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eastAsia" w:ascii="Times New Roman" w:hAnsi="Times New Roman" w:eastAsia="华文楷体"/>
                <w:bCs/>
                <w:iCs/>
                <w:color w:val="000000"/>
                <w:sz w:val="24"/>
              </w:rPr>
            </w:pPr>
            <w:r>
              <w:rPr>
                <w:rFonts w:hint="eastAsia" w:ascii="Times New Roman" w:hAnsi="Times New Roman" w:eastAsia="华文楷体"/>
                <w:bCs/>
                <w:iCs/>
                <w:color w:val="000000"/>
                <w:sz w:val="24"/>
                <w:lang w:val="en-US" w:eastAsia="zh-CN"/>
              </w:rPr>
              <w:t>二、</w:t>
            </w:r>
            <w:r>
              <w:rPr>
                <w:rFonts w:hint="eastAsia" w:ascii="Times New Roman" w:hAnsi="Times New Roman" w:eastAsia="华文楷体"/>
                <w:bCs/>
                <w:iCs/>
                <w:color w:val="000000"/>
                <w:sz w:val="24"/>
              </w:rPr>
              <w:t>公司基本情况介绍</w:t>
            </w:r>
          </w:p>
          <w:p w14:paraId="690266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480" w:firstLineChars="200"/>
              <w:textAlignment w:val="auto"/>
              <w:rPr>
                <w:rFonts w:hint="eastAsia" w:ascii="宋体" w:hAnsi="宋体" w:cs="Arial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24"/>
                <w:szCs w:val="24"/>
                <w:lang w:val="en-US" w:eastAsia="zh-CN"/>
              </w:rPr>
              <w:t>德力佳传动科技（江苏）股份有限公司是一家专业从事齿轮传动产品研发、生产和销售的高新技术企业。公司核心产品——风电主齿轮箱是风电整机最为关键的核心部件之一，是风力发电机组的心脏。</w:t>
            </w:r>
          </w:p>
          <w:p w14:paraId="5DE5AC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480" w:firstLineChars="200"/>
              <w:textAlignment w:val="auto"/>
              <w:rPr>
                <w:rFonts w:hint="eastAsia" w:ascii="宋体" w:hAnsi="宋体" w:cs="Arial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24"/>
                <w:szCs w:val="24"/>
                <w:lang w:val="en-US" w:eastAsia="zh-CN"/>
              </w:rPr>
              <w:t>经过多年的发展，公司已构建起从前端开发设计、中端批量生产到后端运维服务的全业务链体系；具备从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eastAsia="zh-CN"/>
              </w:rPr>
              <w:t>1.5MW到26MW</w:t>
            </w:r>
            <w:r>
              <w:rPr>
                <w:rFonts w:hint="eastAsia" w:ascii="宋体" w:hAnsi="宋体" w:cs="Arial"/>
                <w:color w:val="000000"/>
                <w:kern w:val="0"/>
                <w:sz w:val="24"/>
                <w:szCs w:val="24"/>
                <w:lang w:val="en-US" w:eastAsia="zh-CN"/>
              </w:rPr>
              <w:t>全系列产品的研发和生产能力；产品具备等强度、等刚度、轻量化、平台模块化等优点，可适用于不同地理气候条件，适配中低风速、高海拔、高低温、海上潮湿腐蚀等严苛复杂工况；在功率密度、传动效率、齿轮安全系数、振动及噪音等指标上均处于行业领先地位。</w:t>
            </w:r>
          </w:p>
          <w:p w14:paraId="55871F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480" w:firstLineChars="200"/>
              <w:textAlignment w:val="auto"/>
              <w:rPr>
                <w:rFonts w:hint="eastAsia" w:ascii="宋体" w:hAnsi="宋体" w:cs="Arial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24"/>
                <w:szCs w:val="24"/>
                <w:lang w:val="en-US" w:eastAsia="zh-CN"/>
              </w:rPr>
              <w:t>依托于行业领先的技术水平、高精密的装备制造能力、严格的产品质量管控体系与持续稳定的产品质量，公司已与金风科技、三一重能、明阳智能、运达股份、东方电气、上海电气、远景能源等风电整机行业头部企业建立起良好的合作关系，在行业内具有较高的品牌知名度。</w:t>
            </w:r>
          </w:p>
          <w:p w14:paraId="17FE1D47">
            <w:pPr>
              <w:keepNext w:val="0"/>
              <w:keepLines w:val="0"/>
              <w:pageBreakBefore w:val="0"/>
              <w:widowControl w:val="0"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eastAsia" w:ascii="Times New Roman" w:hAnsi="Times New Roman" w:eastAsia="华文楷体"/>
                <w:b w:val="0"/>
                <w:bCs/>
                <w:iCs/>
                <w:color w:val="000000"/>
                <w:sz w:val="24"/>
              </w:rPr>
            </w:pPr>
            <w:r>
              <w:rPr>
                <w:rFonts w:hint="eastAsia" w:ascii="Times New Roman" w:hAnsi="Times New Roman" w:eastAsia="华文楷体"/>
                <w:b w:val="0"/>
                <w:bCs/>
                <w:iCs/>
                <w:color w:val="000000"/>
                <w:sz w:val="24"/>
                <w:lang w:val="en-US" w:eastAsia="zh-CN"/>
              </w:rPr>
              <w:t>三、</w:t>
            </w:r>
            <w:r>
              <w:rPr>
                <w:rFonts w:hint="eastAsia" w:ascii="Times New Roman" w:hAnsi="Times New Roman" w:eastAsia="华文楷体"/>
                <w:bCs/>
                <w:iCs/>
                <w:color w:val="000000"/>
                <w:sz w:val="24"/>
              </w:rPr>
              <w:t>回答投资者提问</w:t>
            </w:r>
          </w:p>
          <w:bookmarkEnd w:id="0"/>
          <w:bookmarkEnd w:id="1"/>
          <w:p w14:paraId="087BD20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eastAsia" w:ascii="Times New Roman" w:hAnsi="Times New Roman" w:eastAsia="华文楷体"/>
                <w:b/>
                <w:iCs/>
                <w:color w:val="000000"/>
                <w:sz w:val="24"/>
              </w:rPr>
            </w:pPr>
            <w:r>
              <w:rPr>
                <w:rFonts w:hint="eastAsia" w:ascii="Times New Roman" w:hAnsi="Times New Roman" w:eastAsia="华文楷体"/>
                <w:b/>
                <w:iCs/>
                <w:color w:val="000000"/>
                <w:sz w:val="24"/>
              </w:rPr>
              <w:t>1、如何看待风电行业未来发展，风机大型化给公司带来哪些机遇？</w:t>
            </w:r>
          </w:p>
          <w:p w14:paraId="15C83EC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480" w:firstLineChars="200"/>
              <w:textAlignment w:val="auto"/>
              <w:rPr>
                <w:rFonts w:hint="eastAsia" w:ascii="Times New Roman" w:hAnsi="Times New Roman" w:eastAsia="华文楷体"/>
                <w:b/>
                <w:iCs/>
                <w:color w:val="000000"/>
                <w:sz w:val="24"/>
              </w:rPr>
            </w:pPr>
            <w:r>
              <w:rPr>
                <w:rFonts w:hint="eastAsia" w:ascii="Times New Roman" w:hAnsi="Times New Roman" w:eastAsia="华文楷体"/>
                <w:b w:val="0"/>
                <w:bCs/>
                <w:iCs/>
                <w:color w:val="000000"/>
                <w:sz w:val="24"/>
              </w:rPr>
              <w:t>答：在全球能源转型与国内可再生能源中长期规划支撑下，风电行业具备持续发展基础，短期国内装机节奏存在阶段性调整，但海上风电、海外市场储备项目充足，中长期增长趋势明确。风机大型化是行业长期发展主线，市场机型、单机功率持续提升，对传动设备的载荷承载、耐久运行、轻量化设计标准不断提高，行业订单会逐步向拥有完整大功率研发、批量交付能力的企业集中。公司深度参与各整机厂商全新机型同步配套开发，产品方案可全面覆盖客户陆上海上各类功率机组需求，同时持续推进大功率产能扩建、传动工艺迭代升级，依靠完善的产品验证体系与规模化制造实力，承接大型化带来的配套增量，产品方案可适配深远海及海外各类复杂运行工况，持续拓宽自身中长期发展空间。</w:t>
            </w:r>
          </w:p>
          <w:p w14:paraId="1F4F1F0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eastAsia" w:ascii="Times New Roman" w:hAnsi="Times New Roman" w:eastAsia="华文楷体"/>
                <w:b/>
                <w:iCs/>
                <w:color w:val="000000"/>
                <w:sz w:val="24"/>
              </w:rPr>
            </w:pPr>
            <w:r>
              <w:rPr>
                <w:rFonts w:hint="eastAsia" w:ascii="Times New Roman" w:hAnsi="Times New Roman" w:eastAsia="华文楷体"/>
                <w:b/>
                <w:iCs/>
                <w:color w:val="000000"/>
                <w:sz w:val="24"/>
              </w:rPr>
              <w:t>2、公司四期扩产规划有哪些核心优势</w:t>
            </w:r>
            <w:r>
              <w:rPr>
                <w:rFonts w:hint="eastAsia" w:ascii="Times New Roman" w:hAnsi="Times New Roman" w:eastAsia="华文楷体"/>
                <w:b/>
                <w:iCs/>
                <w:color w:val="000000"/>
                <w:sz w:val="24"/>
                <w:lang w:eastAsia="zh-CN"/>
              </w:rPr>
              <w:t>，</w:t>
            </w:r>
            <w:r>
              <w:rPr>
                <w:rFonts w:hint="eastAsia" w:ascii="Times New Roman" w:hAnsi="Times New Roman" w:eastAsia="华文楷体"/>
                <w:b/>
                <w:iCs/>
                <w:color w:val="000000"/>
                <w:sz w:val="24"/>
                <w:lang w:val="en-US" w:eastAsia="zh-CN"/>
              </w:rPr>
              <w:t>建设过程中是否存在资金压力</w:t>
            </w:r>
            <w:r>
              <w:rPr>
                <w:rFonts w:hint="eastAsia" w:ascii="Times New Roman" w:hAnsi="Times New Roman" w:eastAsia="华文楷体"/>
                <w:b/>
                <w:iCs/>
                <w:color w:val="000000"/>
                <w:sz w:val="24"/>
              </w:rPr>
              <w:t>？</w:t>
            </w:r>
          </w:p>
          <w:p w14:paraId="0C1FF73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bidi w:val="0"/>
              <w:spacing w:before="0" w:beforeAutospacing="0" w:after="0" w:afterAutospacing="0" w:line="8" w:lineRule="atLeast"/>
              <w:ind w:left="0" w:right="0" w:firstLine="480" w:firstLineChars="200"/>
              <w:jc w:val="left"/>
              <w:rPr>
                <w:rFonts w:hint="eastAsia" w:ascii="Times New Roman" w:hAnsi="Times New Roman" w:eastAsia="华文楷体" w:cs="Times New Roman"/>
                <w:bCs/>
                <w:i w:val="0"/>
                <w:iCs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Times New Roman" w:hAnsi="Times New Roman" w:eastAsia="华文楷体"/>
                <w:b w:val="0"/>
                <w:bCs/>
                <w:iCs/>
                <w:color w:val="000000"/>
                <w:sz w:val="24"/>
              </w:rPr>
              <w:t>答：公司</w:t>
            </w:r>
            <w:r>
              <w:rPr>
                <w:rFonts w:hint="eastAsia" w:ascii="Times New Roman" w:hAnsi="Times New Roman" w:eastAsia="华文楷体"/>
                <w:b w:val="0"/>
                <w:bCs/>
                <w:iCs/>
                <w:color w:val="000000"/>
                <w:sz w:val="24"/>
                <w:lang w:val="en-US" w:eastAsia="zh-CN"/>
              </w:rPr>
              <w:t>已</w:t>
            </w:r>
            <w:r>
              <w:rPr>
                <w:rFonts w:hint="eastAsia" w:ascii="Times New Roman" w:hAnsi="Times New Roman" w:eastAsia="华文楷体"/>
                <w:b w:val="0"/>
                <w:bCs/>
                <w:iCs/>
                <w:color w:val="000000"/>
                <w:sz w:val="24"/>
              </w:rPr>
              <w:t>布局无锡、汕头两大生产基地，产能覆盖维度各有侧重又互为补充</w:t>
            </w:r>
            <w:r>
              <w:rPr>
                <w:rFonts w:hint="eastAsia" w:ascii="Times New Roman" w:hAnsi="Times New Roman" w:eastAsia="华文楷体"/>
                <w:b w:val="0"/>
                <w:bCs/>
                <w:iCs/>
                <w:color w:val="000000"/>
                <w:sz w:val="24"/>
                <w:lang w:eastAsia="zh-CN"/>
              </w:rPr>
              <w:t>。</w:t>
            </w:r>
            <w:r>
              <w:rPr>
                <w:rFonts w:hint="eastAsia" w:ascii="Times New Roman" w:hAnsi="Times New Roman" w:eastAsia="华文楷体"/>
                <w:b w:val="0"/>
                <w:bCs/>
                <w:iCs/>
                <w:color w:val="000000"/>
                <w:sz w:val="24"/>
                <w:lang w:val="en-US" w:eastAsia="zh-CN"/>
              </w:rPr>
              <w:t>现</w:t>
            </w:r>
            <w:r>
              <w:rPr>
                <w:rFonts w:hint="eastAsia" w:ascii="Times New Roman" w:hAnsi="Times New Roman" w:eastAsia="华文楷体" w:cs="Times New Roman"/>
                <w:bCs/>
                <w:i w:val="0"/>
                <w:iCs/>
                <w:caps w:val="0"/>
                <w:color w:val="000000"/>
                <w:spacing w:val="0"/>
                <w:kern w:val="2"/>
                <w:sz w:val="24"/>
                <w:szCs w:val="24"/>
                <w:shd w:val="clear" w:fill="auto"/>
                <w:lang w:val="en-US" w:eastAsia="zh-CN" w:bidi="ar"/>
              </w:rPr>
              <w:t>公司计划</w:t>
            </w:r>
            <w:r>
              <w:rPr>
                <w:rFonts w:hint="eastAsia" w:ascii="Times New Roman" w:hAnsi="Times New Roman" w:eastAsia="华文楷体" w:cs="Times New Roman"/>
                <w:bCs/>
                <w:i w:val="0"/>
                <w:iCs/>
                <w:caps w:val="0"/>
                <w:color w:val="000000"/>
                <w:spacing w:val="0"/>
                <w:kern w:val="2"/>
                <w:sz w:val="24"/>
                <w:szCs w:val="24"/>
                <w:shd w:val="clear"/>
                <w:lang w:val="en-US" w:eastAsia="zh-CN" w:bidi="ar"/>
              </w:rPr>
              <w:t>投资建设四期项目——</w:t>
            </w:r>
            <w:r>
              <w:rPr>
                <w:rFonts w:hint="eastAsia" w:ascii="Times New Roman" w:hAnsi="Times New Roman" w:eastAsia="华文楷体"/>
                <w:b w:val="0"/>
                <w:bCs/>
                <w:iCs/>
                <w:color w:val="000000"/>
                <w:sz w:val="24"/>
              </w:rPr>
              <w:t>“德力佳10兆瓦以上大型陆上及海上用风电齿轮箱研发制造项目（一期）</w:t>
            </w:r>
            <w:r>
              <w:rPr>
                <w:rFonts w:hint="eastAsia" w:ascii="Times New Roman" w:hAnsi="Times New Roman" w:eastAsia="华文楷体"/>
                <w:b w:val="0"/>
                <w:bCs/>
                <w:iCs/>
                <w:color w:val="000000"/>
                <w:sz w:val="24"/>
                <w:lang w:eastAsia="zh-CN"/>
              </w:rPr>
              <w:t>”，</w:t>
            </w:r>
            <w:r>
              <w:rPr>
                <w:rFonts w:hint="eastAsia" w:ascii="Times New Roman" w:hAnsi="Times New Roman" w:eastAsia="华文楷体"/>
                <w:b w:val="0"/>
                <w:bCs/>
                <w:iCs/>
                <w:color w:val="000000"/>
                <w:sz w:val="24"/>
                <w:lang w:val="en-US" w:eastAsia="zh-CN"/>
              </w:rPr>
              <w:t>该项目</w:t>
            </w:r>
            <w:r>
              <w:rPr>
                <w:rFonts w:hint="eastAsia" w:ascii="Times New Roman" w:hAnsi="Times New Roman" w:eastAsia="华文楷体" w:cs="Times New Roman"/>
                <w:bCs/>
                <w:i w:val="0"/>
                <w:iCs/>
                <w:caps w:val="0"/>
                <w:color w:val="000000"/>
                <w:spacing w:val="0"/>
                <w:kern w:val="2"/>
                <w:sz w:val="24"/>
                <w:szCs w:val="24"/>
                <w:shd w:val="clear"/>
                <w:lang w:val="en-US" w:eastAsia="zh-CN" w:bidi="ar"/>
              </w:rPr>
              <w:t>可</w:t>
            </w:r>
            <w:r>
              <w:rPr>
                <w:rFonts w:hint="eastAsia" w:ascii="Times New Roman" w:hAnsi="Times New Roman" w:eastAsia="华文楷体" w:cs="Times New Roman"/>
                <w:bCs/>
                <w:i w:val="0"/>
                <w:iCs/>
                <w:caps w:val="0"/>
                <w:color w:val="000000"/>
                <w:spacing w:val="0"/>
                <w:kern w:val="2"/>
                <w:sz w:val="24"/>
                <w:szCs w:val="24"/>
                <w:shd w:val="clear" w:fill="auto"/>
                <w:lang w:val="en-US" w:eastAsia="zh-CN" w:bidi="ar"/>
              </w:rPr>
              <w:t>全面依托现有生产架构、质量管控标准、技术研发团队及管理人才队伍实现一体化统筹运营，进一步扩充10MW以上风电齿轮箱产能，同步覆盖陆上与海上风电市场产品需求，充分匹配下游风电产业持续增长的市场订单。</w:t>
            </w:r>
          </w:p>
          <w:p w14:paraId="7BDD783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480" w:firstLineChars="200"/>
              <w:textAlignment w:val="auto"/>
              <w:rPr>
                <w:rFonts w:hint="eastAsia" w:ascii="Times New Roman" w:hAnsi="Times New Roman" w:eastAsia="华文楷体"/>
                <w:b/>
                <w:iCs/>
                <w:color w:val="000000"/>
                <w:sz w:val="24"/>
              </w:rPr>
            </w:pPr>
            <w:r>
              <w:rPr>
                <w:rFonts w:hint="eastAsia" w:ascii="Times New Roman" w:hAnsi="Times New Roman" w:eastAsia="华文楷体"/>
                <w:b w:val="0"/>
                <w:bCs/>
                <w:iCs/>
                <w:color w:val="000000"/>
                <w:sz w:val="24"/>
                <w:lang w:val="en-US" w:eastAsia="zh-CN"/>
              </w:rPr>
              <w:t>上述</w:t>
            </w:r>
            <w:r>
              <w:rPr>
                <w:rFonts w:hint="eastAsia" w:ascii="Times New Roman" w:hAnsi="Times New Roman" w:eastAsia="华文楷体"/>
                <w:b w:val="0"/>
                <w:bCs/>
                <w:iCs/>
                <w:color w:val="000000"/>
                <w:sz w:val="24"/>
              </w:rPr>
              <w:t>项目</w:t>
            </w:r>
            <w:r>
              <w:rPr>
                <w:rFonts w:hint="eastAsia" w:ascii="Times New Roman" w:hAnsi="Times New Roman" w:eastAsia="华文楷体"/>
                <w:b w:val="0"/>
                <w:bCs/>
                <w:iCs/>
                <w:color w:val="000000"/>
                <w:sz w:val="24"/>
                <w:lang w:val="en-US" w:eastAsia="zh-CN"/>
              </w:rPr>
              <w:t>建设</w:t>
            </w:r>
            <w:r>
              <w:rPr>
                <w:rFonts w:hint="eastAsia" w:ascii="Times New Roman" w:hAnsi="Times New Roman" w:eastAsia="华文楷体"/>
                <w:b w:val="0"/>
                <w:bCs/>
                <w:iCs/>
                <w:color w:val="000000"/>
                <w:sz w:val="24"/>
              </w:rPr>
              <w:t>资金以企业历年经营积累形成的自有资金作为主要支撑，同时搭配少量变更后的募集资金投入，整体财务规划稳健，不会形成大额债务压力。日常经营中公司同步落地多套长效降本方案，多重举措共同对冲行业阶段性价格竞争带来的盈利压力，在行业内形成稳定的成本管控优势。</w:t>
            </w:r>
          </w:p>
          <w:p w14:paraId="6C9AF73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eastAsia" w:ascii="Times New Roman" w:hAnsi="Times New Roman" w:eastAsia="华文楷体"/>
                <w:b/>
                <w:iCs/>
                <w:color w:val="000000"/>
                <w:sz w:val="24"/>
              </w:rPr>
            </w:pPr>
            <w:r>
              <w:rPr>
                <w:rFonts w:hint="eastAsia" w:ascii="Times New Roman" w:hAnsi="Times New Roman" w:eastAsia="华文楷体"/>
                <w:b/>
                <w:iCs/>
                <w:color w:val="000000"/>
                <w:sz w:val="24"/>
              </w:rPr>
              <w:t>3、</w:t>
            </w:r>
            <w:r>
              <w:rPr>
                <w:rFonts w:hint="eastAsia" w:ascii="Times New Roman" w:hAnsi="Times New Roman" w:eastAsia="华文楷体"/>
                <w:b/>
                <w:iCs/>
                <w:color w:val="000000"/>
                <w:sz w:val="24"/>
                <w:lang w:val="en-US" w:eastAsia="zh-CN"/>
              </w:rPr>
              <w:t>随着风电</w:t>
            </w:r>
            <w:r>
              <w:rPr>
                <w:rFonts w:hint="eastAsia" w:ascii="Times New Roman" w:hAnsi="Times New Roman" w:eastAsia="华文楷体"/>
                <w:b/>
                <w:iCs/>
                <w:color w:val="000000"/>
                <w:sz w:val="24"/>
              </w:rPr>
              <w:t>行业竞争</w:t>
            </w:r>
            <w:r>
              <w:rPr>
                <w:rFonts w:hint="eastAsia" w:ascii="Times New Roman" w:hAnsi="Times New Roman" w:eastAsia="华文楷体"/>
                <w:b/>
                <w:iCs/>
                <w:color w:val="000000"/>
                <w:sz w:val="24"/>
                <w:lang w:val="en-US" w:eastAsia="zh-CN"/>
              </w:rPr>
              <w:t>格局的</w:t>
            </w:r>
            <w:r>
              <w:rPr>
                <w:rFonts w:hint="eastAsia" w:ascii="Times New Roman" w:hAnsi="Times New Roman" w:eastAsia="华文楷体"/>
                <w:b/>
                <w:iCs/>
                <w:color w:val="000000"/>
                <w:sz w:val="24"/>
              </w:rPr>
              <w:t>加剧，</w:t>
            </w:r>
            <w:r>
              <w:rPr>
                <w:rFonts w:hint="eastAsia" w:ascii="Times New Roman" w:hAnsi="Times New Roman" w:eastAsia="华文楷体"/>
                <w:b/>
                <w:iCs/>
                <w:color w:val="000000"/>
                <w:sz w:val="24"/>
                <w:lang w:val="en-US" w:eastAsia="zh-CN"/>
              </w:rPr>
              <w:t>部分同行</w:t>
            </w:r>
            <w:r>
              <w:rPr>
                <w:rFonts w:hint="eastAsia" w:ascii="Times New Roman" w:hAnsi="Times New Roman" w:eastAsia="华文楷体"/>
                <w:b/>
                <w:iCs/>
                <w:color w:val="000000"/>
                <w:sz w:val="24"/>
              </w:rPr>
              <w:t>经营</w:t>
            </w:r>
            <w:r>
              <w:rPr>
                <w:rFonts w:hint="eastAsia" w:ascii="Times New Roman" w:hAnsi="Times New Roman" w:eastAsia="华文楷体"/>
                <w:b/>
                <w:iCs/>
                <w:color w:val="000000"/>
                <w:sz w:val="24"/>
                <w:lang w:val="en-US" w:eastAsia="zh-CN"/>
              </w:rPr>
              <w:t>持续</w:t>
            </w:r>
            <w:r>
              <w:rPr>
                <w:rFonts w:hint="eastAsia" w:ascii="Times New Roman" w:hAnsi="Times New Roman" w:eastAsia="华文楷体"/>
                <w:b/>
                <w:iCs/>
                <w:color w:val="000000"/>
                <w:sz w:val="24"/>
              </w:rPr>
              <w:t>承压，公司</w:t>
            </w:r>
            <w:r>
              <w:rPr>
                <w:rFonts w:hint="eastAsia" w:ascii="Times New Roman" w:hAnsi="Times New Roman" w:eastAsia="华文楷体"/>
                <w:b/>
                <w:iCs/>
                <w:color w:val="000000"/>
                <w:sz w:val="24"/>
                <w:lang w:val="en-US" w:eastAsia="zh-CN"/>
              </w:rPr>
              <w:t>如何维持</w:t>
            </w:r>
            <w:r>
              <w:rPr>
                <w:rFonts w:hint="eastAsia" w:ascii="Times New Roman" w:hAnsi="Times New Roman" w:eastAsia="华文楷体"/>
                <w:b/>
                <w:iCs/>
                <w:color w:val="000000"/>
                <w:sz w:val="24"/>
              </w:rPr>
              <w:t>持续稳定盈利、稳步提升份额？</w:t>
            </w:r>
          </w:p>
          <w:p w14:paraId="3A0F3AE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480" w:firstLineChars="200"/>
              <w:textAlignment w:val="auto"/>
              <w:rPr>
                <w:rFonts w:hint="eastAsia" w:ascii="Times New Roman" w:hAnsi="Times New Roman" w:eastAsia="华文楷体"/>
                <w:b w:val="0"/>
                <w:bCs/>
                <w:iCs/>
                <w:color w:val="000000"/>
                <w:sz w:val="24"/>
              </w:rPr>
            </w:pPr>
            <w:r>
              <w:rPr>
                <w:rFonts w:hint="eastAsia" w:ascii="Times New Roman" w:hAnsi="Times New Roman" w:eastAsia="华文楷体"/>
                <w:b w:val="0"/>
                <w:bCs/>
                <w:iCs/>
                <w:color w:val="000000"/>
                <w:sz w:val="24"/>
              </w:rPr>
              <w:t>答：公司和国内头部整机厂商保持长期稳定合作，下游客户出于供应链安全需求持续拓宽供应商体系，公司依托全面的新品同步配套研发能力，产品能够完整覆盖各客户不同功率、不同应用场景的机型开发需求，凭借成熟的大功率机型批量交付能力持续获得配套增量。同时公司海陆各功率段产品布局完善，海上机型产能逐步释放，持续优化整体产品结构，对冲陆上产品价格波动带来的影响。公司具备完善的整机同步配套研发及全工况验证体系，新品落地与批量交付实力具备行业优势，再通过</w:t>
            </w:r>
            <w:r>
              <w:rPr>
                <w:rFonts w:hint="eastAsia" w:ascii="Times New Roman" w:hAnsi="Times New Roman" w:eastAsia="华文楷体"/>
                <w:b w:val="0"/>
                <w:bCs/>
                <w:iCs/>
                <w:color w:val="000000"/>
                <w:sz w:val="24"/>
                <w:lang w:val="en-US" w:eastAsia="zh-CN"/>
              </w:rPr>
              <w:t>部分</w:t>
            </w:r>
            <w:r>
              <w:rPr>
                <w:rFonts w:hint="eastAsia" w:ascii="Times New Roman" w:hAnsi="Times New Roman" w:eastAsia="华文楷体"/>
                <w:b w:val="0"/>
                <w:bCs/>
                <w:iCs/>
                <w:color w:val="000000"/>
                <w:sz w:val="24"/>
              </w:rPr>
              <w:t>零部件国产化、产品结构优化、自有加工工序</w:t>
            </w:r>
            <w:r>
              <w:rPr>
                <w:rFonts w:hint="eastAsia" w:ascii="Times New Roman" w:hAnsi="Times New Roman" w:eastAsia="华文楷体"/>
                <w:b w:val="0"/>
                <w:bCs/>
                <w:iCs/>
                <w:color w:val="000000"/>
                <w:sz w:val="24"/>
                <w:lang w:val="en-US" w:eastAsia="zh-CN"/>
              </w:rPr>
              <w:t>调控</w:t>
            </w:r>
            <w:r>
              <w:rPr>
                <w:rFonts w:hint="eastAsia" w:ascii="Times New Roman" w:hAnsi="Times New Roman" w:eastAsia="华文楷体"/>
                <w:b w:val="0"/>
                <w:bCs/>
                <w:iCs/>
                <w:color w:val="000000"/>
                <w:sz w:val="24"/>
              </w:rPr>
              <w:t>外协支出等多种方式控制生产成本，有效对冲行业价格下行带来的经营压力，实现市场份额稳步提升的同时维持盈利平稳。</w:t>
            </w:r>
          </w:p>
          <w:p w14:paraId="3D68DF18">
            <w:pPr>
              <w:keepNext w:val="0"/>
              <w:keepLines w:val="0"/>
              <w:pageBreakBefore w:val="0"/>
              <w:widowControl w:val="0"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textAlignment w:val="auto"/>
              <w:rPr>
                <w:rFonts w:hint="eastAsia" w:ascii="Times New Roman" w:hAnsi="Times New Roman" w:eastAsia="华文楷体"/>
                <w:b/>
                <w:bCs w:val="0"/>
                <w:iCs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华文楷体"/>
                <w:b/>
                <w:bCs w:val="0"/>
                <w:iCs/>
                <w:color w:val="000000"/>
                <w:sz w:val="24"/>
                <w:lang w:val="en-US" w:eastAsia="zh-CN"/>
              </w:rPr>
              <w:t>4、公司是如何看待部分下游企业自研风电齿轮箱业务？</w:t>
            </w:r>
          </w:p>
          <w:p w14:paraId="35153A1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480" w:firstLineChars="200"/>
              <w:textAlignment w:val="auto"/>
              <w:rPr>
                <w:rFonts w:hint="eastAsia" w:ascii="Times New Roman" w:hAnsi="Times New Roman" w:eastAsia="华文楷体"/>
                <w:bCs/>
                <w:iCs/>
                <w:color w:val="000000"/>
                <w:sz w:val="24"/>
              </w:rPr>
            </w:pPr>
            <w:r>
              <w:rPr>
                <w:rFonts w:hint="eastAsia" w:ascii="Times New Roman" w:hAnsi="Times New Roman" w:eastAsia="华文楷体"/>
                <w:b w:val="0"/>
                <w:bCs/>
                <w:iCs/>
                <w:color w:val="000000"/>
                <w:sz w:val="24"/>
                <w:lang w:val="en-US" w:eastAsia="zh-CN"/>
              </w:rPr>
              <w:t>答：</w:t>
            </w:r>
            <w:r>
              <w:rPr>
                <w:rFonts w:hint="eastAsia" w:ascii="Times New Roman" w:hAnsi="Times New Roman" w:eastAsia="华文楷体"/>
                <w:bCs/>
                <w:iCs/>
                <w:color w:val="000000"/>
                <w:sz w:val="24"/>
              </w:rPr>
              <w:t>部分下游主机厂出于供应链、成本因素开展齿轮箱自研尝试，但受技术工艺门槛、商业投入回报、产业链专业化分工等因素制约，难以成为行业主流。风电齿轮箱属于高门槛精密传动装备，需要长期技术工艺积累与可靠性验证，规模化、具备成本优势的自研落地案例较少；叠加风机大型化、海上化持续提速，技术迭代压力进一步加大，产业链专业化协同仍是更高效的发展模式。</w:t>
            </w:r>
          </w:p>
          <w:p w14:paraId="21AA475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480" w:firstLineChars="200"/>
              <w:textAlignment w:val="auto"/>
              <w:rPr>
                <w:rFonts w:hint="eastAsia" w:ascii="Times New Roman" w:hAnsi="Times New Roman" w:eastAsia="华文楷体"/>
                <w:b/>
                <w:bCs w:val="0"/>
                <w:iCs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华文楷体"/>
                <w:bCs/>
                <w:iCs/>
                <w:color w:val="000000"/>
                <w:sz w:val="24"/>
              </w:rPr>
              <w:t>针对该行业变化，公司将持续加大研发投入，重点布局超大兆瓦、海上长寿命齿轮箱产品，深化和主机客户协同开发、联合测试，依靠性能、成本、交付综合实力，巩固自身市场竞争力。</w:t>
            </w:r>
          </w:p>
          <w:p w14:paraId="4C54CA5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eastAsia" w:ascii="Times New Roman" w:hAnsi="Times New Roman" w:eastAsia="华文楷体"/>
                <w:b/>
                <w:iCs/>
                <w:color w:val="000000"/>
                <w:sz w:val="24"/>
              </w:rPr>
            </w:pPr>
            <w:r>
              <w:rPr>
                <w:rFonts w:hint="eastAsia" w:ascii="Times New Roman" w:hAnsi="Times New Roman" w:eastAsia="华文楷体"/>
                <w:b/>
                <w:iCs/>
                <w:color w:val="000000"/>
                <w:sz w:val="24"/>
                <w:lang w:val="en-US" w:eastAsia="zh-CN"/>
              </w:rPr>
              <w:t>5、</w:t>
            </w:r>
            <w:r>
              <w:rPr>
                <w:rFonts w:hint="eastAsia" w:ascii="Times New Roman" w:hAnsi="Times New Roman" w:eastAsia="华文楷体"/>
                <w:b/>
                <w:iCs/>
                <w:color w:val="000000"/>
                <w:sz w:val="24"/>
              </w:rPr>
              <w:t>公司海外出口业务增长逻辑是什么，相比同行具备哪些出海差异化竞争力？</w:t>
            </w:r>
          </w:p>
          <w:p w14:paraId="090A51C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480" w:firstLineChars="200"/>
              <w:textAlignment w:val="auto"/>
              <w:rPr>
                <w:rFonts w:hint="default" w:ascii="Times New Roman" w:hAnsi="Times New Roman" w:eastAsia="华文楷体"/>
                <w:b w:val="0"/>
                <w:bCs/>
                <w:iCs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华文楷体"/>
                <w:b w:val="0"/>
                <w:bCs/>
                <w:iCs/>
                <w:color w:val="000000"/>
                <w:sz w:val="24"/>
              </w:rPr>
              <w:t>答：海外风电装机需求长期具备扩容空间，海外配套业务是公司中长期重要增长曲线。公司拥有完整覆盖全功率区间的产品矩阵，产品取得国际权威认证，可适配海外各地陆上、海上各类风电项目，并且能够同步参与海外客户新机型配套研发，产品方案可以充分匹配海外大叶轮机组的载荷运行工况，产品经过国内多类型风场长期商业化运行验证，运行稳定表现获得业主认可。</w:t>
            </w:r>
            <w:r>
              <w:rPr>
                <w:rFonts w:hint="eastAsia" w:ascii="Times New Roman" w:hAnsi="Times New Roman" w:eastAsia="华文楷体"/>
                <w:bCs/>
                <w:iCs/>
                <w:color w:val="000000"/>
                <w:sz w:val="24"/>
                <w:highlight w:val="none"/>
              </w:rPr>
              <w:t>公司依托现有长期合作的国内整机企业，跟随其海外项目实现风电齿轮箱间接</w:t>
            </w:r>
            <w:r>
              <w:rPr>
                <w:rFonts w:hint="eastAsia" w:ascii="Times New Roman" w:hAnsi="Times New Roman" w:eastAsia="华文楷体"/>
                <w:bCs/>
                <w:iCs/>
                <w:color w:val="000000"/>
                <w:sz w:val="24"/>
                <w:highlight w:val="none"/>
                <w:lang w:val="en-US" w:eastAsia="zh-CN"/>
              </w:rPr>
              <w:t>出口</w:t>
            </w:r>
            <w:r>
              <w:rPr>
                <w:rFonts w:hint="eastAsia" w:ascii="Times New Roman" w:hAnsi="Times New Roman" w:eastAsia="华文楷体"/>
                <w:bCs/>
                <w:iCs/>
                <w:color w:val="000000"/>
                <w:sz w:val="24"/>
                <w:highlight w:val="none"/>
              </w:rPr>
              <w:t>，已在多个海外区域项目形成批量配套。同时，公司积极拓展与海外本土整机厂商的业务对接，推进新品联合开发工作，不断丰富</w:t>
            </w:r>
            <w:r>
              <w:rPr>
                <w:rFonts w:hint="eastAsia" w:ascii="Times New Roman" w:hAnsi="Times New Roman" w:eastAsia="华文楷体"/>
                <w:bCs/>
                <w:iCs/>
                <w:color w:val="000000"/>
                <w:sz w:val="24"/>
                <w:highlight w:val="none"/>
                <w:lang w:val="en-US" w:eastAsia="zh-CN"/>
              </w:rPr>
              <w:t>直接出口</w:t>
            </w:r>
            <w:r>
              <w:rPr>
                <w:rFonts w:hint="eastAsia" w:ascii="Times New Roman" w:hAnsi="Times New Roman" w:eastAsia="华文楷体"/>
                <w:bCs/>
                <w:iCs/>
                <w:color w:val="000000"/>
                <w:sz w:val="24"/>
                <w:highlight w:val="none"/>
              </w:rPr>
              <w:t>海外</w:t>
            </w:r>
            <w:r>
              <w:rPr>
                <w:rFonts w:hint="eastAsia" w:ascii="Times New Roman" w:hAnsi="Times New Roman" w:eastAsia="华文楷体"/>
                <w:bCs/>
                <w:iCs/>
                <w:color w:val="000000"/>
                <w:sz w:val="24"/>
                <w:highlight w:val="none"/>
                <w:lang w:val="en-US" w:eastAsia="zh-CN"/>
              </w:rPr>
              <w:t>的</w:t>
            </w:r>
            <w:r>
              <w:rPr>
                <w:rFonts w:hint="eastAsia" w:ascii="Times New Roman" w:hAnsi="Times New Roman" w:eastAsia="华文楷体"/>
                <w:bCs/>
                <w:iCs/>
                <w:color w:val="000000"/>
                <w:sz w:val="24"/>
                <w:highlight w:val="none"/>
              </w:rPr>
              <w:t>潜在客户储备。</w:t>
            </w:r>
            <w:r>
              <w:rPr>
                <w:rFonts w:hint="eastAsia" w:ascii="Times New Roman" w:hAnsi="Times New Roman" w:eastAsia="华文楷体"/>
                <w:b w:val="0"/>
                <w:bCs/>
                <w:iCs/>
                <w:color w:val="000000"/>
                <w:sz w:val="24"/>
              </w:rPr>
              <w:t>海外项目配套定价体系具备一定缓冲空间，依托公司成熟的规模化制造与精细化成本管控体系，能够平衡海外物流、原材料波动带来的成本影响，为海外业务持续放量形成有力支撑。</w:t>
            </w:r>
          </w:p>
        </w:tc>
      </w:tr>
      <w:tr w14:paraId="1E8EA2C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08" w:type="dxa"/>
            <w:tcBorders>
              <w:tl2br w:val="nil"/>
              <w:tr2bl w:val="nil"/>
            </w:tcBorders>
            <w:vAlign w:val="center"/>
          </w:tcPr>
          <w:p w14:paraId="7F25D0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line="360" w:lineRule="auto"/>
              <w:jc w:val="both"/>
              <w:textAlignment w:val="auto"/>
              <w:rPr>
                <w:rFonts w:ascii="Times New Roman" w:hAnsi="Times New Roman" w:eastAsia="华文楷体"/>
                <w:bCs/>
                <w:iCs/>
                <w:color w:val="000000"/>
                <w:sz w:val="24"/>
              </w:rPr>
            </w:pPr>
            <w:r>
              <w:rPr>
                <w:rFonts w:ascii="Times New Roman" w:hAnsi="Times New Roman" w:eastAsia="华文楷体"/>
                <w:bCs/>
                <w:iCs/>
                <w:color w:val="000000"/>
                <w:sz w:val="24"/>
              </w:rPr>
              <w:t>关于本次活动是否涉及应当披露重大信息的说明</w:t>
            </w:r>
          </w:p>
        </w:tc>
        <w:tc>
          <w:tcPr>
            <w:tcW w:w="6614" w:type="dxa"/>
            <w:tcBorders>
              <w:tl2br w:val="nil"/>
              <w:tr2bl w:val="nil"/>
            </w:tcBorders>
          </w:tcPr>
          <w:p w14:paraId="609A52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line="360" w:lineRule="auto"/>
              <w:textAlignment w:val="auto"/>
              <w:rPr>
                <w:rFonts w:ascii="Times New Roman" w:hAnsi="Times New Roman" w:eastAsia="华文楷体"/>
                <w:bCs/>
                <w:iCs/>
                <w:color w:val="000000"/>
                <w:sz w:val="24"/>
              </w:rPr>
            </w:pPr>
            <w:r>
              <w:rPr>
                <w:rFonts w:hint="eastAsia" w:ascii="Times New Roman" w:hAnsi="Times New Roman" w:eastAsia="华文楷体"/>
                <w:bCs/>
                <w:iCs/>
                <w:color w:val="000000"/>
                <w:sz w:val="24"/>
              </w:rPr>
              <w:t>本次活动不涉及未公开披露的重大信息。</w:t>
            </w:r>
          </w:p>
        </w:tc>
      </w:tr>
      <w:tr w14:paraId="545D8CB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08" w:type="dxa"/>
            <w:tcBorders>
              <w:tl2br w:val="nil"/>
              <w:tr2bl w:val="nil"/>
            </w:tcBorders>
            <w:vAlign w:val="center"/>
          </w:tcPr>
          <w:p w14:paraId="1A6E2A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line="360" w:lineRule="auto"/>
              <w:jc w:val="both"/>
              <w:textAlignment w:val="auto"/>
              <w:rPr>
                <w:rFonts w:ascii="Times New Roman" w:hAnsi="Times New Roman" w:eastAsia="华文楷体"/>
                <w:bCs/>
                <w:iCs/>
                <w:color w:val="000000"/>
                <w:sz w:val="24"/>
              </w:rPr>
            </w:pPr>
            <w:r>
              <w:rPr>
                <w:rFonts w:ascii="Times New Roman" w:hAnsi="Times New Roman" w:eastAsia="华文楷体"/>
                <w:bCs/>
                <w:iCs/>
                <w:color w:val="000000"/>
                <w:sz w:val="24"/>
              </w:rPr>
              <w:t>附件清单（如有）</w:t>
            </w:r>
          </w:p>
        </w:tc>
        <w:tc>
          <w:tcPr>
            <w:tcW w:w="6614" w:type="dxa"/>
            <w:tcBorders>
              <w:tl2br w:val="nil"/>
              <w:tr2bl w:val="nil"/>
            </w:tcBorders>
          </w:tcPr>
          <w:p w14:paraId="1AB293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line="360" w:lineRule="auto"/>
              <w:textAlignment w:val="auto"/>
              <w:rPr>
                <w:rFonts w:hint="default" w:ascii="Times New Roman" w:hAnsi="Times New Roman" w:eastAsia="华文楷体"/>
                <w:bCs/>
                <w:iCs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华文楷体"/>
                <w:bCs/>
                <w:iCs/>
                <w:color w:val="000000"/>
                <w:sz w:val="24"/>
                <w:lang w:val="en-US" w:eastAsia="zh-CN"/>
              </w:rPr>
              <w:t>无</w:t>
            </w:r>
          </w:p>
        </w:tc>
      </w:tr>
      <w:tr w14:paraId="14DCCE0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08" w:type="dxa"/>
            <w:tcBorders>
              <w:tl2br w:val="nil"/>
              <w:tr2bl w:val="nil"/>
            </w:tcBorders>
            <w:vAlign w:val="center"/>
          </w:tcPr>
          <w:p w14:paraId="607E27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line="360" w:lineRule="auto"/>
              <w:jc w:val="both"/>
              <w:textAlignment w:val="auto"/>
              <w:rPr>
                <w:rFonts w:ascii="Times New Roman" w:hAnsi="Times New Roman" w:eastAsia="华文楷体"/>
                <w:bCs/>
                <w:iCs/>
                <w:color w:val="000000"/>
                <w:sz w:val="24"/>
              </w:rPr>
            </w:pPr>
            <w:r>
              <w:rPr>
                <w:rFonts w:ascii="Times New Roman" w:hAnsi="Times New Roman" w:eastAsia="华文楷体"/>
                <w:bCs/>
                <w:iCs/>
                <w:color w:val="000000"/>
                <w:sz w:val="24"/>
              </w:rPr>
              <w:t>日期</w:t>
            </w:r>
          </w:p>
        </w:tc>
        <w:tc>
          <w:tcPr>
            <w:tcW w:w="6614" w:type="dxa"/>
            <w:tcBorders>
              <w:tl2br w:val="nil"/>
              <w:tr2bl w:val="nil"/>
            </w:tcBorders>
          </w:tcPr>
          <w:p w14:paraId="3C80C1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line="360" w:lineRule="auto"/>
              <w:textAlignment w:val="auto"/>
              <w:rPr>
                <w:rFonts w:ascii="Times New Roman" w:hAnsi="Times New Roman" w:eastAsia="华文楷体"/>
                <w:bCs/>
                <w:iCs/>
                <w:color w:val="000000"/>
                <w:sz w:val="24"/>
              </w:rPr>
            </w:pPr>
            <w:r>
              <w:rPr>
                <w:rFonts w:hint="eastAsia" w:ascii="Times New Roman" w:hAnsi="Times New Roman" w:eastAsia="华文楷体"/>
                <w:bCs/>
                <w:iCs/>
                <w:color w:val="000000"/>
                <w:sz w:val="24"/>
                <w:lang w:val="en-US" w:eastAsia="zh-CN"/>
              </w:rPr>
              <w:t>2026年7月31日</w:t>
            </w:r>
          </w:p>
        </w:tc>
      </w:tr>
    </w:tbl>
    <w:p w14:paraId="15B6D4ED">
      <w:pPr>
        <w:rPr>
          <w:rFonts w:ascii="Times New Roman" w:hAnsi="Times New Roman" w:eastAsia="华文楷体"/>
          <w:sz w:val="24"/>
        </w:rPr>
      </w:pPr>
    </w:p>
    <w:p w14:paraId="585F3D82">
      <w:pPr>
        <w:widowControl/>
        <w:jc w:val="left"/>
        <w:rPr>
          <w:rFonts w:ascii="Times New Roman" w:hAnsi="Times New Roman" w:eastAsia="华文楷体"/>
          <w:sz w:val="24"/>
        </w:rPr>
      </w:pPr>
    </w:p>
    <w:p w14:paraId="778DF57F"/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930" w:right="1797" w:bottom="1440" w:left="1797" w:header="737" w:footer="680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楷体">
    <w:altName w:val="宋体"/>
    <w:panose1 w:val="02010600040101010101"/>
    <w:charset w:val="86"/>
    <w:family w:val="auto"/>
    <w:pitch w:val="default"/>
    <w:sig w:usb0="00000000" w:usb1="00000000" w:usb2="00000016" w:usb3="00000000" w:csb0="0004001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D05F1A">
    <w:pPr>
      <w:pStyle w:val="2"/>
      <w:tabs>
        <w:tab w:val="left" w:pos="7410"/>
        <w:tab w:val="clear" w:pos="4153"/>
        <w:tab w:val="clear" w:pos="8306"/>
      </w:tabs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69DCE29">
                          <w:pPr>
                            <w:pStyle w:val="2"/>
                            <w:rPr>
                              <w:rFonts w:ascii="Times New Roman" w:hAnsi="Times New Roman"/>
                            </w:rPr>
                          </w:pPr>
                          <w:r>
                            <w:rPr>
                              <w:rFonts w:ascii="Times New Roman" w:hAnsi="Times New Roman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/>
                            </w:rPr>
                            <w:t>1</w:t>
                          </w:r>
                          <w:r>
                            <w:rPr>
                              <w:rFonts w:ascii="Times New Roman" w:hAnsi="Times New Roma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69DCE29">
                    <w:pPr>
                      <w:pStyle w:val="2"/>
                      <w:rPr>
                        <w:rFonts w:ascii="Times New Roman" w:hAnsi="Times New Roman"/>
                      </w:rPr>
                    </w:pPr>
                    <w:r>
                      <w:rPr>
                        <w:rFonts w:ascii="Times New Roman" w:hAnsi="Times New Roman"/>
                      </w:rPr>
                      <w:fldChar w:fldCharType="begin"/>
                    </w:r>
                    <w:r>
                      <w:rPr>
                        <w:rFonts w:ascii="Times New Roman" w:hAnsi="Times New Roman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/>
                      </w:rPr>
                      <w:fldChar w:fldCharType="separate"/>
                    </w:r>
                    <w:r>
                      <w:rPr>
                        <w:rFonts w:ascii="Times New Roman" w:hAnsi="Times New Roman"/>
                      </w:rPr>
                      <w:t>1</w:t>
                    </w:r>
                    <w:r>
                      <w:rPr>
                        <w:rFonts w:ascii="Times New Roman" w:hAnsi="Times New Roma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893C366"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498E3F7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DCDF1E">
    <w:pPr>
      <w:pStyle w:val="3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F4150E9"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F8EEC4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620908"/>
    <w:rsid w:val="04F43251"/>
    <w:rsid w:val="124B3F8E"/>
    <w:rsid w:val="152D3042"/>
    <w:rsid w:val="16287169"/>
    <w:rsid w:val="184C0154"/>
    <w:rsid w:val="19895E50"/>
    <w:rsid w:val="1C1547AA"/>
    <w:rsid w:val="1C7D24DE"/>
    <w:rsid w:val="1D214DD8"/>
    <w:rsid w:val="211029CC"/>
    <w:rsid w:val="23B816BF"/>
    <w:rsid w:val="2BED6847"/>
    <w:rsid w:val="2FE65FBB"/>
    <w:rsid w:val="39C66EFD"/>
    <w:rsid w:val="3EBB453C"/>
    <w:rsid w:val="450D1720"/>
    <w:rsid w:val="4AB349FE"/>
    <w:rsid w:val="501A42CC"/>
    <w:rsid w:val="507A4098"/>
    <w:rsid w:val="582A35CD"/>
    <w:rsid w:val="5B286E5C"/>
    <w:rsid w:val="657F0BB7"/>
    <w:rsid w:val="67D326A3"/>
    <w:rsid w:val="68135AD3"/>
    <w:rsid w:val="69FE6E15"/>
    <w:rsid w:val="6C5C26DC"/>
    <w:rsid w:val="6EA1444B"/>
    <w:rsid w:val="75BA6617"/>
    <w:rsid w:val="76C26CAA"/>
    <w:rsid w:val="78557CAD"/>
    <w:rsid w:val="7FB57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2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0c72378c-95ce-44ec-884a-4c3491344e94</errorID>
      <errorWord>、等</errorWord>
      <group>L1_Punc</group>
      <groupName>标点问题</groupName>
      <ability>L2_Punc_CN</ability>
      <abilityName>标点符号问题</abilityName>
      <candidateList>
        <item>等</item>
      </candidateList>
      <explain>“及”“和”“等”连词前不宜使用顿号，建议删除（或使用逗号）。</explain>
      <paraID>5DE5ACCD</paraID>
      <start>77</start>
      <end>79</end>
      <status>ignored</status>
      <modifiedWord/>
      <trackRevisions>false</trackRevisions>
    </reviewItem>
    <reviewItem>
      <errorID>554c7165-d063-4bc7-9ec6-9ecbd0ab7f21</errorID>
      <errorWord>噪音</errorWord>
      <group>L1_Word</group>
      <groupName>字词问题</groupName>
      <ability>L2_Alias</ability>
      <abilityName>也作/曾用词</abilityName>
      <candidateList>
        <item>噪声</item>
      </candidateList>
      <explain>词汇[噪音]为不规范表述或旧称，其规范书面表述为[噪声]。</explain>
      <paraID>5DE5ACCD</paraID>
      <start>158</start>
      <end>160</end>
      <status>ignored</status>
      <modifiedWord/>
      <trackRevisions>false</trackRevisions>
    </reviewItem>
    <reviewItem>
      <errorID>a43d03a7-4818-4289-bae8-99bc363cf629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87BD20F</paraID>
      <start>0</start>
      <end>2</end>
      <status>ignored</status>
      <modifiedWord/>
      <trackRevisions>false</trackRevisions>
    </reviewItem>
    <reviewItem>
      <errorID>f9e13892-3354-43ad-876d-29b60b67d229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1F4F1F0F</paraID>
      <start>0</start>
      <end>2</end>
      <status>ignored</status>
      <modifiedWord/>
      <trackRevisions>false</trackRevisions>
    </reviewItem>
    <reviewItem>
      <errorID>d34ae0de-7416-49f1-950a-af713f10a3fb</errorID>
      <errorWord>，</errorWord>
      <group>L1_Word</group>
      <groupName>字词问题</groupName>
      <ability>L2_Typo</ability>
      <abilityName>字词错误</abilityName>
      <candidateList>
        <item>，在</item>
      </candidateList>
      <explain/>
      <paraID>1F4F1F0F</paraID>
      <start>43</start>
      <end>44</end>
      <status>ignored</status>
      <modifiedWord/>
      <trackRevisions>false</trackRevisions>
    </reviewItem>
    <reviewItem>
      <errorID>4ecd49e6-eb7a-493f-ba3b-2e21e962264d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6C9AF739</paraID>
      <start>0</start>
      <end>2</end>
      <status>ignored</status>
      <modifiedWord/>
      <trackRevisions>false</trackRevisions>
    </reviewItem>
    <reviewItem>
      <errorID>4363a1d9-a7d6-4b8c-ad6e-c151487fca4c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3D68DF18</paraID>
      <start>0</start>
      <end>2</end>
      <status>ignored</status>
      <modifiedWord/>
      <trackRevisions>false</trackRevisions>
    </reviewItem>
    <reviewItem>
      <errorID>a4c4e405-5b44-4f7f-b3c7-0a1d16744d7e</errorID>
      <errorWord>5、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4C54CA56</paraID>
      <start>1</start>
      <end>3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2344e9b-7194-4ca0-958e-e29b5d2075c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2794</Words>
  <Characters>2826</Characters>
  <Lines>0</Lines>
  <Paragraphs>0</Paragraphs>
  <TotalTime>7</TotalTime>
  <ScaleCrop>false</ScaleCrop>
  <LinksUpToDate>false</LinksUpToDate>
  <CharactersWithSpaces>2949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2026-07-22T01:34:00Z</dcterms:created>
  <dc:creator>zhulz</dc:creator>
  <cp:lastModifiedBy>zlz</cp:lastModifiedBy>
  <dcterms:modified xsi:type="dcterms:W3CDTF">2026-07-29T05:07:28Z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3D2BD5DCD5CB43A18393DD37F5C05B0A_13</vt:lpwstr>
  </property>
  <property fmtid="{D5CDD505-2E9C-101B-9397-08002B2CF9AE}" pid="4" name="KSOTemplateDocerSaveRecord">
    <vt:lpwstr>eyJoZGlkIjoiNWRjNTQwM2NmYzQ5NjYwZGNmMmE3MDk1ZmM4NzAzOGUiLCJ1c2VySWQiOiIxNDI1NTE5NjIwIn0=</vt:lpwstr>
  </property>
</Properties>
</file>