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D7CFD">
      <w:pPr>
        <w:spacing w:before="156" w:beforeLines="50" w:after="156" w:afterLines="50" w:line="400" w:lineRule="exact"/>
        <w:ind w:firstLine="480" w:firstLineChars="200"/>
        <w:rPr>
          <w:rFonts w:ascii="宋体" w:hAnsi="宋体"/>
          <w:bCs/>
          <w:iCs/>
          <w:color w:val="000000"/>
          <w:sz w:val="24"/>
        </w:rPr>
      </w:pPr>
      <w:r>
        <w:rPr>
          <w:rFonts w:hint="eastAsia" w:ascii="宋体" w:hAnsi="宋体"/>
          <w:bCs/>
          <w:iCs/>
          <w:color w:val="000000"/>
          <w:sz w:val="24"/>
        </w:rPr>
        <w:t>证券代码：维力医疗                           证券简称：603309</w:t>
      </w:r>
    </w:p>
    <w:p w14:paraId="5B30EF3A">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广州维力医疗器械股份有限公司接待调研记录表</w:t>
      </w:r>
    </w:p>
    <w:p w14:paraId="63F44A6F">
      <w:pPr>
        <w:spacing w:line="400" w:lineRule="exact"/>
        <w:rPr>
          <w:rFonts w:ascii="宋体" w:hAnsi="宋体"/>
          <w:bCs/>
          <w:iCs/>
          <w:color w:val="000000"/>
          <w:sz w:val="24"/>
        </w:rPr>
      </w:pPr>
      <w:r>
        <w:rPr>
          <w:rFonts w:hint="eastAsia" w:ascii="宋体" w:hAnsi="宋体"/>
          <w:bCs/>
          <w:iCs/>
          <w:color w:val="000000"/>
          <w:sz w:val="24"/>
        </w:rPr>
        <w:t xml:space="preserve">                                                         编号：20</w:t>
      </w:r>
      <w:r>
        <w:rPr>
          <w:rFonts w:ascii="宋体" w:hAnsi="宋体"/>
          <w:bCs/>
          <w:iCs/>
          <w:color w:val="000000"/>
          <w:sz w:val="24"/>
        </w:rPr>
        <w:t>2</w:t>
      </w:r>
      <w:r>
        <w:rPr>
          <w:rFonts w:hint="eastAsia" w:ascii="宋体" w:hAnsi="宋体"/>
          <w:bCs/>
          <w:iCs/>
          <w:color w:val="000000"/>
          <w:sz w:val="24"/>
        </w:rPr>
        <w:t>600</w:t>
      </w:r>
      <w:r>
        <w:rPr>
          <w:rFonts w:ascii="宋体" w:hAnsi="宋体"/>
          <w:bCs/>
          <w:iCs/>
          <w:color w:val="000000"/>
          <w:sz w:val="24"/>
        </w:rPr>
        <w:t>4</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614"/>
      </w:tblGrid>
      <w:tr w14:paraId="51F6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6C72C7D7">
            <w:pPr>
              <w:spacing w:line="360" w:lineRule="auto"/>
              <w:jc w:val="center"/>
              <w:rPr>
                <w:rFonts w:ascii="宋体" w:hAnsi="宋体"/>
                <w:bCs/>
                <w:iCs/>
                <w:color w:val="000000"/>
                <w:kern w:val="0"/>
                <w:sz w:val="24"/>
              </w:rPr>
            </w:pPr>
            <w:r>
              <w:rPr>
                <w:rFonts w:hint="eastAsia" w:ascii="宋体" w:hAnsi="宋体"/>
                <w:bCs/>
                <w:iCs/>
                <w:color w:val="000000"/>
                <w:kern w:val="0"/>
                <w:sz w:val="24"/>
              </w:rPr>
              <w:t>调研形式</w:t>
            </w:r>
          </w:p>
        </w:tc>
        <w:tc>
          <w:tcPr>
            <w:tcW w:w="6614" w:type="dxa"/>
          </w:tcPr>
          <w:p w14:paraId="38A29DF9">
            <w:pPr>
              <w:spacing w:line="360" w:lineRule="auto"/>
              <w:jc w:val="left"/>
              <w:rPr>
                <w:rFonts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kern w:val="0"/>
                <w:sz w:val="24"/>
                <w14:textFill>
                  <w14:solidFill>
                    <w14:schemeClr w14:val="tx1"/>
                  </w14:solidFill>
                </w14:textFill>
              </w:rPr>
              <w:t xml:space="preserve">□特定对象调研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□分析师会议</w:t>
            </w:r>
          </w:p>
          <w:p w14:paraId="5495EDCC">
            <w:pPr>
              <w:spacing w:line="360" w:lineRule="auto"/>
              <w:jc w:val="left"/>
              <w:rPr>
                <w:rFonts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kern w:val="0"/>
                <w:sz w:val="24"/>
                <w14:textFill>
                  <w14:solidFill>
                    <w14:schemeClr w14:val="tx1"/>
                  </w14:solidFill>
                </w14:textFill>
              </w:rPr>
              <w:t xml:space="preserve">□媒体采访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 xml:space="preserve">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√业绩说明会（电话会议）</w:t>
            </w:r>
          </w:p>
          <w:p w14:paraId="214D62FC">
            <w:pPr>
              <w:spacing w:line="360" w:lineRule="auto"/>
              <w:jc w:val="left"/>
              <w:rPr>
                <w:rFonts w:asciiTheme="minorEastAsia" w:hAnsiTheme="minorEastAsia" w:eastAsiaTheme="minorEastAsia"/>
                <w:color w:val="000000" w:themeColor="text1"/>
                <w:kern w:val="0"/>
                <w:sz w:val="24"/>
                <w14:textFill>
                  <w14:solidFill>
                    <w14:schemeClr w14:val="tx1"/>
                  </w14:solidFill>
                </w14:textFill>
              </w:rPr>
            </w:pPr>
            <w:bookmarkStart w:id="0" w:name="OLE_LINK3"/>
            <w:bookmarkStart w:id="1" w:name="OLE_LINK4"/>
            <w:r>
              <w:rPr>
                <w:rFonts w:hint="eastAsia" w:asciiTheme="minorEastAsia" w:hAnsiTheme="minorEastAsia" w:eastAsiaTheme="minorEastAsia"/>
                <w:color w:val="000000" w:themeColor="text1"/>
                <w:kern w:val="0"/>
                <w:sz w:val="24"/>
                <w14:textFill>
                  <w14:solidFill>
                    <w14:schemeClr w14:val="tx1"/>
                  </w14:solidFill>
                </w14:textFill>
              </w:rPr>
              <w:t>□</w:t>
            </w:r>
            <w:bookmarkEnd w:id="0"/>
            <w:bookmarkEnd w:id="1"/>
            <w:r>
              <w:rPr>
                <w:rFonts w:hint="eastAsia" w:asciiTheme="minorEastAsia" w:hAnsiTheme="minorEastAsia" w:eastAsiaTheme="minorEastAsia"/>
                <w:color w:val="000000" w:themeColor="text1"/>
                <w:kern w:val="0"/>
                <w:sz w:val="24"/>
                <w14:textFill>
                  <w14:solidFill>
                    <w14:schemeClr w14:val="tx1"/>
                  </w14:solidFill>
                </w14:textFill>
              </w:rPr>
              <w:t xml:space="preserve">新闻发布会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 xml:space="preserve">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□路演活动</w:t>
            </w:r>
          </w:p>
          <w:p w14:paraId="33D02665">
            <w:pPr>
              <w:spacing w:line="360" w:lineRule="auto"/>
              <w:jc w:val="left"/>
              <w:rPr>
                <w:rFonts w:asciiTheme="minorEastAsia" w:hAnsiTheme="minorEastAsia" w:eastAsiaTheme="minorEastAsia"/>
                <w:color w:val="000000" w:themeColor="text1"/>
                <w:kern w:val="0"/>
                <w:sz w:val="24"/>
                <w14:textFill>
                  <w14:solidFill>
                    <w14:schemeClr w14:val="tx1"/>
                  </w14:solidFill>
                </w14:textFill>
              </w:rPr>
            </w:pPr>
            <w:r>
              <w:rPr>
                <w:rFonts w:hint="eastAsia" w:asciiTheme="minorEastAsia" w:hAnsiTheme="minorEastAsia" w:eastAsiaTheme="minorEastAsia"/>
                <w:color w:val="000000" w:themeColor="text1"/>
                <w:kern w:val="0"/>
                <w:sz w:val="24"/>
                <w14:textFill>
                  <w14:solidFill>
                    <w14:schemeClr w14:val="tx1"/>
                  </w14:solidFill>
                </w14:textFill>
              </w:rPr>
              <w:t xml:space="preserve">□现场参观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 xml:space="preserve"> </w:t>
            </w:r>
            <w:r>
              <w:rPr>
                <w:rFonts w:asciiTheme="minorEastAsia" w:hAnsiTheme="minorEastAsia" w:eastAsiaTheme="minorEastAsia"/>
                <w:color w:val="000000" w:themeColor="text1"/>
                <w:kern w:val="0"/>
                <w:sz w:val="24"/>
                <w14:textFill>
                  <w14:solidFill>
                    <w14:schemeClr w14:val="tx1"/>
                  </w14:solidFill>
                </w14:textFill>
              </w:rPr>
              <w:t xml:space="preserve"> </w:t>
            </w:r>
            <w:r>
              <w:rPr>
                <w:rFonts w:hint="eastAsia" w:asciiTheme="minorEastAsia" w:hAnsiTheme="minorEastAsia" w:eastAsiaTheme="minorEastAsia"/>
                <w:color w:val="000000" w:themeColor="text1"/>
                <w:kern w:val="0"/>
                <w:sz w:val="24"/>
                <w14:textFill>
                  <w14:solidFill>
                    <w14:schemeClr w14:val="tx1"/>
                  </w14:solidFill>
                </w14:textFill>
              </w:rPr>
              <w:t>□其他</w:t>
            </w:r>
          </w:p>
        </w:tc>
      </w:tr>
      <w:tr w14:paraId="4F09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042791C6">
            <w:pPr>
              <w:spacing w:line="360" w:lineRule="auto"/>
              <w:jc w:val="center"/>
              <w:rPr>
                <w:rFonts w:ascii="宋体" w:hAnsi="宋体"/>
                <w:bCs/>
                <w:iCs/>
                <w:color w:val="000000"/>
                <w:kern w:val="0"/>
                <w:sz w:val="24"/>
              </w:rPr>
            </w:pPr>
            <w:r>
              <w:rPr>
                <w:rFonts w:hint="eastAsia" w:ascii="宋体" w:hAnsi="宋体"/>
                <w:bCs/>
                <w:iCs/>
                <w:color w:val="000000"/>
                <w:kern w:val="0"/>
                <w:sz w:val="24"/>
              </w:rPr>
              <w:t>参与单位名称及人员姓名</w:t>
            </w:r>
          </w:p>
        </w:tc>
        <w:tc>
          <w:tcPr>
            <w:tcW w:w="6614" w:type="dxa"/>
          </w:tcPr>
          <w:p w14:paraId="13BB1847">
            <w:pPr>
              <w:pStyle w:val="2"/>
              <w:widowControl/>
              <w:shd w:val="clear" w:color="auto" w:fill="FFFFFF"/>
              <w:spacing w:after="20" w:line="360" w:lineRule="auto"/>
              <w:outlineLvl w:val="2"/>
              <w:rPr>
                <w:rFonts w:hint="default"/>
                <w:b w:val="0"/>
                <w:color w:val="000000"/>
                <w:sz w:val="24"/>
                <w:szCs w:val="22"/>
              </w:rPr>
            </w:pPr>
            <w:r>
              <w:rPr>
                <w:b w:val="0"/>
                <w:color w:val="000000"/>
                <w:sz w:val="24"/>
                <w:szCs w:val="22"/>
              </w:rPr>
              <w:t>中邮证券、中信期货有限公司、中信保诚资产管理有限责任公司、中信证券、中泰证券研究所、中加基金管理有限公司、招商基金管理有限公司、银华基金管理股份有限公司、银河基金管理有限公司、兴业证券股份有限公司、湘财基金管理有限公司、西南证券、天治基金、天津易鑫安资产管理有限公司、天风证券研究所、泰康资产管理有限责任公司、深圳正圆投资有限公司、深圳市翼虎投资管理有限公司、深圳安瑞置业顾问有限公司、上海慎知资产管理合伙企业（有限合伙）、上海明河投资管理有限公司、上海从容投资管理有限公司、上海伯兄投资管理有限公司、平安证券、平安基金管理有限公司、鹏华基金管理有限公司、南通天合投资管理有限公司、开源证券研究所、巨杉（上海）资产管理有限公司、嘉实基金管理有限责任公司、华夏基金管理有限公司、华泰证券、华富基金管理有限公司、华创证券研究所、鸿运私募基金管理（海南）有限公司、弘毅远方基金管理有限公司、荷荷晴川私募证券投资基金、国信证券股份有限公司、国投证券资产管理有限公司、国泰海通、国盛证券、国联民生、广东谢诺辰阳私募证券投资管理有限公司、光大证券股份有限公司、光大保德信基金管理有限公司、富安达基金管理公司、丰琰投资、方正证券研究所、东方财富证券研究所、东方阿尔法基金管理有限公司、大家资产管理有限责任公司、创金合信管理有限公司、博远基金管理有限公司、北京明希资本管理有限公司、北京东方引擎投资管理有限公司、安徽海螺创业投资有限责任公司、中信建投证券、太平洋证券</w:t>
            </w:r>
          </w:p>
        </w:tc>
      </w:tr>
      <w:tr w14:paraId="6EF7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363D1C7E">
            <w:pPr>
              <w:spacing w:line="360" w:lineRule="auto"/>
              <w:jc w:val="center"/>
              <w:rPr>
                <w:rFonts w:ascii="宋体" w:hAnsi="宋体"/>
                <w:bCs/>
                <w:iCs/>
                <w:color w:val="000000"/>
                <w:kern w:val="0"/>
                <w:sz w:val="24"/>
              </w:rPr>
            </w:pPr>
            <w:r>
              <w:rPr>
                <w:rFonts w:hint="eastAsia" w:ascii="宋体" w:hAnsi="宋体"/>
                <w:bCs/>
                <w:iCs/>
                <w:color w:val="000000"/>
                <w:kern w:val="0"/>
                <w:sz w:val="24"/>
              </w:rPr>
              <w:t>时间</w:t>
            </w:r>
          </w:p>
        </w:tc>
        <w:tc>
          <w:tcPr>
            <w:tcW w:w="6614" w:type="dxa"/>
            <w:vAlign w:val="center"/>
          </w:tcPr>
          <w:p w14:paraId="7BD69537">
            <w:pPr>
              <w:spacing w:line="360" w:lineRule="auto"/>
              <w:rPr>
                <w:rFonts w:ascii="宋体" w:hAnsi="宋体"/>
                <w:bCs/>
                <w:iCs/>
                <w:color w:val="000000"/>
                <w:kern w:val="0"/>
                <w:sz w:val="24"/>
              </w:rPr>
            </w:pPr>
            <w:r>
              <w:rPr>
                <w:rFonts w:hint="eastAsia" w:ascii="宋体" w:hAnsi="宋体"/>
                <w:bCs/>
                <w:iCs/>
                <w:color w:val="000000"/>
                <w:kern w:val="0"/>
                <w:sz w:val="24"/>
              </w:rPr>
              <w:t>20</w:t>
            </w:r>
            <w:r>
              <w:rPr>
                <w:rFonts w:ascii="宋体" w:hAnsi="宋体"/>
                <w:bCs/>
                <w:iCs/>
                <w:color w:val="000000"/>
                <w:kern w:val="0"/>
                <w:sz w:val="24"/>
              </w:rPr>
              <w:t>2</w:t>
            </w:r>
            <w:r>
              <w:rPr>
                <w:rFonts w:hint="eastAsia" w:ascii="宋体" w:hAnsi="宋体"/>
                <w:bCs/>
                <w:iCs/>
                <w:color w:val="000000"/>
                <w:kern w:val="0"/>
                <w:sz w:val="24"/>
              </w:rPr>
              <w:t>6年</w:t>
            </w:r>
            <w:r>
              <w:rPr>
                <w:rFonts w:ascii="宋体" w:hAnsi="宋体"/>
                <w:bCs/>
                <w:iCs/>
                <w:color w:val="000000"/>
                <w:kern w:val="0"/>
                <w:sz w:val="24"/>
              </w:rPr>
              <w:t>7</w:t>
            </w:r>
            <w:r>
              <w:rPr>
                <w:rFonts w:hint="eastAsia" w:ascii="宋体" w:hAnsi="宋体"/>
                <w:bCs/>
                <w:iCs/>
                <w:color w:val="000000"/>
                <w:kern w:val="0"/>
                <w:sz w:val="24"/>
              </w:rPr>
              <w:t>月</w:t>
            </w:r>
            <w:r>
              <w:rPr>
                <w:rFonts w:ascii="宋体" w:hAnsi="宋体"/>
                <w:bCs/>
                <w:iCs/>
                <w:color w:val="000000"/>
                <w:kern w:val="0"/>
                <w:sz w:val="24"/>
              </w:rPr>
              <w:t>31</w:t>
            </w:r>
            <w:r>
              <w:rPr>
                <w:rFonts w:hint="eastAsia" w:ascii="宋体" w:hAnsi="宋体"/>
                <w:bCs/>
                <w:iCs/>
                <w:color w:val="000000"/>
                <w:kern w:val="0"/>
                <w:sz w:val="24"/>
              </w:rPr>
              <w:t>日上午</w:t>
            </w:r>
            <w:r>
              <w:rPr>
                <w:rFonts w:ascii="宋体" w:hAnsi="宋体"/>
                <w:bCs/>
                <w:iCs/>
                <w:color w:val="000000"/>
                <w:kern w:val="0"/>
                <w:sz w:val="24"/>
              </w:rPr>
              <w:t>10</w:t>
            </w:r>
            <w:r>
              <w:rPr>
                <w:rFonts w:hint="eastAsia" w:ascii="宋体" w:hAnsi="宋体"/>
                <w:bCs/>
                <w:iCs/>
                <w:color w:val="000000"/>
                <w:kern w:val="0"/>
                <w:sz w:val="24"/>
              </w:rPr>
              <w:t>：</w:t>
            </w:r>
            <w:r>
              <w:rPr>
                <w:rFonts w:ascii="宋体" w:hAnsi="宋体"/>
                <w:bCs/>
                <w:iCs/>
                <w:color w:val="000000"/>
                <w:kern w:val="0"/>
                <w:sz w:val="24"/>
              </w:rPr>
              <w:t>0</w:t>
            </w:r>
            <w:r>
              <w:rPr>
                <w:rFonts w:hint="eastAsia" w:ascii="宋体" w:hAnsi="宋体"/>
                <w:bCs/>
                <w:iCs/>
                <w:color w:val="000000"/>
                <w:kern w:val="0"/>
                <w:sz w:val="24"/>
              </w:rPr>
              <w:t>0-</w:t>
            </w:r>
            <w:r>
              <w:rPr>
                <w:rFonts w:ascii="宋体" w:hAnsi="宋体"/>
                <w:bCs/>
                <w:iCs/>
                <w:color w:val="000000"/>
                <w:kern w:val="0"/>
                <w:sz w:val="24"/>
              </w:rPr>
              <w:t>11</w:t>
            </w:r>
            <w:r>
              <w:rPr>
                <w:rFonts w:hint="eastAsia" w:ascii="宋体" w:hAnsi="宋体"/>
                <w:bCs/>
                <w:iCs/>
                <w:color w:val="000000"/>
                <w:kern w:val="0"/>
                <w:sz w:val="24"/>
              </w:rPr>
              <w:t>：</w:t>
            </w:r>
            <w:r>
              <w:rPr>
                <w:rFonts w:ascii="宋体" w:hAnsi="宋体"/>
                <w:bCs/>
                <w:iCs/>
                <w:color w:val="000000"/>
                <w:kern w:val="0"/>
                <w:sz w:val="24"/>
              </w:rPr>
              <w:t>00</w:t>
            </w:r>
          </w:p>
        </w:tc>
      </w:tr>
      <w:tr w14:paraId="2AD7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6F2BCB89">
            <w:pPr>
              <w:spacing w:line="360" w:lineRule="auto"/>
              <w:jc w:val="center"/>
              <w:rPr>
                <w:rFonts w:ascii="宋体" w:hAnsi="宋体"/>
                <w:bCs/>
                <w:iCs/>
                <w:color w:val="000000"/>
                <w:kern w:val="0"/>
                <w:sz w:val="24"/>
              </w:rPr>
            </w:pPr>
            <w:r>
              <w:rPr>
                <w:rFonts w:hint="eastAsia" w:ascii="宋体" w:hAnsi="宋体"/>
                <w:bCs/>
                <w:iCs/>
                <w:color w:val="000000"/>
                <w:kern w:val="0"/>
                <w:sz w:val="24"/>
              </w:rPr>
              <w:t>地点</w:t>
            </w:r>
          </w:p>
        </w:tc>
        <w:tc>
          <w:tcPr>
            <w:tcW w:w="6614" w:type="dxa"/>
            <w:vAlign w:val="center"/>
          </w:tcPr>
          <w:p w14:paraId="6B41AE6E">
            <w:pPr>
              <w:spacing w:line="360" w:lineRule="auto"/>
              <w:rPr>
                <w:rFonts w:ascii="宋体" w:hAnsi="宋体"/>
                <w:bCs/>
                <w:iCs/>
                <w:color w:val="000000"/>
                <w:kern w:val="0"/>
                <w:sz w:val="24"/>
              </w:rPr>
            </w:pPr>
            <w:r>
              <w:rPr>
                <w:rFonts w:hint="eastAsia" w:ascii="宋体" w:hAnsi="宋体"/>
                <w:bCs/>
                <w:iCs/>
                <w:color w:val="000000"/>
                <w:kern w:val="0"/>
                <w:sz w:val="24"/>
              </w:rPr>
              <w:t>电话会议</w:t>
            </w:r>
          </w:p>
        </w:tc>
      </w:tr>
      <w:tr w14:paraId="5C5F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6F89DF6D">
            <w:pPr>
              <w:spacing w:line="360" w:lineRule="auto"/>
              <w:jc w:val="center"/>
              <w:rPr>
                <w:rFonts w:ascii="宋体" w:hAnsi="宋体"/>
                <w:bCs/>
                <w:iCs/>
                <w:color w:val="000000"/>
                <w:kern w:val="0"/>
                <w:sz w:val="24"/>
              </w:rPr>
            </w:pPr>
            <w:r>
              <w:rPr>
                <w:rFonts w:hint="eastAsia" w:ascii="宋体" w:hAnsi="宋体"/>
                <w:bCs/>
                <w:iCs/>
                <w:color w:val="000000"/>
                <w:kern w:val="0"/>
                <w:sz w:val="24"/>
              </w:rPr>
              <w:t>上市公司接待人员姓名及职务</w:t>
            </w:r>
          </w:p>
        </w:tc>
        <w:tc>
          <w:tcPr>
            <w:tcW w:w="6614" w:type="dxa"/>
          </w:tcPr>
          <w:p w14:paraId="22AD80E1">
            <w:pPr>
              <w:spacing w:line="360" w:lineRule="auto"/>
              <w:rPr>
                <w:rFonts w:ascii="宋体" w:hAnsi="宋体"/>
                <w:bCs/>
                <w:iCs/>
                <w:color w:val="000000"/>
                <w:kern w:val="0"/>
                <w:sz w:val="24"/>
              </w:rPr>
            </w:pPr>
            <w:r>
              <w:rPr>
                <w:rFonts w:hint="eastAsia" w:ascii="宋体" w:hAnsi="宋体"/>
                <w:bCs/>
                <w:iCs/>
                <w:color w:val="000000"/>
                <w:kern w:val="0"/>
                <w:sz w:val="24"/>
              </w:rPr>
              <w:t>副总经理、董事会秘书：陈斌</w:t>
            </w:r>
          </w:p>
          <w:p w14:paraId="5414FF84">
            <w:pPr>
              <w:spacing w:line="360" w:lineRule="auto"/>
              <w:rPr>
                <w:rFonts w:ascii="宋体" w:hAnsi="宋体"/>
                <w:bCs/>
                <w:iCs/>
                <w:color w:val="000000"/>
                <w:kern w:val="0"/>
                <w:sz w:val="24"/>
              </w:rPr>
            </w:pPr>
            <w:r>
              <w:rPr>
                <w:rFonts w:hint="eastAsia" w:ascii="宋体" w:hAnsi="宋体"/>
                <w:bCs/>
                <w:iCs/>
                <w:color w:val="000000"/>
                <w:kern w:val="0"/>
                <w:sz w:val="24"/>
              </w:rPr>
              <w:t>财务总监：祝一敏</w:t>
            </w:r>
          </w:p>
          <w:p w14:paraId="7553155D">
            <w:pPr>
              <w:spacing w:line="360" w:lineRule="auto"/>
              <w:rPr>
                <w:rFonts w:ascii="宋体" w:hAnsi="宋体"/>
                <w:bCs/>
                <w:iCs/>
                <w:color w:val="000000"/>
                <w:kern w:val="0"/>
                <w:sz w:val="24"/>
              </w:rPr>
            </w:pPr>
            <w:r>
              <w:rPr>
                <w:rFonts w:hint="eastAsia" w:ascii="宋体" w:hAnsi="宋体"/>
                <w:bCs/>
                <w:iCs/>
                <w:color w:val="000000"/>
                <w:kern w:val="0"/>
                <w:sz w:val="24"/>
              </w:rPr>
              <w:t>证券事务代表：吴利芳</w:t>
            </w:r>
          </w:p>
        </w:tc>
      </w:tr>
      <w:tr w14:paraId="771E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08" w:type="dxa"/>
            <w:vAlign w:val="center"/>
          </w:tcPr>
          <w:p w14:paraId="666BCA5D">
            <w:pPr>
              <w:spacing w:line="360" w:lineRule="auto"/>
              <w:ind w:firstLine="240" w:firstLineChars="100"/>
              <w:jc w:val="center"/>
              <w:rPr>
                <w:rFonts w:ascii="宋体" w:hAnsi="宋体"/>
                <w:bCs/>
                <w:iCs/>
                <w:color w:val="000000"/>
                <w:kern w:val="0"/>
                <w:sz w:val="24"/>
              </w:rPr>
            </w:pPr>
            <w:r>
              <w:rPr>
                <w:rFonts w:hint="eastAsia" w:ascii="宋体" w:hAnsi="宋体"/>
                <w:bCs/>
                <w:iCs/>
                <w:color w:val="000000"/>
                <w:kern w:val="0"/>
                <w:sz w:val="24"/>
              </w:rPr>
              <w:t>调研内容</w:t>
            </w:r>
          </w:p>
        </w:tc>
        <w:tc>
          <w:tcPr>
            <w:tcW w:w="6614" w:type="dxa"/>
          </w:tcPr>
          <w:p w14:paraId="10A65D89">
            <w:pPr>
              <w:spacing w:line="360" w:lineRule="auto"/>
              <w:jc w:val="left"/>
              <w:rPr>
                <w:rFonts w:asciiTheme="minorEastAsia" w:hAnsiTheme="minorEastAsia" w:eastAsiaTheme="minorEastAsia"/>
                <w:b/>
                <w:iCs/>
                <w:color w:val="000000"/>
                <w:kern w:val="0"/>
                <w:sz w:val="24"/>
              </w:rPr>
            </w:pPr>
            <w:r>
              <w:rPr>
                <w:rFonts w:hint="eastAsia" w:asciiTheme="minorEastAsia" w:hAnsiTheme="minorEastAsia" w:eastAsiaTheme="minorEastAsia"/>
                <w:b/>
                <w:iCs/>
                <w:color w:val="000000"/>
                <w:kern w:val="0"/>
                <w:sz w:val="24"/>
              </w:rPr>
              <w:t>一、介绍公司202</w:t>
            </w:r>
            <w:r>
              <w:rPr>
                <w:rFonts w:asciiTheme="minorEastAsia" w:hAnsiTheme="minorEastAsia" w:eastAsiaTheme="minorEastAsia"/>
                <w:b/>
                <w:iCs/>
                <w:color w:val="000000"/>
                <w:kern w:val="0"/>
                <w:sz w:val="24"/>
              </w:rPr>
              <w:t>6</w:t>
            </w:r>
            <w:r>
              <w:rPr>
                <w:rFonts w:hint="eastAsia" w:asciiTheme="minorEastAsia" w:hAnsiTheme="minorEastAsia" w:eastAsiaTheme="minorEastAsia"/>
                <w:b/>
                <w:iCs/>
                <w:color w:val="000000"/>
                <w:kern w:val="0"/>
                <w:sz w:val="24"/>
              </w:rPr>
              <w:t>年半年度主要经营情况</w:t>
            </w:r>
          </w:p>
          <w:p w14:paraId="400C4877">
            <w:pPr>
              <w:spacing w:line="360" w:lineRule="auto"/>
              <w:ind w:firstLine="480" w:firstLineChars="200"/>
              <w:jc w:val="left"/>
              <w:rPr>
                <w:rFonts w:asciiTheme="minorEastAsia" w:hAnsiTheme="minorEastAsia" w:eastAsiaTheme="minorEastAsia"/>
                <w:iCs/>
                <w:color w:val="000000"/>
                <w:kern w:val="0"/>
                <w:sz w:val="24"/>
              </w:rPr>
            </w:pPr>
            <w:r>
              <w:rPr>
                <w:rFonts w:hint="eastAsia" w:asciiTheme="minorEastAsia" w:hAnsiTheme="minorEastAsia" w:eastAsiaTheme="minorEastAsia"/>
                <w:iCs/>
                <w:color w:val="000000"/>
                <w:kern w:val="0"/>
                <w:sz w:val="24"/>
              </w:rPr>
              <w:t>2026年上半年，面对复杂严峻的国际政治经济环境以及国内医疗行业深度改革调整的行业背景，公司主营业务仍保持平稳运行，营业收入实现稳健增长。报告期内，受第六批国家医用耗材集采落地影响，国内泌尿外科产品价格下降幅度较大，对综合毛利率产生了一定影响；此外，受外汇波动影响，汇兑损失增加，财务费用率有所提升。在上述多重阶段性因素的综合作用下，公司利润增长阶段性承压。</w:t>
            </w:r>
          </w:p>
          <w:p w14:paraId="4C17B912">
            <w:pPr>
              <w:spacing w:line="360" w:lineRule="auto"/>
              <w:ind w:firstLine="480" w:firstLineChars="200"/>
              <w:jc w:val="left"/>
              <w:rPr>
                <w:rFonts w:asciiTheme="minorEastAsia" w:hAnsiTheme="minorEastAsia" w:eastAsiaTheme="minorEastAsia"/>
                <w:iCs/>
                <w:color w:val="000000"/>
                <w:kern w:val="0"/>
                <w:sz w:val="24"/>
              </w:rPr>
            </w:pPr>
            <w:r>
              <w:rPr>
                <w:rFonts w:hint="eastAsia" w:asciiTheme="minorEastAsia" w:hAnsiTheme="minorEastAsia" w:eastAsiaTheme="minorEastAsia"/>
                <w:iCs/>
                <w:color w:val="000000"/>
                <w:kern w:val="0"/>
                <w:sz w:val="24"/>
              </w:rPr>
              <w:t>2026年上半年，公司实现营业总收入7.69亿元，同比增长3.18%；实现归属于母公司股东的净利润1.02亿元，同比下降15.76%；实现主营业务收入7.43亿元，同比增长1.64%，其中麻醉产品收入2.30亿元，同比增长10.21%，导尿产品收入2.16亿元，同比下滑1.88%，泌尿外科产品收入1.27亿元，同比下滑4.83%，护理产品收入0.86亿元，同比下滑6.52%，血透产品收入0.43亿元，同比增长6.91%，呼吸产品收入0.31亿元，同比增长12.94%。</w:t>
            </w:r>
          </w:p>
          <w:p w14:paraId="685C1AED">
            <w:pPr>
              <w:spacing w:line="360" w:lineRule="auto"/>
              <w:jc w:val="left"/>
              <w:rPr>
                <w:rFonts w:asciiTheme="minorEastAsia" w:hAnsiTheme="minorEastAsia" w:eastAsiaTheme="minorEastAsia"/>
                <w:b/>
                <w:iCs/>
                <w:color w:val="000000"/>
                <w:kern w:val="0"/>
                <w:sz w:val="24"/>
              </w:rPr>
            </w:pPr>
            <w:r>
              <w:rPr>
                <w:rFonts w:hint="eastAsia" w:asciiTheme="minorEastAsia" w:hAnsiTheme="minorEastAsia" w:eastAsiaTheme="minorEastAsia"/>
                <w:b/>
                <w:iCs/>
                <w:color w:val="000000"/>
                <w:kern w:val="0"/>
                <w:sz w:val="24"/>
              </w:rPr>
              <w:t>二、投资者关心的问题及回复如下：</w:t>
            </w:r>
          </w:p>
          <w:p w14:paraId="00F8286E">
            <w:pPr>
              <w:spacing w:line="360" w:lineRule="auto"/>
              <w:ind w:firstLine="482" w:firstLineChars="200"/>
              <w:rPr>
                <w:rFonts w:ascii="宋体" w:hAnsi="宋体" w:cs="宋体"/>
                <w:b/>
                <w:sz w:val="24"/>
              </w:rPr>
            </w:pPr>
            <w:r>
              <w:rPr>
                <w:rFonts w:hint="eastAsia" w:ascii="宋体" w:hAnsi="宋体" w:cs="宋体"/>
                <w:b/>
                <w:sz w:val="24"/>
              </w:rPr>
              <w:t>1、</w:t>
            </w:r>
            <w:bookmarkStart w:id="2" w:name="OLE_LINK7"/>
            <w:bookmarkStart w:id="3" w:name="OLE_LINK8"/>
            <w:r>
              <w:rPr>
                <w:rFonts w:hint="eastAsia" w:ascii="宋体" w:hAnsi="宋体" w:cs="宋体"/>
                <w:b/>
                <w:sz w:val="24"/>
              </w:rPr>
              <w:t>2</w:t>
            </w:r>
            <w:r>
              <w:rPr>
                <w:rFonts w:ascii="宋体" w:hAnsi="宋体" w:cs="宋体"/>
                <w:b/>
                <w:sz w:val="24"/>
              </w:rPr>
              <w:t>026</w:t>
            </w:r>
            <w:r>
              <w:rPr>
                <w:rFonts w:hint="eastAsia" w:ascii="宋体" w:hAnsi="宋体" w:cs="宋体"/>
                <w:b/>
                <w:sz w:val="24"/>
              </w:rPr>
              <w:t>年上半年公司</w:t>
            </w:r>
            <w:bookmarkEnd w:id="2"/>
            <w:bookmarkEnd w:id="3"/>
            <w:r>
              <w:rPr>
                <w:rFonts w:hint="eastAsia" w:ascii="宋体" w:hAnsi="宋体" w:cs="宋体"/>
                <w:b/>
                <w:sz w:val="24"/>
              </w:rPr>
              <w:t>营收增长不及预期的原因是什么？</w:t>
            </w:r>
          </w:p>
          <w:p w14:paraId="55BBC2E6">
            <w:pPr>
              <w:spacing w:line="360" w:lineRule="auto"/>
              <w:ind w:firstLine="480" w:firstLineChars="200"/>
              <w:rPr>
                <w:rFonts w:hint="default" w:ascii="宋体" w:hAnsi="宋体" w:eastAsia="宋体" w:cs="宋体"/>
                <w:bCs/>
                <w:sz w:val="24"/>
                <w:lang w:val="en-US" w:eastAsia="zh-CN"/>
              </w:rPr>
            </w:pPr>
            <w:r>
              <w:rPr>
                <w:rFonts w:hint="eastAsia" w:ascii="宋体" w:hAnsi="宋体" w:cs="宋体"/>
                <w:bCs/>
                <w:sz w:val="24"/>
              </w:rPr>
              <w:t>答：2026年上半年营收增长不及预期的</w:t>
            </w:r>
            <w:r>
              <w:rPr>
                <w:rFonts w:hint="eastAsia" w:ascii="宋体" w:hAnsi="宋体" w:cs="宋体"/>
                <w:bCs/>
                <w:sz w:val="24"/>
                <w:lang w:val="en-US" w:eastAsia="zh-CN"/>
              </w:rPr>
              <w:t xml:space="preserve">主要原因：  </w:t>
            </w:r>
          </w:p>
          <w:p w14:paraId="60CABF40">
            <w:pPr>
              <w:spacing w:line="360" w:lineRule="auto"/>
              <w:ind w:firstLine="480" w:firstLineChars="200"/>
              <w:rPr>
                <w:rFonts w:hint="eastAsia" w:eastAsia="宋体"/>
                <w:lang w:eastAsia="zh-CN"/>
              </w:rPr>
            </w:pPr>
            <w:r>
              <w:rPr>
                <w:rFonts w:hint="eastAsia"/>
                <w:sz w:val="24"/>
                <w:lang w:eastAsia="zh-CN"/>
              </w:rPr>
              <w:t>①</w:t>
            </w:r>
            <w:r>
              <w:rPr>
                <w:rFonts w:hint="eastAsia" w:ascii="宋体" w:hAnsi="宋体" w:cs="宋体"/>
                <w:sz w:val="24"/>
                <w:lang w:eastAsia="zh-CN"/>
              </w:rPr>
              <w:t>国内市场：受</w:t>
            </w:r>
            <w:r>
              <w:rPr>
                <w:rFonts w:hint="eastAsia" w:ascii="宋体" w:hAnsi="宋体" w:cs="宋体"/>
                <w:sz w:val="24"/>
                <w:lang w:val="en-US" w:eastAsia="zh-CN"/>
              </w:rPr>
              <w:t xml:space="preserve">国内医疗耗材集采政策及全国价格联动影响，产品销售价格整体下行，收入增速低于销量增速。其中，泌尿外科线产品受全国集采落地影响，产品线收入同比下滑约14%。  </w:t>
            </w:r>
          </w:p>
          <w:p w14:paraId="2863120D">
            <w:pPr>
              <w:spacing w:line="360" w:lineRule="auto"/>
              <w:ind w:firstLine="480" w:firstLineChars="200"/>
              <w:rPr>
                <w:rFonts w:hint="eastAsia" w:eastAsia="宋体"/>
                <w:lang w:eastAsia="zh-CN"/>
              </w:rPr>
            </w:pPr>
            <w:r>
              <w:rPr>
                <w:rFonts w:hint="eastAsia"/>
                <w:sz w:val="24"/>
                <w:lang w:eastAsia="zh-CN"/>
              </w:rPr>
              <w:t>②</w:t>
            </w:r>
            <w:r>
              <w:rPr>
                <w:rFonts w:hint="eastAsia" w:ascii="宋体" w:hAnsi="宋体" w:cs="宋体"/>
                <w:sz w:val="24"/>
                <w:lang w:eastAsia="zh-CN"/>
              </w:rPr>
              <w:t>海外市场：</w:t>
            </w:r>
            <w:r>
              <w:rPr>
                <w:rFonts w:hint="eastAsia" w:ascii="宋体" w:hAnsi="宋体" w:cs="宋体"/>
                <w:sz w:val="24"/>
                <w:lang w:val="en-US" w:eastAsia="zh-CN"/>
              </w:rPr>
              <w:t>受地缘局势影响，部分区域业务开展受限，叠加物流成本上涨，导致部分海外客户订单延迟发货；同时，国内集采订单集中释放，整体产能紧张，为保障集采供货，公司部分外销订单的排产和交付出现延迟。</w:t>
            </w:r>
          </w:p>
          <w:p w14:paraId="2F6E3F7E">
            <w:pPr>
              <w:spacing w:line="360" w:lineRule="auto"/>
              <w:ind w:firstLine="482" w:firstLineChars="200"/>
              <w:rPr>
                <w:rFonts w:ascii="宋体" w:hAnsi="宋体" w:cs="宋体"/>
                <w:b/>
                <w:sz w:val="24"/>
              </w:rPr>
            </w:pPr>
            <w:r>
              <w:rPr>
                <w:rFonts w:hint="eastAsia" w:ascii="宋体" w:hAnsi="宋体" w:cs="宋体"/>
                <w:b/>
                <w:sz w:val="24"/>
                <w:lang w:val="en-US" w:eastAsia="zh-CN"/>
              </w:rPr>
              <w:t>2</w:t>
            </w:r>
            <w:r>
              <w:rPr>
                <w:rFonts w:hint="eastAsia" w:ascii="宋体" w:hAnsi="宋体" w:cs="宋体"/>
                <w:b/>
                <w:sz w:val="24"/>
              </w:rPr>
              <w:t>、印尼工厂</w:t>
            </w:r>
            <w:r>
              <w:rPr>
                <w:rFonts w:hint="eastAsia" w:ascii="宋体" w:hAnsi="宋体" w:cs="宋体"/>
                <w:b/>
                <w:sz w:val="24"/>
                <w:lang w:val="en-US" w:eastAsia="zh-CN"/>
              </w:rPr>
              <w:t>投产进度怎么样</w:t>
            </w:r>
            <w:r>
              <w:rPr>
                <w:rFonts w:hint="eastAsia" w:ascii="宋体" w:hAnsi="宋体" w:cs="宋体"/>
                <w:b/>
                <w:sz w:val="24"/>
              </w:rPr>
              <w:t>？</w:t>
            </w:r>
          </w:p>
          <w:p w14:paraId="0E93606F">
            <w:pPr>
              <w:spacing w:line="360" w:lineRule="auto"/>
              <w:ind w:firstLine="480" w:firstLineChars="200"/>
              <w:rPr>
                <w:rFonts w:hint="eastAsia" w:eastAsia="宋体"/>
                <w:lang w:eastAsia="zh-CN"/>
              </w:rPr>
            </w:pPr>
            <w:r>
              <w:rPr>
                <w:rFonts w:hint="eastAsia" w:ascii="宋体" w:hAnsi="宋体" w:cs="宋体"/>
                <w:bCs/>
                <w:sz w:val="24"/>
                <w:lang w:eastAsia="zh-CN"/>
              </w:rPr>
              <w:t>答：印尼</w:t>
            </w:r>
            <w:r>
              <w:rPr>
                <w:rFonts w:hint="eastAsia" w:ascii="宋体" w:hAnsi="宋体" w:cs="宋体"/>
                <w:sz w:val="24"/>
                <w:lang w:eastAsia="zh-CN"/>
              </w:rPr>
              <w:t>工厂</w:t>
            </w:r>
            <w:r>
              <w:rPr>
                <w:rFonts w:hint="eastAsia" w:ascii="宋体" w:hAnsi="宋体" w:cs="宋体"/>
                <w:sz w:val="24"/>
                <w:lang w:val="en-US" w:eastAsia="zh-CN"/>
              </w:rPr>
              <w:t>已于今年4月投产，但目前仅能生产非无菌产品，预计8月份开始生产无菌产品。</w:t>
            </w:r>
          </w:p>
          <w:p w14:paraId="4FC322E8">
            <w:pPr>
              <w:spacing w:line="360" w:lineRule="auto"/>
              <w:ind w:firstLine="480" w:firstLineChars="200"/>
              <w:rPr>
                <w:rFonts w:ascii="宋体" w:hAnsi="宋体" w:cs="宋体"/>
                <w:bCs/>
                <w:sz w:val="24"/>
              </w:rPr>
            </w:pPr>
            <w:r>
              <w:rPr>
                <w:rFonts w:hint="eastAsia" w:ascii="宋体" w:hAnsi="宋体" w:cs="宋体"/>
                <w:sz w:val="24"/>
                <w:lang w:val="en-US" w:eastAsia="zh-CN"/>
              </w:rPr>
              <w:t>印尼工厂</w:t>
            </w:r>
            <w:r>
              <w:rPr>
                <w:rFonts w:hint="eastAsia" w:ascii="宋体" w:hAnsi="宋体" w:cs="宋体"/>
                <w:bCs/>
                <w:sz w:val="24"/>
              </w:rPr>
              <w:t>是公司首个海外生产基地，虽然产线硬件配置与国内厂区标准一致，但</w:t>
            </w:r>
            <w:r>
              <w:rPr>
                <w:rFonts w:hint="eastAsia" w:ascii="宋体" w:hAnsi="宋体" w:cs="宋体"/>
                <w:bCs/>
                <w:sz w:val="24"/>
                <w:lang w:eastAsia="zh-CN"/>
              </w:rPr>
              <w:t>受</w:t>
            </w:r>
            <w:r>
              <w:rPr>
                <w:rFonts w:hint="eastAsia" w:ascii="宋体" w:hAnsi="宋体" w:cs="宋体"/>
                <w:bCs/>
                <w:sz w:val="24"/>
              </w:rPr>
              <w:t>当地人员操作、生产环境、产品合规验证、包装检测等多重因素</w:t>
            </w:r>
            <w:r>
              <w:rPr>
                <w:rFonts w:hint="eastAsia" w:ascii="宋体" w:hAnsi="宋体" w:cs="宋体"/>
                <w:bCs/>
                <w:sz w:val="24"/>
                <w:lang w:eastAsia="zh-CN"/>
              </w:rPr>
              <w:t>影响</w:t>
            </w:r>
            <w:r>
              <w:rPr>
                <w:rFonts w:hint="eastAsia" w:ascii="宋体" w:hAnsi="宋体" w:cs="宋体"/>
                <w:bCs/>
                <w:sz w:val="24"/>
              </w:rPr>
              <w:t>，</w:t>
            </w:r>
            <w:r>
              <w:rPr>
                <w:rFonts w:hint="eastAsia" w:ascii="宋体" w:hAnsi="宋体" w:cs="宋体"/>
                <w:bCs/>
                <w:sz w:val="24"/>
                <w:lang w:val="en-US" w:eastAsia="zh-CN"/>
              </w:rPr>
              <w:t>投产进度及产能爬坡</w:t>
            </w:r>
            <w:r>
              <w:rPr>
                <w:rFonts w:hint="eastAsia" w:ascii="宋体" w:hAnsi="宋体" w:cs="宋体"/>
                <w:bCs/>
                <w:sz w:val="24"/>
              </w:rPr>
              <w:t>节奏不及前期规划。公司</w:t>
            </w:r>
            <w:r>
              <w:rPr>
                <w:rFonts w:hint="eastAsia" w:ascii="宋体" w:hAnsi="宋体" w:cs="宋体"/>
                <w:bCs/>
                <w:sz w:val="24"/>
                <w:lang w:val="en-US" w:eastAsia="zh-CN"/>
              </w:rPr>
              <w:t>将</w:t>
            </w:r>
            <w:r>
              <w:rPr>
                <w:rFonts w:hint="eastAsia" w:ascii="宋体" w:hAnsi="宋体" w:cs="宋体"/>
                <w:bCs/>
                <w:sz w:val="24"/>
              </w:rPr>
              <w:t>持续</w:t>
            </w:r>
            <w:r>
              <w:rPr>
                <w:rFonts w:hint="eastAsia" w:ascii="宋体" w:hAnsi="宋体" w:cs="宋体"/>
                <w:bCs/>
                <w:sz w:val="24"/>
                <w:lang w:val="en-US" w:eastAsia="zh-CN"/>
              </w:rPr>
              <w:t>从国内</w:t>
            </w:r>
            <w:r>
              <w:rPr>
                <w:rFonts w:hint="eastAsia" w:ascii="宋体" w:hAnsi="宋体" w:cs="宋体"/>
                <w:bCs/>
                <w:sz w:val="24"/>
              </w:rPr>
              <w:t>派</w:t>
            </w:r>
            <w:r>
              <w:rPr>
                <w:rFonts w:hint="eastAsia" w:ascii="宋体" w:hAnsi="宋体" w:cs="宋体"/>
                <w:bCs/>
                <w:sz w:val="24"/>
                <w:lang w:val="en-US" w:eastAsia="zh-CN"/>
              </w:rPr>
              <w:t>出专业</w:t>
            </w:r>
            <w:r>
              <w:rPr>
                <w:rFonts w:hint="eastAsia" w:ascii="宋体" w:hAnsi="宋体" w:cs="宋体"/>
                <w:bCs/>
                <w:sz w:val="24"/>
              </w:rPr>
              <w:t>团队驻场，全力推进</w:t>
            </w:r>
            <w:r>
              <w:rPr>
                <w:rFonts w:hint="eastAsia" w:ascii="宋体" w:hAnsi="宋体" w:cs="宋体"/>
                <w:bCs/>
                <w:sz w:val="24"/>
                <w:lang w:val="en-US" w:eastAsia="zh-CN"/>
              </w:rPr>
              <w:t>印尼工厂的</w:t>
            </w:r>
            <w:r>
              <w:rPr>
                <w:rFonts w:hint="eastAsia" w:ascii="宋体" w:hAnsi="宋体" w:cs="宋体"/>
                <w:bCs/>
                <w:sz w:val="24"/>
              </w:rPr>
              <w:t>全流程验证与产线磨合。</w:t>
            </w:r>
          </w:p>
          <w:p w14:paraId="067F7355">
            <w:pPr>
              <w:spacing w:line="360" w:lineRule="auto"/>
              <w:ind w:firstLine="482" w:firstLineChars="200"/>
              <w:rPr>
                <w:rFonts w:ascii="宋体" w:hAnsi="宋体" w:cs="宋体"/>
                <w:b/>
                <w:bCs/>
                <w:sz w:val="24"/>
              </w:rPr>
            </w:pPr>
            <w:r>
              <w:rPr>
                <w:rFonts w:hint="eastAsia" w:ascii="宋体" w:hAnsi="宋体" w:cs="宋体"/>
                <w:b/>
                <w:bCs/>
                <w:sz w:val="24"/>
                <w:lang w:val="en-US" w:eastAsia="zh-CN"/>
              </w:rPr>
              <w:t>3</w:t>
            </w:r>
            <w:r>
              <w:rPr>
                <w:rFonts w:hint="eastAsia" w:ascii="宋体" w:hAnsi="宋体" w:cs="宋体"/>
                <w:b/>
                <w:bCs/>
                <w:sz w:val="24"/>
              </w:rPr>
              <w:t>、如何应对持续</w:t>
            </w:r>
            <w:r>
              <w:rPr>
                <w:rFonts w:hint="eastAsia" w:ascii="宋体" w:hAnsi="宋体" w:cs="宋体"/>
                <w:b/>
                <w:bCs/>
                <w:sz w:val="24"/>
                <w:lang w:eastAsia="zh-CN"/>
              </w:rPr>
              <w:t>增加</w:t>
            </w:r>
            <w:r>
              <w:rPr>
                <w:rFonts w:hint="eastAsia" w:ascii="宋体" w:hAnsi="宋体" w:cs="宋体"/>
                <w:b/>
                <w:bCs/>
                <w:sz w:val="24"/>
              </w:rPr>
              <w:t>的汇兑损失？</w:t>
            </w:r>
          </w:p>
          <w:p w14:paraId="18581344">
            <w:pPr>
              <w:spacing w:line="360" w:lineRule="auto"/>
              <w:ind w:firstLine="480" w:firstLineChars="200"/>
              <w:rPr>
                <w:rFonts w:hint="eastAsia" w:ascii="宋体" w:hAnsi="宋体" w:cs="宋体"/>
                <w:sz w:val="24"/>
              </w:rPr>
            </w:pPr>
            <w:r>
              <w:rPr>
                <w:rFonts w:hint="eastAsia" w:ascii="宋体" w:hAnsi="宋体" w:cs="宋体"/>
                <w:sz w:val="24"/>
              </w:rPr>
              <w:t>针对外币汇率波动带来的汇兑</w:t>
            </w:r>
            <w:r>
              <w:rPr>
                <w:rFonts w:hint="eastAsia" w:ascii="宋体" w:hAnsi="宋体" w:cs="宋体"/>
                <w:sz w:val="24"/>
                <w:lang w:val="en-US" w:eastAsia="zh-CN"/>
              </w:rPr>
              <w:t>风险</w:t>
            </w:r>
            <w:r>
              <w:rPr>
                <w:rFonts w:hint="eastAsia" w:ascii="宋体" w:hAnsi="宋体" w:cs="宋体"/>
                <w:sz w:val="24"/>
              </w:rPr>
              <w:t>，公司已常态化开展外汇</w:t>
            </w:r>
            <w:r>
              <w:rPr>
                <w:rFonts w:hint="eastAsia" w:ascii="宋体" w:hAnsi="宋体" w:cs="宋体"/>
                <w:sz w:val="24"/>
                <w:lang w:val="en-US" w:eastAsia="zh-CN"/>
              </w:rPr>
              <w:t>套期保值</w:t>
            </w:r>
            <w:r>
              <w:rPr>
                <w:rFonts w:hint="eastAsia" w:ascii="宋体" w:hAnsi="宋体" w:cs="宋体"/>
                <w:sz w:val="24"/>
              </w:rPr>
              <w:t>操作，以此对冲部分汇率风险。但受海外客户结算账期、信用条款等客观因素</w:t>
            </w:r>
            <w:r>
              <w:rPr>
                <w:rFonts w:hint="eastAsia" w:ascii="宋体" w:hAnsi="宋体" w:cs="宋体"/>
                <w:sz w:val="24"/>
                <w:lang w:eastAsia="zh-CN"/>
              </w:rPr>
              <w:t>限制</w:t>
            </w:r>
            <w:r>
              <w:rPr>
                <w:rFonts w:hint="eastAsia" w:ascii="宋体" w:hAnsi="宋体" w:cs="宋体"/>
                <w:sz w:val="24"/>
              </w:rPr>
              <w:t>，对冲工具无法完全覆盖全部汇兑敞口，仍会产生阶段性</w:t>
            </w:r>
            <w:r>
              <w:rPr>
                <w:rFonts w:hint="eastAsia" w:ascii="宋体" w:hAnsi="宋体" w:cs="宋体"/>
                <w:sz w:val="24"/>
                <w:lang w:val="en-US" w:eastAsia="zh-CN"/>
              </w:rPr>
              <w:t>汇兑损失</w:t>
            </w:r>
            <w:r>
              <w:rPr>
                <w:rFonts w:hint="eastAsia" w:ascii="宋体" w:hAnsi="宋体" w:cs="宋体"/>
                <w:sz w:val="24"/>
              </w:rPr>
              <w:t>。</w:t>
            </w:r>
          </w:p>
          <w:p w14:paraId="4F44DD43">
            <w:pPr>
              <w:spacing w:line="360" w:lineRule="auto"/>
              <w:ind w:firstLine="480" w:firstLineChars="200"/>
              <w:rPr>
                <w:rFonts w:ascii="宋体" w:hAnsi="宋体" w:cs="宋体"/>
                <w:sz w:val="24"/>
              </w:rPr>
            </w:pPr>
            <w:r>
              <w:rPr>
                <w:rFonts w:hint="eastAsia" w:ascii="宋体" w:hAnsi="宋体" w:cs="宋体"/>
                <w:sz w:val="24"/>
              </w:rPr>
              <w:t>后续公司</w:t>
            </w:r>
            <w:r>
              <w:rPr>
                <w:rFonts w:hint="eastAsia" w:ascii="宋体" w:hAnsi="宋体" w:cs="宋体"/>
                <w:sz w:val="24"/>
                <w:lang w:eastAsia="zh-CN"/>
              </w:rPr>
              <w:t>一方面将持续</w:t>
            </w:r>
            <w:r>
              <w:rPr>
                <w:rFonts w:hint="eastAsia" w:ascii="宋体" w:hAnsi="宋体" w:cs="宋体"/>
                <w:sz w:val="24"/>
              </w:rPr>
              <w:t>跟踪人民币汇率走势，若汇率</w:t>
            </w:r>
            <w:r>
              <w:rPr>
                <w:rFonts w:hint="eastAsia" w:ascii="宋体" w:hAnsi="宋体" w:cs="宋体"/>
                <w:sz w:val="24"/>
                <w:lang w:eastAsia="zh-CN"/>
              </w:rPr>
              <w:t>出现</w:t>
            </w:r>
            <w:r>
              <w:rPr>
                <w:rFonts w:hint="eastAsia" w:ascii="宋体" w:hAnsi="宋体" w:cs="宋体"/>
                <w:sz w:val="24"/>
              </w:rPr>
              <w:t>持续大幅波动，</w:t>
            </w:r>
            <w:r>
              <w:rPr>
                <w:rFonts w:hint="eastAsia" w:ascii="宋体" w:hAnsi="宋体" w:cs="宋体"/>
                <w:sz w:val="24"/>
                <w:lang w:eastAsia="zh-CN"/>
              </w:rPr>
              <w:t>公司会</w:t>
            </w:r>
            <w:r>
              <w:rPr>
                <w:rFonts w:hint="eastAsia" w:ascii="宋体" w:hAnsi="宋体" w:cs="宋体"/>
                <w:sz w:val="24"/>
              </w:rPr>
              <w:t>适度调整海外产品报价，从源头对冲汇兑</w:t>
            </w:r>
            <w:r>
              <w:rPr>
                <w:rFonts w:hint="eastAsia" w:ascii="宋体" w:hAnsi="宋体" w:cs="宋体"/>
                <w:sz w:val="24"/>
                <w:lang w:val="en-US" w:eastAsia="zh-CN"/>
              </w:rPr>
              <w:t>风险</w:t>
            </w:r>
            <w:r>
              <w:rPr>
                <w:rFonts w:hint="eastAsia" w:ascii="宋体" w:hAnsi="宋体" w:cs="宋体"/>
                <w:sz w:val="24"/>
              </w:rPr>
              <w:t>；另一方面</w:t>
            </w:r>
            <w:r>
              <w:rPr>
                <w:rFonts w:hint="eastAsia" w:ascii="宋体" w:hAnsi="宋体" w:cs="宋体"/>
                <w:sz w:val="24"/>
                <w:lang w:eastAsia="zh-CN"/>
              </w:rPr>
              <w:t>将</w:t>
            </w:r>
            <w:r>
              <w:rPr>
                <w:rFonts w:hint="eastAsia" w:ascii="宋体" w:hAnsi="宋体" w:cs="宋体"/>
                <w:sz w:val="24"/>
              </w:rPr>
              <w:t>持续拓展海外业务、扩大外销规模，</w:t>
            </w:r>
            <w:r>
              <w:rPr>
                <w:rFonts w:hint="eastAsia" w:ascii="宋体" w:hAnsi="宋体" w:cs="宋体"/>
                <w:sz w:val="24"/>
                <w:lang w:eastAsia="zh-CN"/>
              </w:rPr>
              <w:t>同时</w:t>
            </w:r>
            <w:r>
              <w:rPr>
                <w:rFonts w:hint="eastAsia" w:ascii="宋体" w:hAnsi="宋体" w:cs="宋体"/>
                <w:sz w:val="24"/>
              </w:rPr>
              <w:t>优化海外客户</w:t>
            </w:r>
            <w:r>
              <w:rPr>
                <w:rFonts w:hint="eastAsia" w:ascii="宋体" w:hAnsi="宋体" w:cs="宋体"/>
                <w:sz w:val="24"/>
                <w:lang w:eastAsia="zh-CN"/>
              </w:rPr>
              <w:t>的</w:t>
            </w:r>
            <w:r>
              <w:rPr>
                <w:rFonts w:hint="eastAsia" w:ascii="宋体" w:hAnsi="宋体" w:cs="宋体"/>
                <w:sz w:val="24"/>
              </w:rPr>
              <w:t>结算方式，平抑汇率波动带来的持续性影响。</w:t>
            </w:r>
          </w:p>
          <w:p w14:paraId="3940E7B3">
            <w:pPr>
              <w:spacing w:line="360" w:lineRule="auto"/>
              <w:ind w:firstLine="482" w:firstLineChars="200"/>
              <w:rPr>
                <w:rFonts w:ascii="宋体" w:hAnsi="宋体" w:cs="宋体"/>
                <w:b/>
                <w:sz w:val="24"/>
              </w:rPr>
            </w:pPr>
            <w:r>
              <w:rPr>
                <w:rFonts w:hint="eastAsia" w:ascii="宋体" w:hAnsi="宋体" w:cs="宋体"/>
                <w:b/>
                <w:sz w:val="24"/>
                <w:lang w:val="en-US" w:eastAsia="zh-CN"/>
              </w:rPr>
              <w:t>4</w:t>
            </w:r>
            <w:r>
              <w:rPr>
                <w:rFonts w:hint="eastAsia" w:ascii="宋体" w:hAnsi="宋体" w:cs="宋体"/>
                <w:b/>
                <w:sz w:val="24"/>
              </w:rPr>
              <w:t>、公司在外延并购方面有哪些规划？</w:t>
            </w:r>
          </w:p>
          <w:p w14:paraId="5339C0A3">
            <w:pPr>
              <w:spacing w:line="360" w:lineRule="auto"/>
              <w:ind w:firstLine="480" w:firstLineChars="200"/>
              <w:rPr>
                <w:rFonts w:hint="eastAsia" w:asciiTheme="minorEastAsia" w:hAnsiTheme="minorEastAsia" w:eastAsiaTheme="minorEastAsia"/>
                <w:iCs/>
                <w:color w:val="000000"/>
                <w:kern w:val="0"/>
                <w:sz w:val="24"/>
              </w:rPr>
            </w:pPr>
            <w:r>
              <w:rPr>
                <w:rFonts w:hint="eastAsia" w:ascii="宋体" w:hAnsi="宋体" w:cs="宋体"/>
                <w:sz w:val="24"/>
                <w:lang w:val="en-US" w:eastAsia="zh-CN"/>
              </w:rPr>
              <w:t>公司坚持内部自研创新与外部并购同步推进，在不断加大研发投入的同时，持续关注行业内具备原创创新潜力的优质项目。公司外延投资并购始终围绕医疗器械主业开展，坚持审慎筛选原则，重点考察与现有业务具备协同效应、业务确定性较强</w:t>
            </w:r>
            <w:bookmarkStart w:id="4" w:name="_GoBack"/>
            <w:bookmarkEnd w:id="4"/>
            <w:r>
              <w:rPr>
                <w:rFonts w:hint="eastAsia" w:ascii="宋体" w:hAnsi="宋体" w:cs="宋体"/>
                <w:sz w:val="24"/>
                <w:lang w:val="en-US" w:eastAsia="zh-CN"/>
              </w:rPr>
              <w:t>的上下游标的。</w:t>
            </w:r>
          </w:p>
        </w:tc>
      </w:tr>
      <w:tr w14:paraId="6960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14:paraId="424CE5B7">
            <w:pPr>
              <w:spacing w:line="360" w:lineRule="auto"/>
              <w:rPr>
                <w:rFonts w:ascii="宋体" w:hAnsi="宋体"/>
                <w:bCs/>
                <w:iCs/>
                <w:color w:val="000000"/>
                <w:kern w:val="0"/>
                <w:sz w:val="24"/>
              </w:rPr>
            </w:pPr>
            <w:r>
              <w:rPr>
                <w:rFonts w:hint="eastAsia" w:ascii="宋体" w:hAnsi="宋体"/>
                <w:bCs/>
                <w:iCs/>
                <w:color w:val="000000"/>
                <w:kern w:val="0"/>
                <w:sz w:val="24"/>
              </w:rPr>
              <w:t>附件清单（如有）</w:t>
            </w:r>
          </w:p>
        </w:tc>
        <w:tc>
          <w:tcPr>
            <w:tcW w:w="6614" w:type="dxa"/>
          </w:tcPr>
          <w:p w14:paraId="0F9B5315">
            <w:pPr>
              <w:spacing w:line="360" w:lineRule="auto"/>
              <w:rPr>
                <w:rFonts w:ascii="宋体" w:hAnsi="宋体"/>
                <w:bCs/>
                <w:iCs/>
                <w:color w:val="000000"/>
                <w:kern w:val="0"/>
                <w:sz w:val="24"/>
              </w:rPr>
            </w:pPr>
            <w:r>
              <w:rPr>
                <w:rFonts w:hint="eastAsia" w:ascii="宋体" w:hAnsi="宋体"/>
                <w:bCs/>
                <w:iCs/>
                <w:color w:val="000000"/>
                <w:kern w:val="0"/>
                <w:sz w:val="24"/>
              </w:rPr>
              <w:t>无</w:t>
            </w:r>
          </w:p>
        </w:tc>
      </w:tr>
    </w:tbl>
    <w:p w14:paraId="55B21238"/>
    <w:p w14:paraId="34B22850"/>
    <w:p w14:paraId="31219A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NzJmY2JkNGY4ZmI2MTQwMGFiM2RhNGIwMjY0ZGUifQ=="/>
    <w:docVar w:name="KSO_WPS_MARK_KEY" w:val="45241752-2424-4571-9534-7b2b7e66cbac"/>
  </w:docVars>
  <w:rsids>
    <w:rsidRoot w:val="00C266CB"/>
    <w:rsid w:val="000020BB"/>
    <w:rsid w:val="000032FC"/>
    <w:rsid w:val="00012472"/>
    <w:rsid w:val="000148C6"/>
    <w:rsid w:val="00015973"/>
    <w:rsid w:val="00030E94"/>
    <w:rsid w:val="00035DAA"/>
    <w:rsid w:val="00037EC6"/>
    <w:rsid w:val="00042C88"/>
    <w:rsid w:val="00045B78"/>
    <w:rsid w:val="00046799"/>
    <w:rsid w:val="000515CC"/>
    <w:rsid w:val="00055A10"/>
    <w:rsid w:val="00055A4F"/>
    <w:rsid w:val="00056C9B"/>
    <w:rsid w:val="000627D1"/>
    <w:rsid w:val="0006340A"/>
    <w:rsid w:val="00063E83"/>
    <w:rsid w:val="000640D4"/>
    <w:rsid w:val="0006566C"/>
    <w:rsid w:val="00070583"/>
    <w:rsid w:val="00070C11"/>
    <w:rsid w:val="00074F39"/>
    <w:rsid w:val="00080BD9"/>
    <w:rsid w:val="00082957"/>
    <w:rsid w:val="0009159E"/>
    <w:rsid w:val="00092156"/>
    <w:rsid w:val="00092390"/>
    <w:rsid w:val="0009260A"/>
    <w:rsid w:val="00093087"/>
    <w:rsid w:val="00094390"/>
    <w:rsid w:val="000952D9"/>
    <w:rsid w:val="000A08C7"/>
    <w:rsid w:val="000A09AF"/>
    <w:rsid w:val="000A24D5"/>
    <w:rsid w:val="000A45B4"/>
    <w:rsid w:val="000A55FF"/>
    <w:rsid w:val="000B4815"/>
    <w:rsid w:val="000B48B3"/>
    <w:rsid w:val="000B5FFA"/>
    <w:rsid w:val="000B7BA2"/>
    <w:rsid w:val="000B7EA7"/>
    <w:rsid w:val="000C0466"/>
    <w:rsid w:val="000C133E"/>
    <w:rsid w:val="000C58E2"/>
    <w:rsid w:val="000D3245"/>
    <w:rsid w:val="000D37B1"/>
    <w:rsid w:val="000E0A7E"/>
    <w:rsid w:val="000E0DA6"/>
    <w:rsid w:val="000E0EE6"/>
    <w:rsid w:val="000E6C21"/>
    <w:rsid w:val="000F172C"/>
    <w:rsid w:val="000F3CF1"/>
    <w:rsid w:val="000F5FB3"/>
    <w:rsid w:val="000F6B2D"/>
    <w:rsid w:val="00100C75"/>
    <w:rsid w:val="00102263"/>
    <w:rsid w:val="00114B6E"/>
    <w:rsid w:val="00121E65"/>
    <w:rsid w:val="001237A1"/>
    <w:rsid w:val="001261E0"/>
    <w:rsid w:val="001270C8"/>
    <w:rsid w:val="0012752A"/>
    <w:rsid w:val="00132145"/>
    <w:rsid w:val="00133A7B"/>
    <w:rsid w:val="00133C00"/>
    <w:rsid w:val="00134C22"/>
    <w:rsid w:val="00135D4C"/>
    <w:rsid w:val="001378B7"/>
    <w:rsid w:val="00140C29"/>
    <w:rsid w:val="00141797"/>
    <w:rsid w:val="00144F2A"/>
    <w:rsid w:val="00145A2F"/>
    <w:rsid w:val="001509F4"/>
    <w:rsid w:val="001529DB"/>
    <w:rsid w:val="00155749"/>
    <w:rsid w:val="00155843"/>
    <w:rsid w:val="00157EE5"/>
    <w:rsid w:val="00160B33"/>
    <w:rsid w:val="00161C1D"/>
    <w:rsid w:val="0016586D"/>
    <w:rsid w:val="00165D8A"/>
    <w:rsid w:val="00166605"/>
    <w:rsid w:val="0017161F"/>
    <w:rsid w:val="00172091"/>
    <w:rsid w:val="00184C27"/>
    <w:rsid w:val="00193893"/>
    <w:rsid w:val="001943B5"/>
    <w:rsid w:val="0019786D"/>
    <w:rsid w:val="001A49A5"/>
    <w:rsid w:val="001A7CEB"/>
    <w:rsid w:val="001B3A61"/>
    <w:rsid w:val="001B3CDF"/>
    <w:rsid w:val="001B6B67"/>
    <w:rsid w:val="001C252D"/>
    <w:rsid w:val="001C33CC"/>
    <w:rsid w:val="001C4CC8"/>
    <w:rsid w:val="001C783C"/>
    <w:rsid w:val="001D5096"/>
    <w:rsid w:val="001D5973"/>
    <w:rsid w:val="001E15B0"/>
    <w:rsid w:val="001E2890"/>
    <w:rsid w:val="001F1799"/>
    <w:rsid w:val="001F73E6"/>
    <w:rsid w:val="0020569C"/>
    <w:rsid w:val="00207E12"/>
    <w:rsid w:val="00214550"/>
    <w:rsid w:val="00216C21"/>
    <w:rsid w:val="002241BD"/>
    <w:rsid w:val="0022591A"/>
    <w:rsid w:val="0022677D"/>
    <w:rsid w:val="002375DF"/>
    <w:rsid w:val="002403F2"/>
    <w:rsid w:val="00245274"/>
    <w:rsid w:val="00247163"/>
    <w:rsid w:val="00255D48"/>
    <w:rsid w:val="002624D6"/>
    <w:rsid w:val="0026295C"/>
    <w:rsid w:val="002639FE"/>
    <w:rsid w:val="00264331"/>
    <w:rsid w:val="00264FDB"/>
    <w:rsid w:val="00266C81"/>
    <w:rsid w:val="00267DE5"/>
    <w:rsid w:val="00270676"/>
    <w:rsid w:val="002719BC"/>
    <w:rsid w:val="00271E44"/>
    <w:rsid w:val="00273F2C"/>
    <w:rsid w:val="0027527A"/>
    <w:rsid w:val="00276A36"/>
    <w:rsid w:val="002857B7"/>
    <w:rsid w:val="00287A6E"/>
    <w:rsid w:val="00291103"/>
    <w:rsid w:val="002969C3"/>
    <w:rsid w:val="002A150C"/>
    <w:rsid w:val="002A2289"/>
    <w:rsid w:val="002B0A63"/>
    <w:rsid w:val="002B2CD7"/>
    <w:rsid w:val="002B4DEC"/>
    <w:rsid w:val="002B6AAA"/>
    <w:rsid w:val="002B6DA9"/>
    <w:rsid w:val="002C1EE7"/>
    <w:rsid w:val="002C2483"/>
    <w:rsid w:val="002C3F7C"/>
    <w:rsid w:val="002C6A77"/>
    <w:rsid w:val="002D6A4B"/>
    <w:rsid w:val="002E02A5"/>
    <w:rsid w:val="002E7326"/>
    <w:rsid w:val="002F13F1"/>
    <w:rsid w:val="002F200A"/>
    <w:rsid w:val="002F2C34"/>
    <w:rsid w:val="002F3326"/>
    <w:rsid w:val="002F6D25"/>
    <w:rsid w:val="00300BDC"/>
    <w:rsid w:val="00304617"/>
    <w:rsid w:val="00304B76"/>
    <w:rsid w:val="003077FF"/>
    <w:rsid w:val="0031421E"/>
    <w:rsid w:val="0031693D"/>
    <w:rsid w:val="00321A33"/>
    <w:rsid w:val="00327FF5"/>
    <w:rsid w:val="00332FC0"/>
    <w:rsid w:val="0033329F"/>
    <w:rsid w:val="00333A49"/>
    <w:rsid w:val="00335DBD"/>
    <w:rsid w:val="00343C84"/>
    <w:rsid w:val="00343E0F"/>
    <w:rsid w:val="00345FFD"/>
    <w:rsid w:val="00346B17"/>
    <w:rsid w:val="00346BAB"/>
    <w:rsid w:val="00347208"/>
    <w:rsid w:val="00347FAA"/>
    <w:rsid w:val="00353A63"/>
    <w:rsid w:val="003551C9"/>
    <w:rsid w:val="0035592E"/>
    <w:rsid w:val="003559F3"/>
    <w:rsid w:val="00355F1C"/>
    <w:rsid w:val="0036337B"/>
    <w:rsid w:val="00364DB4"/>
    <w:rsid w:val="003676B4"/>
    <w:rsid w:val="00373CDA"/>
    <w:rsid w:val="00374A67"/>
    <w:rsid w:val="003760E2"/>
    <w:rsid w:val="00376AA0"/>
    <w:rsid w:val="00376E47"/>
    <w:rsid w:val="00387F27"/>
    <w:rsid w:val="0039285C"/>
    <w:rsid w:val="003934F7"/>
    <w:rsid w:val="003953D0"/>
    <w:rsid w:val="003961CF"/>
    <w:rsid w:val="003965CF"/>
    <w:rsid w:val="003A24F8"/>
    <w:rsid w:val="003A66CA"/>
    <w:rsid w:val="003B077C"/>
    <w:rsid w:val="003B73CD"/>
    <w:rsid w:val="003B7E86"/>
    <w:rsid w:val="003C0DAD"/>
    <w:rsid w:val="003C5722"/>
    <w:rsid w:val="003D26FE"/>
    <w:rsid w:val="003D27BA"/>
    <w:rsid w:val="003D47FD"/>
    <w:rsid w:val="003D5E41"/>
    <w:rsid w:val="003D665F"/>
    <w:rsid w:val="003E0588"/>
    <w:rsid w:val="003E0956"/>
    <w:rsid w:val="003E10D4"/>
    <w:rsid w:val="003E18AD"/>
    <w:rsid w:val="003E3B1C"/>
    <w:rsid w:val="003E75CD"/>
    <w:rsid w:val="00400F40"/>
    <w:rsid w:val="00402117"/>
    <w:rsid w:val="00403431"/>
    <w:rsid w:val="00406247"/>
    <w:rsid w:val="00406B9D"/>
    <w:rsid w:val="00407846"/>
    <w:rsid w:val="00411610"/>
    <w:rsid w:val="00411C58"/>
    <w:rsid w:val="00413915"/>
    <w:rsid w:val="00413DA4"/>
    <w:rsid w:val="00415E62"/>
    <w:rsid w:val="0041674D"/>
    <w:rsid w:val="00416AF7"/>
    <w:rsid w:val="00417105"/>
    <w:rsid w:val="004201C8"/>
    <w:rsid w:val="00420A55"/>
    <w:rsid w:val="00423CD5"/>
    <w:rsid w:val="004303AF"/>
    <w:rsid w:val="004311A7"/>
    <w:rsid w:val="00432577"/>
    <w:rsid w:val="00432CB4"/>
    <w:rsid w:val="00432F23"/>
    <w:rsid w:val="004337A0"/>
    <w:rsid w:val="00441105"/>
    <w:rsid w:val="00441D2F"/>
    <w:rsid w:val="00441EAC"/>
    <w:rsid w:val="00445877"/>
    <w:rsid w:val="00446C7F"/>
    <w:rsid w:val="00450F9C"/>
    <w:rsid w:val="00456818"/>
    <w:rsid w:val="00473655"/>
    <w:rsid w:val="00476A35"/>
    <w:rsid w:val="004775FF"/>
    <w:rsid w:val="00477D31"/>
    <w:rsid w:val="00484066"/>
    <w:rsid w:val="00485F26"/>
    <w:rsid w:val="00486683"/>
    <w:rsid w:val="00490377"/>
    <w:rsid w:val="0049250D"/>
    <w:rsid w:val="004928D7"/>
    <w:rsid w:val="00492C58"/>
    <w:rsid w:val="004954F6"/>
    <w:rsid w:val="004A1991"/>
    <w:rsid w:val="004A2335"/>
    <w:rsid w:val="004A3C6E"/>
    <w:rsid w:val="004A4982"/>
    <w:rsid w:val="004A7A7F"/>
    <w:rsid w:val="004B0A73"/>
    <w:rsid w:val="004B0E8D"/>
    <w:rsid w:val="004B19AA"/>
    <w:rsid w:val="004B37ED"/>
    <w:rsid w:val="004B4110"/>
    <w:rsid w:val="004B490A"/>
    <w:rsid w:val="004B5462"/>
    <w:rsid w:val="004C3474"/>
    <w:rsid w:val="004C6C2F"/>
    <w:rsid w:val="004D0AAB"/>
    <w:rsid w:val="004D361E"/>
    <w:rsid w:val="004D48A7"/>
    <w:rsid w:val="004D4AB7"/>
    <w:rsid w:val="004D5566"/>
    <w:rsid w:val="004D727C"/>
    <w:rsid w:val="004F0B0C"/>
    <w:rsid w:val="004F3AFA"/>
    <w:rsid w:val="004F5B23"/>
    <w:rsid w:val="005005F7"/>
    <w:rsid w:val="0050170A"/>
    <w:rsid w:val="00502753"/>
    <w:rsid w:val="00502B21"/>
    <w:rsid w:val="00502D7E"/>
    <w:rsid w:val="00505608"/>
    <w:rsid w:val="00516C9C"/>
    <w:rsid w:val="00520DEE"/>
    <w:rsid w:val="005214EA"/>
    <w:rsid w:val="00527129"/>
    <w:rsid w:val="00530C58"/>
    <w:rsid w:val="005317D3"/>
    <w:rsid w:val="00533041"/>
    <w:rsid w:val="005361B1"/>
    <w:rsid w:val="00543AE5"/>
    <w:rsid w:val="00544293"/>
    <w:rsid w:val="005462D7"/>
    <w:rsid w:val="00547933"/>
    <w:rsid w:val="00555A45"/>
    <w:rsid w:val="00563629"/>
    <w:rsid w:val="00570DCB"/>
    <w:rsid w:val="00575888"/>
    <w:rsid w:val="0058093B"/>
    <w:rsid w:val="00587177"/>
    <w:rsid w:val="00594118"/>
    <w:rsid w:val="0059643C"/>
    <w:rsid w:val="005967D9"/>
    <w:rsid w:val="00596D3D"/>
    <w:rsid w:val="005A302A"/>
    <w:rsid w:val="005A5C15"/>
    <w:rsid w:val="005A6C57"/>
    <w:rsid w:val="005A7ACD"/>
    <w:rsid w:val="005B16DF"/>
    <w:rsid w:val="005B1CE9"/>
    <w:rsid w:val="005B2003"/>
    <w:rsid w:val="005B267B"/>
    <w:rsid w:val="005B3E29"/>
    <w:rsid w:val="005B4C05"/>
    <w:rsid w:val="005B5A15"/>
    <w:rsid w:val="005B7624"/>
    <w:rsid w:val="005C2DA9"/>
    <w:rsid w:val="005C5312"/>
    <w:rsid w:val="005C739F"/>
    <w:rsid w:val="005D3882"/>
    <w:rsid w:val="005D491F"/>
    <w:rsid w:val="005E2EB9"/>
    <w:rsid w:val="005E7CB3"/>
    <w:rsid w:val="005F0CD8"/>
    <w:rsid w:val="005F170D"/>
    <w:rsid w:val="005F1749"/>
    <w:rsid w:val="005F27A5"/>
    <w:rsid w:val="005F42A3"/>
    <w:rsid w:val="005F4F6B"/>
    <w:rsid w:val="005F7C0C"/>
    <w:rsid w:val="006004F5"/>
    <w:rsid w:val="0060277E"/>
    <w:rsid w:val="006038BF"/>
    <w:rsid w:val="00606BCE"/>
    <w:rsid w:val="006108C1"/>
    <w:rsid w:val="00611B0D"/>
    <w:rsid w:val="00612485"/>
    <w:rsid w:val="00613797"/>
    <w:rsid w:val="00616D0E"/>
    <w:rsid w:val="006229DD"/>
    <w:rsid w:val="00625617"/>
    <w:rsid w:val="00630F25"/>
    <w:rsid w:val="00632EAB"/>
    <w:rsid w:val="00633E53"/>
    <w:rsid w:val="006341D3"/>
    <w:rsid w:val="006353AA"/>
    <w:rsid w:val="00635D50"/>
    <w:rsid w:val="006362F3"/>
    <w:rsid w:val="00640ED9"/>
    <w:rsid w:val="00643674"/>
    <w:rsid w:val="00643FC7"/>
    <w:rsid w:val="006441F4"/>
    <w:rsid w:val="00646801"/>
    <w:rsid w:val="00647C1B"/>
    <w:rsid w:val="00650F31"/>
    <w:rsid w:val="00653BAD"/>
    <w:rsid w:val="00654D72"/>
    <w:rsid w:val="0065772F"/>
    <w:rsid w:val="006624BF"/>
    <w:rsid w:val="00662F63"/>
    <w:rsid w:val="00664477"/>
    <w:rsid w:val="0066583D"/>
    <w:rsid w:val="00676DB7"/>
    <w:rsid w:val="00677190"/>
    <w:rsid w:val="006775B0"/>
    <w:rsid w:val="00677E2C"/>
    <w:rsid w:val="00680236"/>
    <w:rsid w:val="006817D1"/>
    <w:rsid w:val="00682432"/>
    <w:rsid w:val="0068290A"/>
    <w:rsid w:val="00682B13"/>
    <w:rsid w:val="0068479F"/>
    <w:rsid w:val="006918FB"/>
    <w:rsid w:val="00692B1F"/>
    <w:rsid w:val="006943A2"/>
    <w:rsid w:val="00694BC1"/>
    <w:rsid w:val="00695603"/>
    <w:rsid w:val="00695CD7"/>
    <w:rsid w:val="006A2FA4"/>
    <w:rsid w:val="006A3C68"/>
    <w:rsid w:val="006A43F6"/>
    <w:rsid w:val="006A5FC3"/>
    <w:rsid w:val="006A782D"/>
    <w:rsid w:val="006B063A"/>
    <w:rsid w:val="006B0F68"/>
    <w:rsid w:val="006B5582"/>
    <w:rsid w:val="006B5D8D"/>
    <w:rsid w:val="006B7117"/>
    <w:rsid w:val="006B7D0E"/>
    <w:rsid w:val="006C0C89"/>
    <w:rsid w:val="006C213A"/>
    <w:rsid w:val="006C4D84"/>
    <w:rsid w:val="006C4EF6"/>
    <w:rsid w:val="006C596B"/>
    <w:rsid w:val="006C5A04"/>
    <w:rsid w:val="006D0C65"/>
    <w:rsid w:val="006D0C69"/>
    <w:rsid w:val="006D0DB6"/>
    <w:rsid w:val="006D273E"/>
    <w:rsid w:val="006D421D"/>
    <w:rsid w:val="006D5A6F"/>
    <w:rsid w:val="006E0312"/>
    <w:rsid w:val="006E0C3E"/>
    <w:rsid w:val="006E1372"/>
    <w:rsid w:val="006E1386"/>
    <w:rsid w:val="006E15F1"/>
    <w:rsid w:val="006E5923"/>
    <w:rsid w:val="006E67EA"/>
    <w:rsid w:val="006E75D8"/>
    <w:rsid w:val="006F29E6"/>
    <w:rsid w:val="006F6430"/>
    <w:rsid w:val="007016E1"/>
    <w:rsid w:val="00701AE2"/>
    <w:rsid w:val="007033B0"/>
    <w:rsid w:val="00705FE9"/>
    <w:rsid w:val="00707995"/>
    <w:rsid w:val="00711DDE"/>
    <w:rsid w:val="00712EF0"/>
    <w:rsid w:val="00715944"/>
    <w:rsid w:val="00720A06"/>
    <w:rsid w:val="00722DC4"/>
    <w:rsid w:val="0072437C"/>
    <w:rsid w:val="007244C1"/>
    <w:rsid w:val="00730ED4"/>
    <w:rsid w:val="00732A6B"/>
    <w:rsid w:val="0074245D"/>
    <w:rsid w:val="007440DE"/>
    <w:rsid w:val="00744519"/>
    <w:rsid w:val="007467AE"/>
    <w:rsid w:val="00752C15"/>
    <w:rsid w:val="0075333F"/>
    <w:rsid w:val="0075362D"/>
    <w:rsid w:val="007572BA"/>
    <w:rsid w:val="007606DC"/>
    <w:rsid w:val="00760BA9"/>
    <w:rsid w:val="00765E10"/>
    <w:rsid w:val="0077364B"/>
    <w:rsid w:val="00775C6D"/>
    <w:rsid w:val="00776A85"/>
    <w:rsid w:val="00785995"/>
    <w:rsid w:val="00786624"/>
    <w:rsid w:val="00787DD1"/>
    <w:rsid w:val="0079188C"/>
    <w:rsid w:val="0079295A"/>
    <w:rsid w:val="00793CB1"/>
    <w:rsid w:val="00794A41"/>
    <w:rsid w:val="00795609"/>
    <w:rsid w:val="007A0CDB"/>
    <w:rsid w:val="007A0EC1"/>
    <w:rsid w:val="007A2325"/>
    <w:rsid w:val="007A2F07"/>
    <w:rsid w:val="007A4708"/>
    <w:rsid w:val="007A4F35"/>
    <w:rsid w:val="007A7CF9"/>
    <w:rsid w:val="007B0F78"/>
    <w:rsid w:val="007B1C20"/>
    <w:rsid w:val="007B386F"/>
    <w:rsid w:val="007B5ED1"/>
    <w:rsid w:val="007C0298"/>
    <w:rsid w:val="007C7617"/>
    <w:rsid w:val="007D0A0E"/>
    <w:rsid w:val="007D2C3A"/>
    <w:rsid w:val="007D4481"/>
    <w:rsid w:val="007D5F2D"/>
    <w:rsid w:val="007D65DA"/>
    <w:rsid w:val="007E086B"/>
    <w:rsid w:val="007E1268"/>
    <w:rsid w:val="007E188B"/>
    <w:rsid w:val="007E1A62"/>
    <w:rsid w:val="007E3068"/>
    <w:rsid w:val="007E3C0C"/>
    <w:rsid w:val="007E41F3"/>
    <w:rsid w:val="007E659D"/>
    <w:rsid w:val="007E7723"/>
    <w:rsid w:val="007F429A"/>
    <w:rsid w:val="007F66E7"/>
    <w:rsid w:val="00801635"/>
    <w:rsid w:val="008024ED"/>
    <w:rsid w:val="00804A70"/>
    <w:rsid w:val="00807AFC"/>
    <w:rsid w:val="008116E6"/>
    <w:rsid w:val="00816ADC"/>
    <w:rsid w:val="00817736"/>
    <w:rsid w:val="00822244"/>
    <w:rsid w:val="008238CC"/>
    <w:rsid w:val="0082549C"/>
    <w:rsid w:val="00832702"/>
    <w:rsid w:val="008341AC"/>
    <w:rsid w:val="00836608"/>
    <w:rsid w:val="008371F8"/>
    <w:rsid w:val="008409C6"/>
    <w:rsid w:val="008413BD"/>
    <w:rsid w:val="00847247"/>
    <w:rsid w:val="008515D4"/>
    <w:rsid w:val="00851853"/>
    <w:rsid w:val="00852E04"/>
    <w:rsid w:val="00855794"/>
    <w:rsid w:val="00857063"/>
    <w:rsid w:val="00857D00"/>
    <w:rsid w:val="00862DF2"/>
    <w:rsid w:val="0086703A"/>
    <w:rsid w:val="00870F92"/>
    <w:rsid w:val="0087311E"/>
    <w:rsid w:val="008765D5"/>
    <w:rsid w:val="008832B9"/>
    <w:rsid w:val="008843B4"/>
    <w:rsid w:val="00887C48"/>
    <w:rsid w:val="00891F8D"/>
    <w:rsid w:val="00892892"/>
    <w:rsid w:val="00893563"/>
    <w:rsid w:val="00894868"/>
    <w:rsid w:val="008972EC"/>
    <w:rsid w:val="008A2923"/>
    <w:rsid w:val="008A7E11"/>
    <w:rsid w:val="008B5836"/>
    <w:rsid w:val="008C1041"/>
    <w:rsid w:val="008C1BED"/>
    <w:rsid w:val="008C1E9C"/>
    <w:rsid w:val="008C65BC"/>
    <w:rsid w:val="008C7FA0"/>
    <w:rsid w:val="008D1739"/>
    <w:rsid w:val="008D204D"/>
    <w:rsid w:val="008D55E6"/>
    <w:rsid w:val="008D59CC"/>
    <w:rsid w:val="008D743A"/>
    <w:rsid w:val="008E12D8"/>
    <w:rsid w:val="008E22B5"/>
    <w:rsid w:val="008E45C7"/>
    <w:rsid w:val="008E5395"/>
    <w:rsid w:val="008F1191"/>
    <w:rsid w:val="00903FA4"/>
    <w:rsid w:val="0090595D"/>
    <w:rsid w:val="00910A6B"/>
    <w:rsid w:val="00922237"/>
    <w:rsid w:val="00922CE0"/>
    <w:rsid w:val="00927007"/>
    <w:rsid w:val="009326FE"/>
    <w:rsid w:val="00933248"/>
    <w:rsid w:val="0093558A"/>
    <w:rsid w:val="009401BD"/>
    <w:rsid w:val="00943F03"/>
    <w:rsid w:val="00945F59"/>
    <w:rsid w:val="00946088"/>
    <w:rsid w:val="009462E0"/>
    <w:rsid w:val="00950F27"/>
    <w:rsid w:val="009550E0"/>
    <w:rsid w:val="0095776B"/>
    <w:rsid w:val="00957FE1"/>
    <w:rsid w:val="009647AE"/>
    <w:rsid w:val="00964944"/>
    <w:rsid w:val="009658CB"/>
    <w:rsid w:val="00965F57"/>
    <w:rsid w:val="00974B0C"/>
    <w:rsid w:val="00975632"/>
    <w:rsid w:val="00976D9E"/>
    <w:rsid w:val="009770EE"/>
    <w:rsid w:val="009776B6"/>
    <w:rsid w:val="00977E93"/>
    <w:rsid w:val="009811E0"/>
    <w:rsid w:val="009857A0"/>
    <w:rsid w:val="0099244B"/>
    <w:rsid w:val="00992575"/>
    <w:rsid w:val="00993A25"/>
    <w:rsid w:val="009968C6"/>
    <w:rsid w:val="009A187F"/>
    <w:rsid w:val="009A6AAA"/>
    <w:rsid w:val="009A6ADF"/>
    <w:rsid w:val="009B4D07"/>
    <w:rsid w:val="009B535A"/>
    <w:rsid w:val="009B5997"/>
    <w:rsid w:val="009C2B86"/>
    <w:rsid w:val="009C3667"/>
    <w:rsid w:val="009C3BCF"/>
    <w:rsid w:val="009D127A"/>
    <w:rsid w:val="009D1BCF"/>
    <w:rsid w:val="009D4EE9"/>
    <w:rsid w:val="009D5A1B"/>
    <w:rsid w:val="009D651D"/>
    <w:rsid w:val="009D6C92"/>
    <w:rsid w:val="009E0AF1"/>
    <w:rsid w:val="009E7F3B"/>
    <w:rsid w:val="009F4961"/>
    <w:rsid w:val="009F636E"/>
    <w:rsid w:val="009F7A36"/>
    <w:rsid w:val="00A0074C"/>
    <w:rsid w:val="00A03B30"/>
    <w:rsid w:val="00A0416A"/>
    <w:rsid w:val="00A04740"/>
    <w:rsid w:val="00A073BD"/>
    <w:rsid w:val="00A11229"/>
    <w:rsid w:val="00A1142F"/>
    <w:rsid w:val="00A117F0"/>
    <w:rsid w:val="00A12AD3"/>
    <w:rsid w:val="00A22986"/>
    <w:rsid w:val="00A265D5"/>
    <w:rsid w:val="00A32DC1"/>
    <w:rsid w:val="00A35C43"/>
    <w:rsid w:val="00A37467"/>
    <w:rsid w:val="00A41584"/>
    <w:rsid w:val="00A443FB"/>
    <w:rsid w:val="00A466D7"/>
    <w:rsid w:val="00A471B5"/>
    <w:rsid w:val="00A502B5"/>
    <w:rsid w:val="00A518B1"/>
    <w:rsid w:val="00A54750"/>
    <w:rsid w:val="00A613D5"/>
    <w:rsid w:val="00A623F8"/>
    <w:rsid w:val="00A6412E"/>
    <w:rsid w:val="00A64FAF"/>
    <w:rsid w:val="00A67303"/>
    <w:rsid w:val="00A70E98"/>
    <w:rsid w:val="00A73048"/>
    <w:rsid w:val="00A75583"/>
    <w:rsid w:val="00A77DE1"/>
    <w:rsid w:val="00A805EC"/>
    <w:rsid w:val="00A90892"/>
    <w:rsid w:val="00AA1DBD"/>
    <w:rsid w:val="00AB05F0"/>
    <w:rsid w:val="00AB33CF"/>
    <w:rsid w:val="00AB382E"/>
    <w:rsid w:val="00AB4AA3"/>
    <w:rsid w:val="00AB52CF"/>
    <w:rsid w:val="00AB74F8"/>
    <w:rsid w:val="00AC0042"/>
    <w:rsid w:val="00AC346B"/>
    <w:rsid w:val="00AC5B68"/>
    <w:rsid w:val="00AC5C9D"/>
    <w:rsid w:val="00AD1AFD"/>
    <w:rsid w:val="00AD43FA"/>
    <w:rsid w:val="00AD4972"/>
    <w:rsid w:val="00AD5134"/>
    <w:rsid w:val="00AE1116"/>
    <w:rsid w:val="00AE570A"/>
    <w:rsid w:val="00AE5BF5"/>
    <w:rsid w:val="00AE6F20"/>
    <w:rsid w:val="00AF0D90"/>
    <w:rsid w:val="00AF3F68"/>
    <w:rsid w:val="00B033C7"/>
    <w:rsid w:val="00B033CB"/>
    <w:rsid w:val="00B038D8"/>
    <w:rsid w:val="00B05889"/>
    <w:rsid w:val="00B06C67"/>
    <w:rsid w:val="00B0705C"/>
    <w:rsid w:val="00B109A3"/>
    <w:rsid w:val="00B1531F"/>
    <w:rsid w:val="00B1671A"/>
    <w:rsid w:val="00B23532"/>
    <w:rsid w:val="00B2521D"/>
    <w:rsid w:val="00B3108F"/>
    <w:rsid w:val="00B313DE"/>
    <w:rsid w:val="00B31656"/>
    <w:rsid w:val="00B320F4"/>
    <w:rsid w:val="00B355FF"/>
    <w:rsid w:val="00B371A2"/>
    <w:rsid w:val="00B41F2C"/>
    <w:rsid w:val="00B4223D"/>
    <w:rsid w:val="00B452CD"/>
    <w:rsid w:val="00B5713C"/>
    <w:rsid w:val="00B67A90"/>
    <w:rsid w:val="00B67D65"/>
    <w:rsid w:val="00B75669"/>
    <w:rsid w:val="00B76E60"/>
    <w:rsid w:val="00B779E5"/>
    <w:rsid w:val="00B815B2"/>
    <w:rsid w:val="00B87F3E"/>
    <w:rsid w:val="00B91A77"/>
    <w:rsid w:val="00B91ABD"/>
    <w:rsid w:val="00B948EE"/>
    <w:rsid w:val="00B94E1A"/>
    <w:rsid w:val="00B974FA"/>
    <w:rsid w:val="00BA0DB8"/>
    <w:rsid w:val="00BA2431"/>
    <w:rsid w:val="00BA50EB"/>
    <w:rsid w:val="00BB756C"/>
    <w:rsid w:val="00BB78D2"/>
    <w:rsid w:val="00BC17B9"/>
    <w:rsid w:val="00BC61FC"/>
    <w:rsid w:val="00BC71BF"/>
    <w:rsid w:val="00BD0D47"/>
    <w:rsid w:val="00BD2D33"/>
    <w:rsid w:val="00BD4C56"/>
    <w:rsid w:val="00BD4D23"/>
    <w:rsid w:val="00BD7E13"/>
    <w:rsid w:val="00BD7E89"/>
    <w:rsid w:val="00BE2EDE"/>
    <w:rsid w:val="00BE32F9"/>
    <w:rsid w:val="00BE50C7"/>
    <w:rsid w:val="00BF03FF"/>
    <w:rsid w:val="00C00BB3"/>
    <w:rsid w:val="00C00CB9"/>
    <w:rsid w:val="00C0202E"/>
    <w:rsid w:val="00C07D73"/>
    <w:rsid w:val="00C12C19"/>
    <w:rsid w:val="00C13021"/>
    <w:rsid w:val="00C13EC2"/>
    <w:rsid w:val="00C21B8D"/>
    <w:rsid w:val="00C21E93"/>
    <w:rsid w:val="00C2594A"/>
    <w:rsid w:val="00C266CB"/>
    <w:rsid w:val="00C305DE"/>
    <w:rsid w:val="00C32A85"/>
    <w:rsid w:val="00C33A28"/>
    <w:rsid w:val="00C35809"/>
    <w:rsid w:val="00C36EE9"/>
    <w:rsid w:val="00C44779"/>
    <w:rsid w:val="00C47FCD"/>
    <w:rsid w:val="00C563FE"/>
    <w:rsid w:val="00C629EA"/>
    <w:rsid w:val="00C64047"/>
    <w:rsid w:val="00C713DE"/>
    <w:rsid w:val="00C8237C"/>
    <w:rsid w:val="00C8432B"/>
    <w:rsid w:val="00C87DDB"/>
    <w:rsid w:val="00C900C1"/>
    <w:rsid w:val="00C92A40"/>
    <w:rsid w:val="00C92C8F"/>
    <w:rsid w:val="00C97032"/>
    <w:rsid w:val="00C979C1"/>
    <w:rsid w:val="00CA0BFB"/>
    <w:rsid w:val="00CA33BE"/>
    <w:rsid w:val="00CA405E"/>
    <w:rsid w:val="00CA7B04"/>
    <w:rsid w:val="00CB2B34"/>
    <w:rsid w:val="00CB57C1"/>
    <w:rsid w:val="00CB60EB"/>
    <w:rsid w:val="00CB6D47"/>
    <w:rsid w:val="00CB785B"/>
    <w:rsid w:val="00CB7DC2"/>
    <w:rsid w:val="00CC1DC9"/>
    <w:rsid w:val="00CC308E"/>
    <w:rsid w:val="00CC3AA0"/>
    <w:rsid w:val="00CC3F5E"/>
    <w:rsid w:val="00CC45F2"/>
    <w:rsid w:val="00CC561B"/>
    <w:rsid w:val="00CC6540"/>
    <w:rsid w:val="00CD2592"/>
    <w:rsid w:val="00CD34F3"/>
    <w:rsid w:val="00CD4E9B"/>
    <w:rsid w:val="00CD7598"/>
    <w:rsid w:val="00CE3400"/>
    <w:rsid w:val="00CF0628"/>
    <w:rsid w:val="00CF2006"/>
    <w:rsid w:val="00D01194"/>
    <w:rsid w:val="00D01ACA"/>
    <w:rsid w:val="00D05DCE"/>
    <w:rsid w:val="00D13CDD"/>
    <w:rsid w:val="00D15740"/>
    <w:rsid w:val="00D16A1E"/>
    <w:rsid w:val="00D23230"/>
    <w:rsid w:val="00D23A7E"/>
    <w:rsid w:val="00D26FD2"/>
    <w:rsid w:val="00D30137"/>
    <w:rsid w:val="00D3187A"/>
    <w:rsid w:val="00D32139"/>
    <w:rsid w:val="00D34CA8"/>
    <w:rsid w:val="00D36151"/>
    <w:rsid w:val="00D36EEB"/>
    <w:rsid w:val="00D44DC7"/>
    <w:rsid w:val="00D464CA"/>
    <w:rsid w:val="00D54F03"/>
    <w:rsid w:val="00D570BB"/>
    <w:rsid w:val="00D60032"/>
    <w:rsid w:val="00D60302"/>
    <w:rsid w:val="00D60718"/>
    <w:rsid w:val="00D60C9E"/>
    <w:rsid w:val="00D6132B"/>
    <w:rsid w:val="00D613B0"/>
    <w:rsid w:val="00D61AD7"/>
    <w:rsid w:val="00D67414"/>
    <w:rsid w:val="00D70F4A"/>
    <w:rsid w:val="00D8631B"/>
    <w:rsid w:val="00D86DA4"/>
    <w:rsid w:val="00D87FDD"/>
    <w:rsid w:val="00D90E26"/>
    <w:rsid w:val="00D9386B"/>
    <w:rsid w:val="00D9721A"/>
    <w:rsid w:val="00DA385F"/>
    <w:rsid w:val="00DA66CC"/>
    <w:rsid w:val="00DA6EFC"/>
    <w:rsid w:val="00DB0594"/>
    <w:rsid w:val="00DB7D2C"/>
    <w:rsid w:val="00DC3D3B"/>
    <w:rsid w:val="00DC7A94"/>
    <w:rsid w:val="00DD7F11"/>
    <w:rsid w:val="00DD7FB4"/>
    <w:rsid w:val="00DE0132"/>
    <w:rsid w:val="00DE5659"/>
    <w:rsid w:val="00E000CD"/>
    <w:rsid w:val="00E00739"/>
    <w:rsid w:val="00E020E1"/>
    <w:rsid w:val="00E043F3"/>
    <w:rsid w:val="00E0537C"/>
    <w:rsid w:val="00E05A48"/>
    <w:rsid w:val="00E05B25"/>
    <w:rsid w:val="00E103EC"/>
    <w:rsid w:val="00E1383D"/>
    <w:rsid w:val="00E13E48"/>
    <w:rsid w:val="00E17040"/>
    <w:rsid w:val="00E207B0"/>
    <w:rsid w:val="00E21177"/>
    <w:rsid w:val="00E2148B"/>
    <w:rsid w:val="00E217D4"/>
    <w:rsid w:val="00E24010"/>
    <w:rsid w:val="00E27305"/>
    <w:rsid w:val="00E300E9"/>
    <w:rsid w:val="00E31AD2"/>
    <w:rsid w:val="00E33312"/>
    <w:rsid w:val="00E35074"/>
    <w:rsid w:val="00E36A23"/>
    <w:rsid w:val="00E42416"/>
    <w:rsid w:val="00E43AED"/>
    <w:rsid w:val="00E45CC7"/>
    <w:rsid w:val="00E47BC5"/>
    <w:rsid w:val="00E50740"/>
    <w:rsid w:val="00E508F5"/>
    <w:rsid w:val="00E50DC3"/>
    <w:rsid w:val="00E52B7B"/>
    <w:rsid w:val="00E5779E"/>
    <w:rsid w:val="00E62488"/>
    <w:rsid w:val="00E6312B"/>
    <w:rsid w:val="00E6495B"/>
    <w:rsid w:val="00E75BB3"/>
    <w:rsid w:val="00E76A5B"/>
    <w:rsid w:val="00E76FD8"/>
    <w:rsid w:val="00E77D16"/>
    <w:rsid w:val="00E8026F"/>
    <w:rsid w:val="00E80ECD"/>
    <w:rsid w:val="00E84F35"/>
    <w:rsid w:val="00E974FE"/>
    <w:rsid w:val="00E97B85"/>
    <w:rsid w:val="00EA1E4F"/>
    <w:rsid w:val="00EB561A"/>
    <w:rsid w:val="00EB5899"/>
    <w:rsid w:val="00EB7B1F"/>
    <w:rsid w:val="00EB7FD0"/>
    <w:rsid w:val="00EC02C8"/>
    <w:rsid w:val="00EC1DC7"/>
    <w:rsid w:val="00EC45DE"/>
    <w:rsid w:val="00EC6377"/>
    <w:rsid w:val="00EC7D0D"/>
    <w:rsid w:val="00EC7EE5"/>
    <w:rsid w:val="00ED0934"/>
    <w:rsid w:val="00ED0976"/>
    <w:rsid w:val="00ED1ECB"/>
    <w:rsid w:val="00ED677C"/>
    <w:rsid w:val="00ED6875"/>
    <w:rsid w:val="00EE0E9F"/>
    <w:rsid w:val="00EE1570"/>
    <w:rsid w:val="00EE30F6"/>
    <w:rsid w:val="00EE6522"/>
    <w:rsid w:val="00EF3457"/>
    <w:rsid w:val="00EF3743"/>
    <w:rsid w:val="00EF4113"/>
    <w:rsid w:val="00EF64A2"/>
    <w:rsid w:val="00EF6BF8"/>
    <w:rsid w:val="00F1035B"/>
    <w:rsid w:val="00F1183A"/>
    <w:rsid w:val="00F13DC4"/>
    <w:rsid w:val="00F1599C"/>
    <w:rsid w:val="00F1636A"/>
    <w:rsid w:val="00F2586F"/>
    <w:rsid w:val="00F32357"/>
    <w:rsid w:val="00F3364C"/>
    <w:rsid w:val="00F37EF1"/>
    <w:rsid w:val="00F408B3"/>
    <w:rsid w:val="00F40E85"/>
    <w:rsid w:val="00F42ED2"/>
    <w:rsid w:val="00F453EC"/>
    <w:rsid w:val="00F47E20"/>
    <w:rsid w:val="00F521E2"/>
    <w:rsid w:val="00F57142"/>
    <w:rsid w:val="00F57B29"/>
    <w:rsid w:val="00F62A5A"/>
    <w:rsid w:val="00F63BD6"/>
    <w:rsid w:val="00F65855"/>
    <w:rsid w:val="00F75412"/>
    <w:rsid w:val="00F75D90"/>
    <w:rsid w:val="00F75EA3"/>
    <w:rsid w:val="00F93A9D"/>
    <w:rsid w:val="00F96A26"/>
    <w:rsid w:val="00FA35D1"/>
    <w:rsid w:val="00FA7FAE"/>
    <w:rsid w:val="00FB067B"/>
    <w:rsid w:val="00FB260F"/>
    <w:rsid w:val="00FB2D19"/>
    <w:rsid w:val="00FB36F7"/>
    <w:rsid w:val="00FB56E3"/>
    <w:rsid w:val="00FB5E60"/>
    <w:rsid w:val="00FC2F42"/>
    <w:rsid w:val="00FC3167"/>
    <w:rsid w:val="00FC3B6D"/>
    <w:rsid w:val="00FC678A"/>
    <w:rsid w:val="00FE15F8"/>
    <w:rsid w:val="00FE4B3B"/>
    <w:rsid w:val="00FE503A"/>
    <w:rsid w:val="00FF33C2"/>
    <w:rsid w:val="00FF3AD0"/>
    <w:rsid w:val="00FF4542"/>
    <w:rsid w:val="02427F54"/>
    <w:rsid w:val="02A66C2E"/>
    <w:rsid w:val="02E043A6"/>
    <w:rsid w:val="0341645D"/>
    <w:rsid w:val="0351077F"/>
    <w:rsid w:val="04F93345"/>
    <w:rsid w:val="05341DD6"/>
    <w:rsid w:val="05B44470"/>
    <w:rsid w:val="064568E8"/>
    <w:rsid w:val="0675158B"/>
    <w:rsid w:val="0A570314"/>
    <w:rsid w:val="0A901820"/>
    <w:rsid w:val="0B04354F"/>
    <w:rsid w:val="0B0B1D78"/>
    <w:rsid w:val="0B0D795C"/>
    <w:rsid w:val="0B941820"/>
    <w:rsid w:val="0BF57DE5"/>
    <w:rsid w:val="0C5E6919"/>
    <w:rsid w:val="0CAF7807"/>
    <w:rsid w:val="0CBE28CD"/>
    <w:rsid w:val="0E721BC1"/>
    <w:rsid w:val="0EE52393"/>
    <w:rsid w:val="0F467B7C"/>
    <w:rsid w:val="10024CDF"/>
    <w:rsid w:val="10953945"/>
    <w:rsid w:val="114809B7"/>
    <w:rsid w:val="115D0906"/>
    <w:rsid w:val="11CC15E8"/>
    <w:rsid w:val="11D861DF"/>
    <w:rsid w:val="12353631"/>
    <w:rsid w:val="12582E7C"/>
    <w:rsid w:val="12BB34E4"/>
    <w:rsid w:val="13AF2F6F"/>
    <w:rsid w:val="1460654E"/>
    <w:rsid w:val="14A129A9"/>
    <w:rsid w:val="14B46E77"/>
    <w:rsid w:val="14FA1657"/>
    <w:rsid w:val="15293A11"/>
    <w:rsid w:val="1546345F"/>
    <w:rsid w:val="157E0360"/>
    <w:rsid w:val="159F14ED"/>
    <w:rsid w:val="1619058A"/>
    <w:rsid w:val="179D68B3"/>
    <w:rsid w:val="18882231"/>
    <w:rsid w:val="189B5FB7"/>
    <w:rsid w:val="18B41ED8"/>
    <w:rsid w:val="18DA0A8E"/>
    <w:rsid w:val="18DB509A"/>
    <w:rsid w:val="199A2528"/>
    <w:rsid w:val="1A5F124B"/>
    <w:rsid w:val="1A701454"/>
    <w:rsid w:val="1D11143F"/>
    <w:rsid w:val="1F5E6B6B"/>
    <w:rsid w:val="1F946C3F"/>
    <w:rsid w:val="209239FD"/>
    <w:rsid w:val="209250AC"/>
    <w:rsid w:val="20F87D04"/>
    <w:rsid w:val="212E5E1B"/>
    <w:rsid w:val="21360D0E"/>
    <w:rsid w:val="21B93937"/>
    <w:rsid w:val="21D818E3"/>
    <w:rsid w:val="2234120F"/>
    <w:rsid w:val="22C52383"/>
    <w:rsid w:val="23013F7D"/>
    <w:rsid w:val="23B9752B"/>
    <w:rsid w:val="23BA1BE8"/>
    <w:rsid w:val="246D495A"/>
    <w:rsid w:val="24DB3BC4"/>
    <w:rsid w:val="250637EA"/>
    <w:rsid w:val="255B533A"/>
    <w:rsid w:val="257644C8"/>
    <w:rsid w:val="25813C20"/>
    <w:rsid w:val="258424C5"/>
    <w:rsid w:val="2685028B"/>
    <w:rsid w:val="28202D42"/>
    <w:rsid w:val="2B3D2ECA"/>
    <w:rsid w:val="2BA07916"/>
    <w:rsid w:val="2BBE6532"/>
    <w:rsid w:val="2C2220D9"/>
    <w:rsid w:val="2C3649CE"/>
    <w:rsid w:val="2DD25C89"/>
    <w:rsid w:val="2DE816B1"/>
    <w:rsid w:val="2DEC5D5C"/>
    <w:rsid w:val="2E365E88"/>
    <w:rsid w:val="2EBD258D"/>
    <w:rsid w:val="2F040DDF"/>
    <w:rsid w:val="2F7C3F6D"/>
    <w:rsid w:val="2FED29FE"/>
    <w:rsid w:val="302C79CA"/>
    <w:rsid w:val="304F36B8"/>
    <w:rsid w:val="30B43136"/>
    <w:rsid w:val="317F2CBF"/>
    <w:rsid w:val="326E7E26"/>
    <w:rsid w:val="32C97752"/>
    <w:rsid w:val="36062A6B"/>
    <w:rsid w:val="3662017C"/>
    <w:rsid w:val="36785113"/>
    <w:rsid w:val="367F4CF7"/>
    <w:rsid w:val="36C9083E"/>
    <w:rsid w:val="36F77FB3"/>
    <w:rsid w:val="38E56968"/>
    <w:rsid w:val="38F85750"/>
    <w:rsid w:val="39DA2245"/>
    <w:rsid w:val="3A687753"/>
    <w:rsid w:val="3AFB1C80"/>
    <w:rsid w:val="3C0A1D12"/>
    <w:rsid w:val="3C553E04"/>
    <w:rsid w:val="3C821498"/>
    <w:rsid w:val="3CEC1352"/>
    <w:rsid w:val="3D4C3459"/>
    <w:rsid w:val="3D7048ED"/>
    <w:rsid w:val="3E6671E3"/>
    <w:rsid w:val="3E745DD4"/>
    <w:rsid w:val="3FC77CF7"/>
    <w:rsid w:val="403A5E53"/>
    <w:rsid w:val="405357D8"/>
    <w:rsid w:val="40642868"/>
    <w:rsid w:val="4093139F"/>
    <w:rsid w:val="41562AF9"/>
    <w:rsid w:val="41FD4D22"/>
    <w:rsid w:val="422430E3"/>
    <w:rsid w:val="42980EEF"/>
    <w:rsid w:val="43741014"/>
    <w:rsid w:val="445B0426"/>
    <w:rsid w:val="45D74549"/>
    <w:rsid w:val="45DC16E7"/>
    <w:rsid w:val="461566C0"/>
    <w:rsid w:val="461853F0"/>
    <w:rsid w:val="47180464"/>
    <w:rsid w:val="47983DB5"/>
    <w:rsid w:val="47B73BC5"/>
    <w:rsid w:val="47EF4C31"/>
    <w:rsid w:val="48CC5748"/>
    <w:rsid w:val="48D507A7"/>
    <w:rsid w:val="48E629B4"/>
    <w:rsid w:val="49B74350"/>
    <w:rsid w:val="4A82670C"/>
    <w:rsid w:val="4A8A46EE"/>
    <w:rsid w:val="4B0E61F2"/>
    <w:rsid w:val="4CBB4158"/>
    <w:rsid w:val="4D6455F8"/>
    <w:rsid w:val="4E434405"/>
    <w:rsid w:val="4E8A2033"/>
    <w:rsid w:val="4EFB076A"/>
    <w:rsid w:val="4F3D0E54"/>
    <w:rsid w:val="505F595D"/>
    <w:rsid w:val="514E0A28"/>
    <w:rsid w:val="515B23FF"/>
    <w:rsid w:val="51B15B29"/>
    <w:rsid w:val="53004DC5"/>
    <w:rsid w:val="53932357"/>
    <w:rsid w:val="54F93A6F"/>
    <w:rsid w:val="55823235"/>
    <w:rsid w:val="558E0FC6"/>
    <w:rsid w:val="55E1618B"/>
    <w:rsid w:val="56D7393C"/>
    <w:rsid w:val="57DD4F82"/>
    <w:rsid w:val="58905291"/>
    <w:rsid w:val="58F06F37"/>
    <w:rsid w:val="58F509F1"/>
    <w:rsid w:val="58FA7DB6"/>
    <w:rsid w:val="59530ABF"/>
    <w:rsid w:val="5975743C"/>
    <w:rsid w:val="59B91A1F"/>
    <w:rsid w:val="5A0E1D23"/>
    <w:rsid w:val="5A95341F"/>
    <w:rsid w:val="5B81656C"/>
    <w:rsid w:val="5BAC7D91"/>
    <w:rsid w:val="5D21562B"/>
    <w:rsid w:val="5D643D73"/>
    <w:rsid w:val="5E57653F"/>
    <w:rsid w:val="5FB86BD1"/>
    <w:rsid w:val="6039337D"/>
    <w:rsid w:val="60644CD3"/>
    <w:rsid w:val="6118527D"/>
    <w:rsid w:val="612A136D"/>
    <w:rsid w:val="618B4921"/>
    <w:rsid w:val="61FB73F2"/>
    <w:rsid w:val="62EB42DF"/>
    <w:rsid w:val="644F7208"/>
    <w:rsid w:val="652F0DE7"/>
    <w:rsid w:val="6596426A"/>
    <w:rsid w:val="6625438F"/>
    <w:rsid w:val="66744752"/>
    <w:rsid w:val="673C6EDB"/>
    <w:rsid w:val="680577D0"/>
    <w:rsid w:val="685E210F"/>
    <w:rsid w:val="68D13694"/>
    <w:rsid w:val="68F912C0"/>
    <w:rsid w:val="6A5A06B4"/>
    <w:rsid w:val="6AB26742"/>
    <w:rsid w:val="6C1B1C34"/>
    <w:rsid w:val="6C3E4DF6"/>
    <w:rsid w:val="6CA83959"/>
    <w:rsid w:val="6CCA5DEA"/>
    <w:rsid w:val="6D714693"/>
    <w:rsid w:val="6D885538"/>
    <w:rsid w:val="6DE309C1"/>
    <w:rsid w:val="6EA97E5C"/>
    <w:rsid w:val="6EC81370"/>
    <w:rsid w:val="6EF1390E"/>
    <w:rsid w:val="6F345978"/>
    <w:rsid w:val="6F3941EE"/>
    <w:rsid w:val="706916B3"/>
    <w:rsid w:val="70753AA0"/>
    <w:rsid w:val="717E112C"/>
    <w:rsid w:val="72A44DED"/>
    <w:rsid w:val="72C139C6"/>
    <w:rsid w:val="73A330CC"/>
    <w:rsid w:val="740873D3"/>
    <w:rsid w:val="740D2C3B"/>
    <w:rsid w:val="74334AAC"/>
    <w:rsid w:val="75637FC7"/>
    <w:rsid w:val="756847FB"/>
    <w:rsid w:val="75BC04F9"/>
    <w:rsid w:val="76070570"/>
    <w:rsid w:val="761159D7"/>
    <w:rsid w:val="76DB2A69"/>
    <w:rsid w:val="776668EA"/>
    <w:rsid w:val="777F56F8"/>
    <w:rsid w:val="782F3570"/>
    <w:rsid w:val="78856D19"/>
    <w:rsid w:val="78B20D27"/>
    <w:rsid w:val="792A3948"/>
    <w:rsid w:val="794D5B6C"/>
    <w:rsid w:val="798B680B"/>
    <w:rsid w:val="79E85CDC"/>
    <w:rsid w:val="7A344A7E"/>
    <w:rsid w:val="7A9814B1"/>
    <w:rsid w:val="7ACC115A"/>
    <w:rsid w:val="7B3C424B"/>
    <w:rsid w:val="7BB35E76"/>
    <w:rsid w:val="7BE2675B"/>
    <w:rsid w:val="7BFC781D"/>
    <w:rsid w:val="7C022BC4"/>
    <w:rsid w:val="7CD87820"/>
    <w:rsid w:val="7DB359A3"/>
    <w:rsid w:val="7E994C90"/>
    <w:rsid w:val="7ED7711B"/>
    <w:rsid w:val="7F2D467E"/>
    <w:rsid w:val="7F420A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F77F7-1AF4-4F03-9BE2-2B0FA0CFF129}">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4</Pages>
  <Words>1928</Words>
  <Characters>2032</Characters>
  <Lines>18</Lines>
  <Paragraphs>5</Paragraphs>
  <TotalTime>12</TotalTime>
  <ScaleCrop>false</ScaleCrop>
  <LinksUpToDate>false</LinksUpToDate>
  <CharactersWithSpaces>2174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2022-06-28T04:38:00Z</dcterms:created>
  <dc:creator>LLL</dc:creator>
  <cp:lastModifiedBy>Administrator</cp:lastModifiedBy>
  <cp:lastPrinted>2023-04-21T01:33:00Z</cp:lastPrinted>
  <dcterms:modified xsi:type="dcterms:W3CDTF">2026-07-31T08:09:02Z</dcterms:modified>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0D19C3FF65564462A77E3BDF23F0ED7E_13</vt:lpwstr>
  </property>
  <property fmtid="{D5CDD505-2E9C-101B-9397-08002B2CF9AE}" pid="4" name="KSOTemplateDocerSaveRecord">
    <vt:lpwstr>eyJoZGlkIjoiMGNlZDYxODBjZGY2ZmZmMzQ5NDcxMmI5YjY0MTU0MDkiLCJ1c2VySWQiOiI5NDY5ODgzMDIifQ==</vt:lpwstr>
  </property>
</Properties>
</file>