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7DC6" w14:textId="77777777" w:rsidR="00F01EA1" w:rsidRDefault="00551C9C">
      <w:pPr>
        <w:tabs>
          <w:tab w:val="left" w:pos="1440"/>
        </w:tabs>
        <w:spacing w:line="14" w:lineRule="auto"/>
        <w:jc w:val="center"/>
        <w:rPr>
          <w:rFonts w:ascii="黑体" w:eastAsia="黑体" w:hAnsi="黑体" w:hint="eastAsia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金诚信矿业管理股份有限公司</w:t>
      </w:r>
    </w:p>
    <w:p w14:paraId="65E719A0" w14:textId="77777777" w:rsidR="00F01EA1" w:rsidRDefault="00551C9C">
      <w:pPr>
        <w:tabs>
          <w:tab w:val="left" w:pos="1440"/>
        </w:tabs>
        <w:spacing w:line="14" w:lineRule="auto"/>
        <w:jc w:val="center"/>
        <w:rPr>
          <w:rFonts w:ascii="黑体" w:eastAsia="黑体" w:hAnsi="黑体" w:hint="eastAsia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投资者关系月度记录</w:t>
      </w:r>
    </w:p>
    <w:p w14:paraId="6DCF0356" w14:textId="65380091" w:rsidR="00F01EA1" w:rsidRDefault="00551C9C">
      <w:pPr>
        <w:tabs>
          <w:tab w:val="left" w:pos="1440"/>
        </w:tabs>
        <w:spacing w:after="240" w:line="14" w:lineRule="auto"/>
        <w:jc w:val="center"/>
        <w:rPr>
          <w:rFonts w:asciiTheme="minorEastAsia" w:hAnsiTheme="minorEastAsia" w:hint="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（</w:t>
      </w:r>
      <w:r w:rsidR="00DA47AD">
        <w:rPr>
          <w:rFonts w:asciiTheme="minorEastAsia" w:hAnsiTheme="minorEastAsia" w:hint="eastAsia"/>
          <w:sz w:val="24"/>
          <w:szCs w:val="28"/>
        </w:rPr>
        <w:t>2</w:t>
      </w:r>
      <w:r w:rsidR="00DA47AD">
        <w:rPr>
          <w:rFonts w:asciiTheme="minorEastAsia" w:hAnsiTheme="minorEastAsia"/>
          <w:sz w:val="24"/>
          <w:szCs w:val="28"/>
        </w:rPr>
        <w:t>0</w:t>
      </w:r>
      <w:r w:rsidR="00FE5794">
        <w:rPr>
          <w:rFonts w:asciiTheme="minorEastAsia" w:hAnsiTheme="minorEastAsia" w:hint="eastAsia"/>
          <w:sz w:val="24"/>
          <w:szCs w:val="28"/>
        </w:rPr>
        <w:t>26</w:t>
      </w:r>
      <w:r w:rsidR="00DA47AD">
        <w:rPr>
          <w:rFonts w:asciiTheme="minorEastAsia" w:hAnsiTheme="minorEastAsia"/>
          <w:sz w:val="24"/>
          <w:szCs w:val="28"/>
        </w:rPr>
        <w:t>年</w:t>
      </w:r>
      <w:r w:rsidR="00D37658">
        <w:rPr>
          <w:rFonts w:asciiTheme="minorEastAsia" w:hAnsiTheme="minorEastAsia" w:hint="eastAsia"/>
          <w:sz w:val="24"/>
          <w:szCs w:val="28"/>
        </w:rPr>
        <w:t>7</w:t>
      </w:r>
      <w:r>
        <w:rPr>
          <w:rFonts w:asciiTheme="minorEastAsia" w:hAnsiTheme="minorEastAsia" w:hint="eastAsia"/>
          <w:sz w:val="24"/>
          <w:szCs w:val="28"/>
        </w:rPr>
        <w:t>月）</w:t>
      </w:r>
    </w:p>
    <w:tbl>
      <w:tblPr>
        <w:tblStyle w:val="TableNormal"/>
        <w:tblpPr w:leftFromText="180" w:rightFromText="180" w:vertAnchor="text" w:tblpXSpec="center" w:tblpY="1"/>
        <w:tblOverlap w:val="never"/>
        <w:tblW w:w="878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7229"/>
      </w:tblGrid>
      <w:tr w:rsidR="00F01EA1" w14:paraId="06A7CD6B" w14:textId="77777777" w:rsidTr="008C32B9">
        <w:trPr>
          <w:trHeight w:val="2402"/>
        </w:trPr>
        <w:tc>
          <w:tcPr>
            <w:tcW w:w="1552" w:type="dxa"/>
            <w:vAlign w:val="center"/>
          </w:tcPr>
          <w:p w14:paraId="39BFEFE1" w14:textId="77777777" w:rsidR="00F01EA1" w:rsidRDefault="00551C9C">
            <w:pPr>
              <w:pStyle w:val="TableParagraph"/>
              <w:ind w:left="113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/>
                <w:sz w:val="24"/>
                <w:szCs w:val="24"/>
              </w:rPr>
              <w:t>活动类别</w:t>
            </w:r>
            <w:proofErr w:type="spellEnd"/>
          </w:p>
        </w:tc>
        <w:tc>
          <w:tcPr>
            <w:tcW w:w="7229" w:type="dxa"/>
            <w:vAlign w:val="center"/>
          </w:tcPr>
          <w:p w14:paraId="13626B79" w14:textId="77777777" w:rsidR="00F01EA1" w:rsidRDefault="00551C9C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  <w:tab w:val="left" w:pos="2094"/>
              </w:tabs>
              <w:spacing w:line="360" w:lineRule="auto"/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特定对象调研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ab/>
              <w:t>□分析师会议</w:t>
            </w:r>
          </w:p>
          <w:p w14:paraId="41C1C78A" w14:textId="77777777" w:rsidR="00F01EA1" w:rsidRDefault="00551C9C">
            <w:pPr>
              <w:pStyle w:val="TableParagraph"/>
              <w:tabs>
                <w:tab w:val="left" w:pos="2094"/>
              </w:tabs>
              <w:spacing w:line="360" w:lineRule="auto"/>
              <w:ind w:left="112"/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□媒体采访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ab/>
              <w:t>□业绩说明会</w:t>
            </w:r>
          </w:p>
          <w:p w14:paraId="4210D705" w14:textId="77777777" w:rsidR="00F01EA1" w:rsidRDefault="00551C9C">
            <w:pPr>
              <w:pStyle w:val="TableParagraph"/>
              <w:tabs>
                <w:tab w:val="left" w:pos="2094"/>
              </w:tabs>
              <w:spacing w:line="360" w:lineRule="auto"/>
              <w:ind w:left="112"/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□新闻发布会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ab/>
              <w:t>□路演活动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 </w:t>
            </w:r>
          </w:p>
          <w:p w14:paraId="1B15A526" w14:textId="77777777" w:rsidR="00F01EA1" w:rsidRDefault="00551C9C">
            <w:pPr>
              <w:pStyle w:val="TableParagraph"/>
              <w:tabs>
                <w:tab w:val="left" w:pos="2094"/>
              </w:tabs>
              <w:spacing w:line="360" w:lineRule="auto"/>
              <w:ind w:left="112"/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□现场参观</w:t>
            </w:r>
          </w:p>
          <w:p w14:paraId="286D5D7A" w14:textId="77777777" w:rsidR="00F01EA1" w:rsidRDefault="00551C9C">
            <w:pPr>
              <w:pStyle w:val="TableParagraph"/>
              <w:spacing w:line="360" w:lineRule="auto"/>
              <w:ind w:left="112"/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□其他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  <w:lang w:eastAsia="zh-CN"/>
              </w:rPr>
              <w:t>文字具体说明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）</w:t>
            </w:r>
          </w:p>
        </w:tc>
      </w:tr>
      <w:tr w:rsidR="00F01EA1" w14:paraId="489F7AE7" w14:textId="77777777" w:rsidTr="008C32B9">
        <w:trPr>
          <w:trHeight w:val="897"/>
        </w:trPr>
        <w:tc>
          <w:tcPr>
            <w:tcW w:w="1552" w:type="dxa"/>
            <w:vAlign w:val="center"/>
          </w:tcPr>
          <w:p w14:paraId="6E8028E8" w14:textId="77777777" w:rsidR="00F01EA1" w:rsidRPr="005523F9" w:rsidRDefault="00551C9C">
            <w:pPr>
              <w:pStyle w:val="TableParagraph"/>
              <w:spacing w:line="276" w:lineRule="auto"/>
              <w:ind w:left="113"/>
              <w:rPr>
                <w:rFonts w:cs="Arial" w:hint="eastAsia"/>
                <w:kern w:val="2"/>
                <w:sz w:val="24"/>
                <w:szCs w:val="24"/>
                <w:lang w:val="en-US" w:eastAsia="zh-CN" w:bidi="ar-SA"/>
              </w:rPr>
            </w:pPr>
            <w:r w:rsidRPr="005523F9">
              <w:rPr>
                <w:rFonts w:cs="Arial" w:hint="eastAsia"/>
                <w:kern w:val="2"/>
                <w:sz w:val="24"/>
                <w:szCs w:val="24"/>
                <w:lang w:val="en-US" w:eastAsia="zh-CN" w:bidi="ar-SA"/>
              </w:rPr>
              <w:t>参与单位名称</w:t>
            </w:r>
          </w:p>
        </w:tc>
        <w:tc>
          <w:tcPr>
            <w:tcW w:w="7229" w:type="dxa"/>
            <w:vAlign w:val="center"/>
          </w:tcPr>
          <w:p w14:paraId="59F6297D" w14:textId="20284787" w:rsidR="00D37658" w:rsidRDefault="00D37658" w:rsidP="000D4B4B">
            <w:pPr>
              <w:pStyle w:val="TableParagraph"/>
              <w:spacing w:line="360" w:lineRule="auto"/>
              <w:ind w:left="112"/>
              <w:jc w:val="both"/>
              <w:rPr>
                <w:rFonts w:cs="Arial" w:hint="eastAsia"/>
                <w:sz w:val="24"/>
                <w:szCs w:val="24"/>
                <w:lang w:eastAsia="zh-CN"/>
              </w:rPr>
            </w:pPr>
            <w:r>
              <w:rPr>
                <w:rFonts w:cs="Arial" w:hint="eastAsia"/>
                <w:sz w:val="24"/>
                <w:szCs w:val="24"/>
                <w:lang w:eastAsia="zh-CN"/>
              </w:rPr>
              <w:t>国海证券、国寿养老、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国金证券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陆家嘴国泰人寿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>
              <w:rPr>
                <w:rFonts w:hint="eastAsia"/>
              </w:rPr>
              <w:t xml:space="preserve"> 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CPE源峰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嘉实基金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胤胜资产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华能信托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兴全基金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建信基金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北京暖逸欣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泓德基金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正圆投资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新华基金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新华资产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广发证券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中邮保险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高毅资产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="009B328C" w:rsidRPr="009B328C">
              <w:rPr>
                <w:rFonts w:cs="Arial"/>
                <w:sz w:val="24"/>
                <w:szCs w:val="24"/>
                <w:lang w:eastAsia="zh-CN"/>
              </w:rPr>
              <w:t>磐泽资产</w:t>
            </w:r>
            <w:r w:rsidR="009B328C"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景顺长城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睿远基金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人保资产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兴业证券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长盛基金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鹏华基金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浙江纳轩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泰康基金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招商信诺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国海富兰克林</w:t>
            </w:r>
          </w:p>
          <w:p w14:paraId="45AE3E79" w14:textId="29B68417" w:rsidR="00D37658" w:rsidRPr="00E25EEC" w:rsidRDefault="00D37658" w:rsidP="000D4B4B">
            <w:pPr>
              <w:pStyle w:val="TableParagraph"/>
              <w:spacing w:line="360" w:lineRule="auto"/>
              <w:ind w:left="112"/>
              <w:jc w:val="both"/>
              <w:rPr>
                <w:rFonts w:cs="Arial" w:hint="eastAsia"/>
                <w:sz w:val="24"/>
                <w:szCs w:val="24"/>
                <w:lang w:eastAsia="zh-CN"/>
              </w:rPr>
            </w:pPr>
            <w:r>
              <w:rPr>
                <w:rFonts w:cs="Arial" w:hint="eastAsia"/>
                <w:sz w:val="24"/>
                <w:szCs w:val="24"/>
                <w:lang w:eastAsia="zh-CN"/>
              </w:rPr>
              <w:t>清和泉资本、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Keywise Capital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中信证券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建信养老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润晖投资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中新融创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睿璞投资</w:t>
            </w:r>
            <w:r>
              <w:rPr>
                <w:rFonts w:cs="Arial" w:hint="eastAsia"/>
                <w:sz w:val="24"/>
                <w:szCs w:val="24"/>
                <w:lang w:eastAsia="zh-CN"/>
              </w:rPr>
              <w:t>、</w:t>
            </w:r>
            <w:r w:rsidRPr="00D37658">
              <w:rPr>
                <w:rFonts w:cs="Arial"/>
                <w:sz w:val="24"/>
                <w:szCs w:val="24"/>
                <w:lang w:eastAsia="zh-CN"/>
              </w:rPr>
              <w:t>禹田资本</w:t>
            </w:r>
          </w:p>
        </w:tc>
      </w:tr>
      <w:tr w:rsidR="00F01EA1" w14:paraId="3A6951EE" w14:textId="77777777" w:rsidTr="008C32B9">
        <w:trPr>
          <w:trHeight w:val="625"/>
        </w:trPr>
        <w:tc>
          <w:tcPr>
            <w:tcW w:w="1552" w:type="dxa"/>
            <w:vAlign w:val="center"/>
          </w:tcPr>
          <w:p w14:paraId="293ACCAE" w14:textId="77777777" w:rsidR="00F01EA1" w:rsidRPr="00895496" w:rsidRDefault="00551C9C">
            <w:pPr>
              <w:pStyle w:val="TableParagraph"/>
              <w:spacing w:before="4"/>
              <w:ind w:left="112"/>
              <w:rPr>
                <w:rFonts w:asciiTheme="minorEastAsia" w:eastAsiaTheme="minorEastAsia" w:hAnsiTheme="minorEastAsia" w:cstheme="minorEastAsia" w:hint="eastAsia"/>
                <w:sz w:val="24"/>
                <w:szCs w:val="24"/>
                <w:lang w:val="en-US"/>
              </w:rPr>
            </w:pPr>
            <w:proofErr w:type="spellStart"/>
            <w:r w:rsidRPr="00895496">
              <w:rPr>
                <w:rFonts w:asciiTheme="minorEastAsia" w:eastAsiaTheme="minorEastAsia" w:hAnsiTheme="minorEastAsia" w:cstheme="minorEastAsia" w:hint="eastAsia"/>
                <w:sz w:val="24"/>
                <w:szCs w:val="24"/>
                <w:lang w:val="en-US"/>
              </w:rPr>
              <w:t>时间</w:t>
            </w:r>
            <w:proofErr w:type="spellEnd"/>
          </w:p>
        </w:tc>
        <w:tc>
          <w:tcPr>
            <w:tcW w:w="7229" w:type="dxa"/>
            <w:vAlign w:val="center"/>
          </w:tcPr>
          <w:p w14:paraId="54A57B01" w14:textId="1B435118" w:rsidR="00D37658" w:rsidRDefault="00D37658" w:rsidP="0081247D">
            <w:pPr>
              <w:pStyle w:val="TableParagraph"/>
              <w:spacing w:before="4" w:line="360" w:lineRule="auto"/>
              <w:ind w:left="112"/>
              <w:jc w:val="both"/>
              <w:rPr>
                <w:rFonts w:asciiTheme="minorEastAsia" w:eastAsiaTheme="minorEastAsia" w:hAnsiTheme="minorEastAsia" w:cs="Arial" w:hint="eastAsia"/>
                <w:sz w:val="24"/>
                <w:szCs w:val="24"/>
                <w:lang w:val="en-US" w:eastAsia="zh-CN"/>
              </w:rPr>
            </w:pPr>
            <w:r>
              <w:rPr>
                <w:rFonts w:asciiTheme="minorEastAsia" w:eastAsiaTheme="minorEastAsia" w:hAnsiTheme="minorEastAsia" w:cs="Arial" w:hint="eastAsia"/>
                <w:sz w:val="24"/>
                <w:szCs w:val="24"/>
                <w:lang w:val="en-US" w:eastAsia="zh-CN"/>
              </w:rPr>
              <w:t>2026年7月20日、</w:t>
            </w:r>
            <w:r w:rsidR="009B328C">
              <w:rPr>
                <w:rFonts w:asciiTheme="minorEastAsia" w:eastAsiaTheme="minorEastAsia" w:hAnsiTheme="minorEastAsia" w:cs="Arial" w:hint="eastAsia"/>
                <w:sz w:val="24"/>
                <w:szCs w:val="24"/>
                <w:lang w:val="en-US" w:eastAsia="zh-CN"/>
              </w:rPr>
              <w:t>2026年7月28日</w:t>
            </w:r>
            <w:r w:rsidR="00B7350D">
              <w:rPr>
                <w:rFonts w:asciiTheme="minorEastAsia" w:eastAsiaTheme="minorEastAsia" w:hAnsiTheme="minorEastAsia" w:cs="Arial" w:hint="eastAsia"/>
                <w:sz w:val="24"/>
                <w:szCs w:val="24"/>
                <w:lang w:val="en-US" w:eastAsia="zh-CN"/>
              </w:rPr>
              <w:t>、</w:t>
            </w:r>
            <w:r w:rsidR="009B328C">
              <w:rPr>
                <w:rFonts w:asciiTheme="minorEastAsia" w:eastAsiaTheme="minorEastAsia" w:hAnsiTheme="minorEastAsia" w:cs="Arial" w:hint="eastAsia"/>
                <w:sz w:val="24"/>
                <w:szCs w:val="24"/>
                <w:lang w:val="en-US" w:eastAsia="zh-CN"/>
              </w:rPr>
              <w:t>2026年7月29日、</w:t>
            </w:r>
            <w:r>
              <w:rPr>
                <w:rFonts w:asciiTheme="minorEastAsia" w:eastAsiaTheme="minorEastAsia" w:hAnsiTheme="minorEastAsia" w:cs="Arial" w:hint="eastAsia"/>
                <w:sz w:val="24"/>
                <w:szCs w:val="24"/>
                <w:lang w:val="en-US" w:eastAsia="zh-CN"/>
              </w:rPr>
              <w:t>2026年7月30日、</w:t>
            </w:r>
          </w:p>
          <w:p w14:paraId="4FCB041B" w14:textId="6C5A0602" w:rsidR="00D37658" w:rsidRPr="00895496" w:rsidRDefault="00D37658" w:rsidP="0081247D">
            <w:pPr>
              <w:pStyle w:val="TableParagraph"/>
              <w:spacing w:before="4" w:line="360" w:lineRule="auto"/>
              <w:ind w:left="112"/>
              <w:jc w:val="both"/>
              <w:rPr>
                <w:rFonts w:asciiTheme="minorEastAsia" w:eastAsiaTheme="minorEastAsia" w:hAnsiTheme="minorEastAsia" w:cs="Arial" w:hint="eastAsia"/>
                <w:sz w:val="24"/>
                <w:szCs w:val="24"/>
                <w:lang w:val="en-US" w:eastAsia="zh-CN"/>
              </w:rPr>
            </w:pPr>
            <w:r>
              <w:rPr>
                <w:rFonts w:asciiTheme="minorEastAsia" w:eastAsiaTheme="minorEastAsia" w:hAnsiTheme="minorEastAsia" w:cs="Arial" w:hint="eastAsia"/>
                <w:sz w:val="24"/>
                <w:szCs w:val="24"/>
                <w:lang w:val="en-US" w:eastAsia="zh-CN"/>
              </w:rPr>
              <w:t>2026年7月31日</w:t>
            </w:r>
          </w:p>
        </w:tc>
      </w:tr>
      <w:tr w:rsidR="00F01EA1" w14:paraId="2063671C" w14:textId="77777777" w:rsidTr="008C32B9">
        <w:trPr>
          <w:trHeight w:val="699"/>
        </w:trPr>
        <w:tc>
          <w:tcPr>
            <w:tcW w:w="1552" w:type="dxa"/>
            <w:vAlign w:val="center"/>
          </w:tcPr>
          <w:p w14:paraId="7578F44B" w14:textId="77777777" w:rsidR="00F01EA1" w:rsidRDefault="00551C9C">
            <w:pPr>
              <w:pStyle w:val="TableParagraph"/>
              <w:spacing w:before="120"/>
              <w:ind w:left="113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/>
                <w:sz w:val="24"/>
                <w:szCs w:val="24"/>
              </w:rPr>
              <w:t>地点</w:t>
            </w:r>
            <w:proofErr w:type="spellEnd"/>
          </w:p>
        </w:tc>
        <w:tc>
          <w:tcPr>
            <w:tcW w:w="7229" w:type="dxa"/>
            <w:vAlign w:val="center"/>
          </w:tcPr>
          <w:p w14:paraId="3C40E379" w14:textId="77777777" w:rsidR="00F01EA1" w:rsidRPr="00CE4E12" w:rsidRDefault="00482E79" w:rsidP="00FC0528">
            <w:pPr>
              <w:pStyle w:val="TableParagraph"/>
              <w:ind w:left="112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现场调研</w:t>
            </w:r>
          </w:p>
        </w:tc>
      </w:tr>
      <w:tr w:rsidR="00F01EA1" w14:paraId="5570F9F4" w14:textId="77777777" w:rsidTr="008C32B9">
        <w:trPr>
          <w:trHeight w:val="961"/>
        </w:trPr>
        <w:tc>
          <w:tcPr>
            <w:tcW w:w="1552" w:type="dxa"/>
            <w:vAlign w:val="center"/>
          </w:tcPr>
          <w:p w14:paraId="207761F5" w14:textId="77777777" w:rsidR="00F01EA1" w:rsidRDefault="00551C9C">
            <w:pPr>
              <w:pStyle w:val="TableParagraph"/>
              <w:spacing w:before="4"/>
              <w:ind w:left="112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proofErr w:type="spellStart"/>
            <w:r>
              <w:rPr>
                <w:rFonts w:asciiTheme="minorEastAsia" w:eastAsiaTheme="minorEastAsia" w:hAnsiTheme="minorEastAsia"/>
                <w:sz w:val="24"/>
                <w:szCs w:val="24"/>
              </w:rPr>
              <w:t>上市公司接待人员</w:t>
            </w:r>
            <w:proofErr w:type="spellEnd"/>
          </w:p>
        </w:tc>
        <w:tc>
          <w:tcPr>
            <w:tcW w:w="7229" w:type="dxa"/>
            <w:vAlign w:val="center"/>
          </w:tcPr>
          <w:p w14:paraId="1EF5C41B" w14:textId="207AF75C" w:rsidR="00F01EA1" w:rsidRPr="00CE4E12" w:rsidRDefault="00551C9C" w:rsidP="00474481">
            <w:pPr>
              <w:pStyle w:val="TableParagraph"/>
              <w:spacing w:before="4"/>
              <w:ind w:left="112"/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</w:pPr>
            <w:r w:rsidRPr="00CE4E12"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>董事会秘书</w:t>
            </w:r>
            <w:r w:rsidR="000923C5"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>、</w:t>
            </w:r>
            <w:r w:rsidR="007A3E19">
              <w:rPr>
                <w:rFonts w:ascii="Arial" w:eastAsiaTheme="minorEastAsia" w:hAnsi="Arial" w:cs="Arial" w:hint="eastAsia"/>
                <w:sz w:val="24"/>
                <w:szCs w:val="24"/>
                <w:lang w:val="en-US" w:eastAsia="zh-CN"/>
              </w:rPr>
              <w:t>证券事务代表</w:t>
            </w:r>
            <w:r w:rsidR="009B328C">
              <w:rPr>
                <w:rFonts w:ascii="Arial" w:eastAsiaTheme="minorEastAsia" w:hAnsi="Arial" w:cs="Arial" w:hint="eastAsia"/>
                <w:sz w:val="24"/>
                <w:szCs w:val="24"/>
                <w:lang w:val="en-US" w:eastAsia="zh-CN"/>
              </w:rPr>
              <w:t>/</w:t>
            </w:r>
            <w:r w:rsidR="009B328C">
              <w:rPr>
                <w:rFonts w:ascii="Arial" w:eastAsiaTheme="minorEastAsia" w:hAnsi="Arial" w:cs="Arial" w:hint="eastAsia"/>
                <w:sz w:val="24"/>
                <w:szCs w:val="24"/>
                <w:lang w:val="en-US" w:eastAsia="zh-CN"/>
              </w:rPr>
              <w:t>投资者关系总监</w:t>
            </w:r>
          </w:p>
        </w:tc>
      </w:tr>
      <w:tr w:rsidR="00F01EA1" w14:paraId="4F2FA0BA" w14:textId="77777777" w:rsidTr="008C32B9">
        <w:trPr>
          <w:trHeight w:val="694"/>
        </w:trPr>
        <w:tc>
          <w:tcPr>
            <w:tcW w:w="1552" w:type="dxa"/>
            <w:vAlign w:val="center"/>
          </w:tcPr>
          <w:p w14:paraId="6A31DDAE" w14:textId="77777777" w:rsidR="00F01EA1" w:rsidRDefault="00551C9C">
            <w:pPr>
              <w:pStyle w:val="TableParagraph"/>
              <w:spacing w:before="4"/>
              <w:ind w:left="112"/>
              <w:rPr>
                <w:rFonts w:asciiTheme="minorEastAsia" w:eastAsiaTheme="minorEastAsia" w:hAnsiTheme="minorEastAsia" w:hint="eastAsia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4"/>
                <w:szCs w:val="24"/>
                <w:lang w:val="en-US"/>
              </w:rPr>
              <w:t>调研主要内容汇总</w:t>
            </w:r>
            <w:proofErr w:type="spellEnd"/>
          </w:p>
        </w:tc>
        <w:tc>
          <w:tcPr>
            <w:tcW w:w="7229" w:type="dxa"/>
            <w:vAlign w:val="center"/>
          </w:tcPr>
          <w:p w14:paraId="3CFF9A8D" w14:textId="46CED23E" w:rsidR="00D37658" w:rsidRPr="009B328C" w:rsidRDefault="00D37658" w:rsidP="00D37658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 w:rsidRPr="009B328C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 xml:space="preserve">1、哥伦比亚San Matias 铜金银矿的项目进展 </w:t>
            </w:r>
          </w:p>
          <w:p w14:paraId="34D8D7EF" w14:textId="7EB1DDDD" w:rsidR="00D37658" w:rsidRPr="00D37658" w:rsidRDefault="00D37658" w:rsidP="00D37658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proofErr w:type="spellStart"/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Alacran</w:t>
            </w:r>
            <w:proofErr w:type="spellEnd"/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铜金银矿环境影响评估（EIA）已经取得了哥伦比亚国家环境许可证管理局（ANLA）的正式批准。截至目前，由当地社区、主管部门及政府技术机构参与的技术、环境与社会影响评估流程已圆满结束。后续，在</w:t>
            </w:r>
            <w:proofErr w:type="spellStart"/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Alacran</w:t>
            </w:r>
            <w:proofErr w:type="spellEnd"/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铜金银矿的开发建设中，公司将全面落实环境许可关于社会和经济保护的要求，始终以人权保护、风险预防和集体</w:t>
            </w:r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lastRenderedPageBreak/>
              <w:t>福祉为核心准则，通过建立长效的沟通与共享机制，确保项目运营与当地社区实现和谐共生与互利共赢</w:t>
            </w:r>
            <w:r w:rsidR="00292244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。</w:t>
            </w:r>
          </w:p>
          <w:p w14:paraId="7DE0B4F3" w14:textId="77777777" w:rsidR="00D37658" w:rsidRPr="00D37658" w:rsidRDefault="00D37658" w:rsidP="00D37658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根据2023年12月完成的</w:t>
            </w:r>
            <w:proofErr w:type="spellStart"/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Alacran</w:t>
            </w:r>
            <w:proofErr w:type="spellEnd"/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铜金银矿床的可行性研究（FS）（采用NI 43-101标准），</w:t>
            </w:r>
            <w:proofErr w:type="spellStart"/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Alacran</w:t>
            </w:r>
            <w:proofErr w:type="spellEnd"/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铜金银矿项目为露天采选工程，项目投资概算为4.204亿美元，设计的境界内矿石总量为9790万吨。项目建设期为2年，建成后矿山寿命预计为14.2年。项目预计累计回收铜797百万磅，金0.55百万盎司，银5.35百万盎司。</w:t>
            </w:r>
          </w:p>
          <w:p w14:paraId="308AD945" w14:textId="77777777" w:rsidR="00D37658" w:rsidRPr="009B328C" w:rsidRDefault="00D37658" w:rsidP="00D37658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 w:rsidRPr="009B328C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 xml:space="preserve">2、Lubambe铜矿项目技改情况 </w:t>
            </w:r>
          </w:p>
          <w:p w14:paraId="59BE03CE" w14:textId="77777777" w:rsidR="00D37658" w:rsidRDefault="00D37658" w:rsidP="00D37658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自2024年下半年完成对赞比亚Lubambe铜矿的收购后，公司持续强化其经营管理，同步推进地质勘探、采掘生产、选矿生产及井下辅助系统改造等工作。随着技改方案逐步落地，Lubambe铜矿的经营效益将实现持续提升。</w:t>
            </w:r>
          </w:p>
          <w:p w14:paraId="28D81792" w14:textId="67FD61A8" w:rsidR="009B328C" w:rsidRPr="009B328C" w:rsidRDefault="00B7350D" w:rsidP="009B328C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3</w:t>
            </w:r>
            <w:r w:rsidR="009B328C" w:rsidRPr="009B328C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、</w:t>
            </w:r>
            <w:proofErr w:type="spellStart"/>
            <w:r w:rsidR="009B328C" w:rsidRPr="009B328C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Dikulushi</w:t>
            </w:r>
            <w:proofErr w:type="spellEnd"/>
            <w:r w:rsidR="009B328C" w:rsidRPr="009B328C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矿山的剩余可采情况</w:t>
            </w:r>
            <w:r w:rsidR="009B328C" w:rsidRPr="009B328C">
              <w:rPr>
                <w:rFonts w:asciiTheme="minorEastAsia" w:hAnsiTheme="minorEastAsia"/>
                <w:b/>
                <w:sz w:val="24"/>
                <w:szCs w:val="24"/>
                <w:lang w:eastAsia="zh-CN"/>
              </w:rPr>
              <w:t>和季节性</w:t>
            </w:r>
          </w:p>
          <w:p w14:paraId="7CBD80AB" w14:textId="77777777" w:rsidR="009B328C" w:rsidRDefault="009B328C" w:rsidP="009B328C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9B328C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公司目前通过子公司金景矿业、元景矿业分别拥有位于刚果（金）东南部加丹加（Katanga）省的两个矿业权（PE606、PE13085），采矿权面积 68.77 平方公里，已于 2021 年 12 月投产的</w:t>
            </w:r>
            <w:proofErr w:type="spellStart"/>
            <w:r w:rsidRPr="009B328C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Dikulushi</w:t>
            </w:r>
            <w:proofErr w:type="spellEnd"/>
            <w:r w:rsidRPr="009B328C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 xml:space="preserve"> 铜矿属于 PE606 采矿权的一部分。截至 2025 年12 月末，</w:t>
            </w:r>
            <w:proofErr w:type="spellStart"/>
            <w:r w:rsidRPr="009B328C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Dikulushi</w:t>
            </w:r>
            <w:proofErr w:type="spellEnd"/>
            <w:r w:rsidRPr="009B328C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铜矿保有矿石量约43 万吨，铜平均品位 7.58%。</w:t>
            </w:r>
          </w:p>
          <w:p w14:paraId="32A37888" w14:textId="4E786B69" w:rsidR="009B328C" w:rsidRDefault="009B328C" w:rsidP="009B328C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9B328C">
              <w:rPr>
                <w:rFonts w:asciiTheme="minorEastAsia" w:hAnsiTheme="minorEastAsia"/>
                <w:bCs/>
                <w:sz w:val="24"/>
                <w:szCs w:val="24"/>
                <w:lang w:eastAsia="zh-CN"/>
              </w:rPr>
              <w:t>公司自</w:t>
            </w:r>
            <w:proofErr w:type="spellStart"/>
            <w:r w:rsidRPr="009B328C">
              <w:rPr>
                <w:rFonts w:asciiTheme="minorEastAsia" w:hAnsiTheme="minorEastAsia"/>
                <w:bCs/>
                <w:sz w:val="24"/>
                <w:szCs w:val="24"/>
                <w:lang w:eastAsia="zh-CN"/>
              </w:rPr>
              <w:t>Dikulushi</w:t>
            </w:r>
            <w:proofErr w:type="spellEnd"/>
            <w:r w:rsidRPr="009B328C">
              <w:rPr>
                <w:rFonts w:asciiTheme="minorEastAsia" w:hAnsiTheme="minorEastAsia"/>
                <w:bCs/>
                <w:sz w:val="24"/>
                <w:szCs w:val="24"/>
                <w:lang w:eastAsia="zh-CN"/>
              </w:rPr>
              <w:t>铜矿投产以来，一直通过边生产边勘探的方式来不断延长该矿的生命周期，成效比较明显：2021年年报披露矿山剩余开采年限3.58年，2025年年报披露剩余开采年限仍有2.98年。 未来，这种边生产边勘探的方式还将持续进行。</w:t>
            </w:r>
          </w:p>
          <w:p w14:paraId="53AB5854" w14:textId="13D178C1" w:rsidR="009B328C" w:rsidRDefault="009B328C" w:rsidP="009B328C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proofErr w:type="spellStart"/>
            <w:r w:rsidRPr="009B328C">
              <w:rPr>
                <w:rFonts w:asciiTheme="minorEastAsia" w:hAnsiTheme="minorEastAsia"/>
                <w:bCs/>
                <w:sz w:val="24"/>
                <w:szCs w:val="24"/>
                <w:lang w:eastAsia="zh-CN"/>
              </w:rPr>
              <w:t>Dikulushi</w:t>
            </w:r>
            <w:proofErr w:type="spellEnd"/>
            <w:r w:rsidRPr="009B328C">
              <w:rPr>
                <w:rFonts w:asciiTheme="minorEastAsia" w:hAnsiTheme="minorEastAsia"/>
                <w:bCs/>
                <w:sz w:val="24"/>
                <w:szCs w:val="24"/>
                <w:lang w:eastAsia="zh-CN"/>
              </w:rPr>
              <w:t>铜矿的生产及销售考虑了当地在11月-4月为雨季的气候特点，销量在全年并非均匀分布。一般情况下，雨季影响矿区外围道路状况，进而影响产品的运输，因此雨季销量相对较低。</w:t>
            </w:r>
          </w:p>
          <w:p w14:paraId="6FFC6082" w14:textId="77777777" w:rsidR="009B328C" w:rsidRPr="009B328C" w:rsidRDefault="009B328C" w:rsidP="009B328C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 w:rsidRPr="009B328C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4、</w:t>
            </w:r>
            <w:proofErr w:type="spellStart"/>
            <w:r w:rsidRPr="009B328C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Lonshi</w:t>
            </w:r>
            <w:proofErr w:type="spellEnd"/>
            <w:r w:rsidRPr="009B328C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 xml:space="preserve">铜矿东区的扩产建设情况 </w:t>
            </w:r>
          </w:p>
          <w:p w14:paraId="400F4A32" w14:textId="77777777" w:rsidR="009B328C" w:rsidRPr="009B328C" w:rsidRDefault="009B328C" w:rsidP="009B328C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9B328C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据公司2025年1月发布的《刚果（金）龙溪铜矿东区采选工程可行性研究》，东区采用地下开采方式，设计年开采规模250-350万吨，计</w:t>
            </w:r>
            <w:r w:rsidRPr="009B328C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lastRenderedPageBreak/>
              <w:t>划基建期4.5年；投产后第4年达产，总服务年限12年。为平衡东西区服务周期，东区投产后西区将逐年减产，两区井下最大年出矿量合计450万吨。东区达产后，龙溪铜矿东西区合计年铜金属产量约10万吨。</w:t>
            </w:r>
          </w:p>
          <w:p w14:paraId="259E3A74" w14:textId="77777777" w:rsidR="009B328C" w:rsidRPr="009B328C" w:rsidRDefault="009B328C" w:rsidP="009B328C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 w:rsidRPr="009B328C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5、矿服业务的定价模式</w:t>
            </w:r>
          </w:p>
          <w:p w14:paraId="0CDFF9D4" w14:textId="42354942" w:rsidR="009B328C" w:rsidRDefault="009B328C" w:rsidP="009B328C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9B328C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矿服业务的定价模式为成本加成，是根据矿山的资源禀赋、开采的技术难度等，按照行业普遍的作业效率、作业成本作为参考来进行定价。一般情况下，不与矿产资源产品价格挂钩。</w:t>
            </w:r>
          </w:p>
          <w:p w14:paraId="5F1FF5F4" w14:textId="1055A156" w:rsidR="009B328C" w:rsidRPr="009B328C" w:rsidRDefault="002058C7" w:rsidP="009B328C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6、</w:t>
            </w:r>
            <w:r w:rsidR="009B328C" w:rsidRPr="009B328C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港股上市情况</w:t>
            </w:r>
          </w:p>
          <w:p w14:paraId="0E4463A4" w14:textId="682B7538" w:rsidR="009B328C" w:rsidRPr="009B328C" w:rsidRDefault="009B328C" w:rsidP="009B328C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9B328C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为进一步推进公司全球化战略布局，打造国际化资本运作平台，借助国际资本市场拓宽多元化融资渠道，进一步提升公司综合竞争力并持续加大国际影响力，增强公司核心竞争力，公司正在筹划发行境外上市股份（H股）并在香港联合交易所有限公司主板挂牌上市。公司正积极就本次发行H股并上市的相关工作进行商讨，关于本次发行H股并上市的具体细节尚未确定，待具体方案确定后，本次发行H股并上市尚需提交公司董事会和股东会审议，并需取得中国证券监督管理委员会、香港联交所和香港证券及期货事务监察委员会等相关政府机构、监管机构备案、批准和/或核准。本次发行H股并上市能否通过审议、备案和审核程序并最终实施具有较大不确定性。</w:t>
            </w:r>
          </w:p>
          <w:p w14:paraId="69A4EA92" w14:textId="68A838D6" w:rsidR="00D37658" w:rsidRPr="002058C7" w:rsidRDefault="002058C7" w:rsidP="00D37658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 w:rsidRPr="002058C7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7</w:t>
            </w:r>
            <w:r w:rsidR="00D37658" w:rsidRPr="002058C7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、矿服业务的发展潜力</w:t>
            </w:r>
          </w:p>
          <w:p w14:paraId="76C7E317" w14:textId="77777777" w:rsidR="00D37658" w:rsidRPr="00D37658" w:rsidRDefault="00D37658" w:rsidP="00D37658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公司以“大市场、大业主、大项目”为主的目标市场策略，一方面，公司始终贯彻以领先的技术为矿山业主提供超值服务的理念，以优质的矿山工程建设服务获得矿山业主的认可，进而承接后期的采矿运营管理业务；另一方面，通过加大矿山设计与技术研发力度，初步形成了矿山工程建设、采矿运营管理和矿山设计与技术研发一体化的综合经营模式，该模式能够更有效地满足业主矿山建设与采矿运营的需要，更好地实现从基建到生产的快速、稳妥过渡，为矿山业主缩短建设周期、快速投产达产、节省基建投资，同时，公司的矿山服务业务发展空间也将更为广阔。</w:t>
            </w:r>
          </w:p>
          <w:p w14:paraId="6D5FD374" w14:textId="77777777" w:rsidR="00D37658" w:rsidRPr="00D37658" w:rsidRDefault="00D37658" w:rsidP="00D37658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lastRenderedPageBreak/>
              <w:t>未来，矿服业务的增长主要来自两大方向：其一为新承接的外部项目；其二则是存量项目的增量拓展——大型矿山通常拥有多个矿体，其开发多采用分期推进模式。具体而言，当一期工程进展至一定阶段后，二期便会启动建设。在此过程中，业主方会主动寻求优质的服务商。</w:t>
            </w:r>
          </w:p>
          <w:p w14:paraId="103FEAC7" w14:textId="16D36AFD" w:rsidR="00D37658" w:rsidRPr="002058C7" w:rsidRDefault="002058C7" w:rsidP="00D37658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8、</w:t>
            </w:r>
            <w:r w:rsidR="00D37658" w:rsidRPr="002058C7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磷矿北采区的建设进展</w:t>
            </w:r>
          </w:p>
          <w:p w14:paraId="7F1E7B7A" w14:textId="77777777" w:rsidR="00D37658" w:rsidRDefault="00D37658" w:rsidP="00D37658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公司两岔河磷矿北部采区生产规模50万t/a，目前处于建设期，力争2028年底建成投产。</w:t>
            </w:r>
          </w:p>
          <w:p w14:paraId="4D8DE5E8" w14:textId="17F0006C" w:rsidR="009B328C" w:rsidRPr="009B328C" w:rsidRDefault="002058C7" w:rsidP="009B328C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9、</w:t>
            </w:r>
            <w:r w:rsidR="009B328C" w:rsidRPr="009B328C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如何看待铜价走势</w:t>
            </w:r>
          </w:p>
          <w:p w14:paraId="3D911BC6" w14:textId="57B9DC28" w:rsidR="009B328C" w:rsidRDefault="009B328C" w:rsidP="009B328C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9B328C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展望当前及未来一段时期，铜市面临显著的“紧平衡”格局。供给端，受全球铜矿平均品位自然下滑及长期资本开支不足的双重制约，产量释放受到严格限制，且矿山端的扰动风险正在加剧。需求端，全球能源转型（新能源领域）及新兴市场的基础设施建设提供了持续且具韧性的需求支撑。在上述背景下，预计铜价将在中长期内维持震荡上行的运行趋势。</w:t>
            </w:r>
          </w:p>
          <w:p w14:paraId="026D69A5" w14:textId="22CF3F02" w:rsidR="009B328C" w:rsidRPr="002058C7" w:rsidRDefault="002058C7" w:rsidP="009B328C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 w:rsidRPr="002058C7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10、</w:t>
            </w:r>
            <w:r w:rsidR="009B328C" w:rsidRPr="002058C7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 xml:space="preserve">公司未来发展战略 </w:t>
            </w:r>
          </w:p>
          <w:p w14:paraId="3A7A9C02" w14:textId="77777777" w:rsidR="009B328C" w:rsidRPr="009B328C" w:rsidRDefault="009B328C" w:rsidP="009B328C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9B328C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公司在保持原有矿山开发业务稳定发展的基础上，依靠先前积累的技术优势、管理优势、行业优势，积极向资源开发领域扩展，逐步探索出一条 “矿服+资源”的发展道路，以“矿山服务”、“资源开发”双轮驱动，助推公司从单一的矿山服务企业向集团化的矿业公司全面转型。</w:t>
            </w:r>
          </w:p>
          <w:p w14:paraId="0CBFD3FF" w14:textId="564C5B15" w:rsidR="009B328C" w:rsidRPr="002058C7" w:rsidRDefault="002058C7" w:rsidP="009B328C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 w:rsidRPr="002058C7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11、</w:t>
            </w:r>
            <w:r w:rsidR="009B328C" w:rsidRPr="002058C7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公司在行业内的优势表现</w:t>
            </w:r>
          </w:p>
          <w:p w14:paraId="0903E0EF" w14:textId="36348AE5" w:rsidR="009B328C" w:rsidRPr="00D37658" w:rsidRDefault="009B328C" w:rsidP="009B328C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9B328C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公司以在矿山工程建设与采矿运营管理领域积累的深厚底蕴，逐步沿矿山产业链上下延伸至矿山资源开发、设计与研发、设备制造等领域，不断加强矿山服务业务一体化服务管控能力，能够将工程施工中积累的经验、发现的问题以最短的渠道、最低的成本反馈到开发咨询和设计领域，并将公司取得的最新科研成果贯彻于设计业务之中，以优化设计方案，使科技成果迅速转化为生产力并应用于资源开发领</w:t>
            </w:r>
            <w:r w:rsidRPr="009B328C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lastRenderedPageBreak/>
              <w:t>域，可以更好地缩短资源开发的建设周期、降低单位生产成本、增厚矿产品市场竞争的安全边际。通过一体化运营优势，提高资源项目开发效率，延长项目寿命，实现资源项目经济价值最大化。</w:t>
            </w:r>
          </w:p>
          <w:p w14:paraId="4F73F772" w14:textId="371668AB" w:rsidR="00D37658" w:rsidRPr="002058C7" w:rsidRDefault="002058C7" w:rsidP="00D37658">
            <w:pPr>
              <w:widowControl/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>12</w:t>
            </w:r>
            <w:r w:rsidR="00D37658" w:rsidRPr="002058C7">
              <w:rPr>
                <w:rFonts w:asciiTheme="minorEastAsia" w:hAnsiTheme="minorEastAsia" w:hint="eastAsia"/>
                <w:b/>
                <w:sz w:val="24"/>
                <w:szCs w:val="24"/>
                <w:lang w:eastAsia="zh-CN"/>
              </w:rPr>
              <w:t xml:space="preserve">、是否还有并购矿山的规划？ </w:t>
            </w:r>
          </w:p>
          <w:p w14:paraId="2EE8C1A2" w14:textId="77777777" w:rsidR="00D37658" w:rsidRPr="00D37658" w:rsidRDefault="00D37658" w:rsidP="00D37658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从长期战略看，公司关注与自身规模匹配、具备价值投资潜力的资源类项目。当前，公司已拥有5个矿山资源项目，因此更倾向于通过现有项目的勘探工作实现储量增长，认为这是更经济的资源获取方式。</w:t>
            </w:r>
          </w:p>
          <w:p w14:paraId="66470FA2" w14:textId="325928F0" w:rsidR="00587DFE" w:rsidRPr="006E2780" w:rsidRDefault="00D37658" w:rsidP="00D37658">
            <w:pPr>
              <w:widowControl/>
              <w:spacing w:line="360" w:lineRule="auto"/>
              <w:ind w:firstLineChars="200" w:firstLine="480"/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</w:pPr>
            <w:r w:rsidRPr="00D37658">
              <w:rPr>
                <w:rFonts w:asciiTheme="minorEastAsia" w:hAnsiTheme="minorEastAsia" w:hint="eastAsia"/>
                <w:bCs/>
                <w:sz w:val="24"/>
                <w:szCs w:val="24"/>
                <w:lang w:eastAsia="zh-CN"/>
              </w:rPr>
              <w:t>同时，依靠在矿山建设与运营领域的优势，公司也将探索通过参股+运营的方式拓展公司业务。</w:t>
            </w:r>
          </w:p>
        </w:tc>
      </w:tr>
    </w:tbl>
    <w:p w14:paraId="7135E878" w14:textId="77777777" w:rsidR="00F01EA1" w:rsidRDefault="00F01EA1" w:rsidP="00680CBC">
      <w:pPr>
        <w:widowControl/>
        <w:jc w:val="left"/>
        <w:rPr>
          <w:rFonts w:asciiTheme="minorEastAsia" w:hAnsiTheme="minorEastAsia" w:hint="eastAsia"/>
          <w:sz w:val="24"/>
          <w:szCs w:val="24"/>
        </w:rPr>
      </w:pPr>
    </w:p>
    <w:sectPr w:rsidR="00F01EA1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43153" w14:textId="77777777" w:rsidR="0074630A" w:rsidRDefault="0074630A">
      <w:r>
        <w:separator/>
      </w:r>
    </w:p>
  </w:endnote>
  <w:endnote w:type="continuationSeparator" w:id="0">
    <w:p w14:paraId="58F4AB2E" w14:textId="77777777" w:rsidR="0074630A" w:rsidRDefault="0074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A54D8" w14:textId="77777777" w:rsidR="0074630A" w:rsidRDefault="0074630A">
      <w:r>
        <w:separator/>
      </w:r>
    </w:p>
  </w:footnote>
  <w:footnote w:type="continuationSeparator" w:id="0">
    <w:p w14:paraId="1DA5BE76" w14:textId="77777777" w:rsidR="0074630A" w:rsidRDefault="00746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EE672" w14:textId="77777777" w:rsidR="00F01EA1" w:rsidRDefault="00551C9C">
    <w:pPr>
      <w:tabs>
        <w:tab w:val="left" w:pos="1440"/>
      </w:tabs>
      <w:spacing w:beforeLines="50" w:before="120" w:afterLines="50" w:after="120"/>
      <w:ind w:right="480"/>
      <w:rPr>
        <w:rFonts w:ascii="Arial" w:hAnsi="Arial" w:cs="Arial"/>
        <w:sz w:val="20"/>
        <w:szCs w:val="28"/>
      </w:rPr>
    </w:pPr>
    <w:r>
      <w:rPr>
        <w:rFonts w:ascii="Arial" w:hAnsi="Arial" w:cs="Arial"/>
        <w:sz w:val="20"/>
        <w:szCs w:val="28"/>
      </w:rPr>
      <w:t>证券代码：</w:t>
    </w:r>
    <w:r>
      <w:rPr>
        <w:rFonts w:ascii="Arial" w:hAnsi="Arial" w:cs="Arial"/>
        <w:sz w:val="20"/>
        <w:szCs w:val="28"/>
      </w:rPr>
      <w:t xml:space="preserve">603979                                       </w:t>
    </w:r>
    <w:r>
      <w:rPr>
        <w:rFonts w:ascii="Arial" w:hAnsi="Arial" w:cs="Arial"/>
        <w:sz w:val="20"/>
        <w:szCs w:val="28"/>
      </w:rPr>
      <w:t>证券简称：金诚信</w:t>
    </w:r>
  </w:p>
  <w:p w14:paraId="012B6DE6" w14:textId="77777777" w:rsidR="00F01EA1" w:rsidRDefault="008351FE">
    <w:pPr>
      <w:tabs>
        <w:tab w:val="left" w:pos="1440"/>
      </w:tabs>
      <w:spacing w:beforeLines="50" w:before="120" w:afterLines="50" w:after="120"/>
      <w:ind w:right="480"/>
      <w:rPr>
        <w:rFonts w:ascii="Arial" w:hAnsi="Arial" w:cs="Arial"/>
        <w:sz w:val="20"/>
        <w:szCs w:val="28"/>
      </w:rPr>
    </w:pPr>
    <w:r>
      <w:rPr>
        <w:rFonts w:ascii="Arial" w:hAnsi="Arial" w:cs="Arial" w:hint="eastAsia"/>
        <w:sz w:val="20"/>
        <w:szCs w:val="28"/>
      </w:rPr>
      <w:t>转债</w:t>
    </w:r>
    <w:r w:rsidR="00551C9C">
      <w:rPr>
        <w:rFonts w:ascii="Arial" w:hAnsi="Arial" w:cs="Arial"/>
        <w:sz w:val="20"/>
        <w:szCs w:val="28"/>
      </w:rPr>
      <w:t>代码：</w:t>
    </w:r>
    <w:r w:rsidR="00551C9C">
      <w:rPr>
        <w:rFonts w:ascii="Arial" w:hAnsi="Arial" w:cs="Arial"/>
        <w:sz w:val="20"/>
        <w:szCs w:val="28"/>
      </w:rPr>
      <w:t xml:space="preserve">113615                                       </w:t>
    </w:r>
    <w:r>
      <w:rPr>
        <w:rFonts w:ascii="Arial" w:hAnsi="Arial" w:cs="Arial" w:hint="eastAsia"/>
        <w:sz w:val="20"/>
        <w:szCs w:val="28"/>
      </w:rPr>
      <w:t>转债</w:t>
    </w:r>
    <w:r w:rsidR="00551C9C">
      <w:rPr>
        <w:rFonts w:ascii="Arial" w:hAnsi="Arial" w:cs="Arial"/>
        <w:sz w:val="20"/>
        <w:szCs w:val="28"/>
      </w:rPr>
      <w:t>简称：金诚转债</w:t>
    </w:r>
  </w:p>
  <w:p w14:paraId="7A23B2CB" w14:textId="77777777" w:rsidR="008351FE" w:rsidRDefault="008351FE">
    <w:pPr>
      <w:tabs>
        <w:tab w:val="left" w:pos="1440"/>
      </w:tabs>
      <w:spacing w:beforeLines="50" w:before="120" w:afterLines="50" w:after="120"/>
      <w:ind w:right="480"/>
      <w:rPr>
        <w:rFonts w:ascii="Arial" w:hAnsi="Arial" w:cs="Arial"/>
        <w:sz w:val="20"/>
        <w:szCs w:val="28"/>
      </w:rPr>
    </w:pPr>
    <w:r>
      <w:rPr>
        <w:rFonts w:ascii="Arial" w:hAnsi="Arial" w:cs="Arial"/>
        <w:sz w:val="20"/>
        <w:szCs w:val="28"/>
      </w:rPr>
      <w:t>转债代码：</w:t>
    </w:r>
    <w:r>
      <w:rPr>
        <w:rFonts w:ascii="Arial" w:hAnsi="Arial" w:cs="Arial" w:hint="eastAsia"/>
        <w:sz w:val="20"/>
        <w:szCs w:val="28"/>
      </w:rPr>
      <w:t>1</w:t>
    </w:r>
    <w:r>
      <w:rPr>
        <w:rFonts w:ascii="Arial" w:hAnsi="Arial" w:cs="Arial"/>
        <w:sz w:val="20"/>
        <w:szCs w:val="28"/>
      </w:rPr>
      <w:t xml:space="preserve">13699                                       </w:t>
    </w:r>
    <w:r>
      <w:rPr>
        <w:rFonts w:ascii="Arial" w:hAnsi="Arial" w:cs="Arial"/>
        <w:sz w:val="20"/>
        <w:szCs w:val="28"/>
      </w:rPr>
      <w:t>转债简称：金</w:t>
    </w:r>
    <w:r>
      <w:rPr>
        <w:rFonts w:ascii="Arial" w:hAnsi="Arial" w:cs="Arial" w:hint="eastAsia"/>
        <w:sz w:val="20"/>
        <w:szCs w:val="28"/>
      </w:rPr>
      <w:t>2</w:t>
    </w:r>
    <w:r>
      <w:rPr>
        <w:rFonts w:ascii="Arial" w:hAnsi="Arial" w:cs="Arial"/>
        <w:sz w:val="20"/>
        <w:szCs w:val="28"/>
      </w:rPr>
      <w:t>5</w:t>
    </w:r>
    <w:r>
      <w:rPr>
        <w:rFonts w:ascii="Arial" w:hAnsi="Arial" w:cs="Arial"/>
        <w:sz w:val="20"/>
        <w:szCs w:val="28"/>
      </w:rPr>
      <w:t>转债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43A309"/>
    <w:multiLevelType w:val="singleLevel"/>
    <w:tmpl w:val="CF43A309"/>
    <w:lvl w:ilvl="0">
      <w:start w:val="5"/>
      <w:numFmt w:val="decimal"/>
      <w:suff w:val="nothing"/>
      <w:lvlText w:val="%1、"/>
      <w:lvlJc w:val="left"/>
      <w:pPr>
        <w:ind w:left="0" w:firstLine="0"/>
      </w:pPr>
    </w:lvl>
  </w:abstractNum>
  <w:abstractNum w:abstractNumId="1" w15:restartNumberingAfterBreak="0">
    <w:nsid w:val="129D413C"/>
    <w:multiLevelType w:val="hybridMultilevel"/>
    <w:tmpl w:val="6EDA183A"/>
    <w:lvl w:ilvl="0" w:tplc="5AB8E06E">
      <w:start w:val="1"/>
      <w:numFmt w:val="decimal"/>
      <w:lvlText w:val="%1、"/>
      <w:lvlJc w:val="left"/>
      <w:pPr>
        <w:ind w:left="872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 w15:restartNumberingAfterBreak="0">
    <w:nsid w:val="26AA6F2C"/>
    <w:multiLevelType w:val="multilevel"/>
    <w:tmpl w:val="26AA6F2C"/>
    <w:lvl w:ilvl="0">
      <w:start w:val="1"/>
      <w:numFmt w:val="bullet"/>
      <w:suff w:val="nothing"/>
      <w:lvlText w:val=""/>
      <w:lvlJc w:val="left"/>
      <w:pPr>
        <w:ind w:left="53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5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9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1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5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7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92" w:hanging="420"/>
      </w:pPr>
      <w:rPr>
        <w:rFonts w:ascii="Wingdings" w:hAnsi="Wingdings" w:hint="default"/>
      </w:rPr>
    </w:lvl>
  </w:abstractNum>
  <w:abstractNum w:abstractNumId="3" w15:restartNumberingAfterBreak="0">
    <w:nsid w:val="3BF72278"/>
    <w:multiLevelType w:val="hybridMultilevel"/>
    <w:tmpl w:val="7FCAF818"/>
    <w:lvl w:ilvl="0" w:tplc="5E2AD538">
      <w:start w:val="7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A850976"/>
    <w:multiLevelType w:val="multilevel"/>
    <w:tmpl w:val="4A850976"/>
    <w:lvl w:ilvl="0">
      <w:start w:val="1"/>
      <w:numFmt w:val="decimal"/>
      <w:lvlText w:val="%1、"/>
      <w:lvlJc w:val="left"/>
      <w:pPr>
        <w:ind w:left="132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 w16cid:durableId="2125726828">
    <w:abstractNumId w:val="2"/>
  </w:num>
  <w:num w:numId="2" w16cid:durableId="762143862">
    <w:abstractNumId w:val="4"/>
  </w:num>
  <w:num w:numId="3" w16cid:durableId="246689888">
    <w:abstractNumId w:val="1"/>
  </w:num>
  <w:num w:numId="4" w16cid:durableId="1623611914">
    <w:abstractNumId w:val="0"/>
    <w:lvlOverride w:ilvl="0">
      <w:startOverride w:val="5"/>
    </w:lvlOverride>
  </w:num>
  <w:num w:numId="5" w16cid:durableId="331294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M4MzdmYmI5ZjQ3OTkyNjllYzJjYjk3ZWIwOWI1YzkifQ=="/>
  </w:docVars>
  <w:rsids>
    <w:rsidRoot w:val="001F3D24"/>
    <w:rsid w:val="00000B9F"/>
    <w:rsid w:val="000044B2"/>
    <w:rsid w:val="00005A90"/>
    <w:rsid w:val="00011F6D"/>
    <w:rsid w:val="00015DAA"/>
    <w:rsid w:val="00016BF2"/>
    <w:rsid w:val="00022273"/>
    <w:rsid w:val="00024397"/>
    <w:rsid w:val="000332E1"/>
    <w:rsid w:val="00034225"/>
    <w:rsid w:val="00042C19"/>
    <w:rsid w:val="000457EA"/>
    <w:rsid w:val="0004682A"/>
    <w:rsid w:val="00047F88"/>
    <w:rsid w:val="00050F7C"/>
    <w:rsid w:val="00051091"/>
    <w:rsid w:val="00056A6B"/>
    <w:rsid w:val="00061A2C"/>
    <w:rsid w:val="000640F2"/>
    <w:rsid w:val="00065465"/>
    <w:rsid w:val="00066834"/>
    <w:rsid w:val="000723FE"/>
    <w:rsid w:val="00074576"/>
    <w:rsid w:val="00076BCC"/>
    <w:rsid w:val="000867DF"/>
    <w:rsid w:val="000923C5"/>
    <w:rsid w:val="000A1A8F"/>
    <w:rsid w:val="000B22BB"/>
    <w:rsid w:val="000B45DA"/>
    <w:rsid w:val="000C59C0"/>
    <w:rsid w:val="000D1D6D"/>
    <w:rsid w:val="000D2006"/>
    <w:rsid w:val="000D2803"/>
    <w:rsid w:val="000D4B4B"/>
    <w:rsid w:val="000D618F"/>
    <w:rsid w:val="000E1DAB"/>
    <w:rsid w:val="000E2F2F"/>
    <w:rsid w:val="000E66D8"/>
    <w:rsid w:val="000F0957"/>
    <w:rsid w:val="000F3A0A"/>
    <w:rsid w:val="000F5B5B"/>
    <w:rsid w:val="000F5C17"/>
    <w:rsid w:val="00100F7E"/>
    <w:rsid w:val="00102B82"/>
    <w:rsid w:val="0010343C"/>
    <w:rsid w:val="00106CEA"/>
    <w:rsid w:val="0011073D"/>
    <w:rsid w:val="0011195B"/>
    <w:rsid w:val="00113A22"/>
    <w:rsid w:val="00113CBC"/>
    <w:rsid w:val="00115DA9"/>
    <w:rsid w:val="001215B2"/>
    <w:rsid w:val="001262DD"/>
    <w:rsid w:val="001264C8"/>
    <w:rsid w:val="00127FBD"/>
    <w:rsid w:val="001329AF"/>
    <w:rsid w:val="00132BA1"/>
    <w:rsid w:val="00132F99"/>
    <w:rsid w:val="0014384C"/>
    <w:rsid w:val="00155FFD"/>
    <w:rsid w:val="00157682"/>
    <w:rsid w:val="00157DAD"/>
    <w:rsid w:val="0016124A"/>
    <w:rsid w:val="00162D58"/>
    <w:rsid w:val="0016491F"/>
    <w:rsid w:val="00172045"/>
    <w:rsid w:val="0017241B"/>
    <w:rsid w:val="001730A2"/>
    <w:rsid w:val="00174D1C"/>
    <w:rsid w:val="001759F1"/>
    <w:rsid w:val="001774B4"/>
    <w:rsid w:val="00186019"/>
    <w:rsid w:val="001865BD"/>
    <w:rsid w:val="00190F17"/>
    <w:rsid w:val="00192555"/>
    <w:rsid w:val="00192D99"/>
    <w:rsid w:val="00194807"/>
    <w:rsid w:val="00196B73"/>
    <w:rsid w:val="001A1C4C"/>
    <w:rsid w:val="001A5434"/>
    <w:rsid w:val="001A6EDB"/>
    <w:rsid w:val="001B2033"/>
    <w:rsid w:val="001B3497"/>
    <w:rsid w:val="001B660B"/>
    <w:rsid w:val="001C0FFC"/>
    <w:rsid w:val="001D110D"/>
    <w:rsid w:val="001D2148"/>
    <w:rsid w:val="001D2ACE"/>
    <w:rsid w:val="001D301F"/>
    <w:rsid w:val="001D4975"/>
    <w:rsid w:val="001E69F7"/>
    <w:rsid w:val="001F1DD4"/>
    <w:rsid w:val="001F3D24"/>
    <w:rsid w:val="00200985"/>
    <w:rsid w:val="00200D40"/>
    <w:rsid w:val="002013F4"/>
    <w:rsid w:val="00202713"/>
    <w:rsid w:val="002048C6"/>
    <w:rsid w:val="002058C7"/>
    <w:rsid w:val="00217632"/>
    <w:rsid w:val="00220C67"/>
    <w:rsid w:val="002228E5"/>
    <w:rsid w:val="00226671"/>
    <w:rsid w:val="00226DF0"/>
    <w:rsid w:val="00231F83"/>
    <w:rsid w:val="00237F9E"/>
    <w:rsid w:val="002408D1"/>
    <w:rsid w:val="00246553"/>
    <w:rsid w:val="002530DB"/>
    <w:rsid w:val="00254649"/>
    <w:rsid w:val="0025747C"/>
    <w:rsid w:val="00260A44"/>
    <w:rsid w:val="00262D1B"/>
    <w:rsid w:val="002649DC"/>
    <w:rsid w:val="0026560E"/>
    <w:rsid w:val="00267111"/>
    <w:rsid w:val="0027244C"/>
    <w:rsid w:val="002738DA"/>
    <w:rsid w:val="00282FA9"/>
    <w:rsid w:val="00285AEC"/>
    <w:rsid w:val="0028603A"/>
    <w:rsid w:val="00292244"/>
    <w:rsid w:val="00292936"/>
    <w:rsid w:val="0029417C"/>
    <w:rsid w:val="002A2B18"/>
    <w:rsid w:val="002A5535"/>
    <w:rsid w:val="002B0E73"/>
    <w:rsid w:val="002C14E6"/>
    <w:rsid w:val="002C2C1C"/>
    <w:rsid w:val="002C3A6D"/>
    <w:rsid w:val="002D06FE"/>
    <w:rsid w:val="002D20B1"/>
    <w:rsid w:val="002E4E80"/>
    <w:rsid w:val="002E559D"/>
    <w:rsid w:val="002F18C9"/>
    <w:rsid w:val="002F4534"/>
    <w:rsid w:val="002F58B3"/>
    <w:rsid w:val="002F5B59"/>
    <w:rsid w:val="002F6F95"/>
    <w:rsid w:val="00301F13"/>
    <w:rsid w:val="0030314F"/>
    <w:rsid w:val="003037F6"/>
    <w:rsid w:val="00310262"/>
    <w:rsid w:val="00311EAC"/>
    <w:rsid w:val="00315190"/>
    <w:rsid w:val="00321F72"/>
    <w:rsid w:val="00331F0C"/>
    <w:rsid w:val="0034001F"/>
    <w:rsid w:val="00351C50"/>
    <w:rsid w:val="00355FD7"/>
    <w:rsid w:val="003566BA"/>
    <w:rsid w:val="00361FFE"/>
    <w:rsid w:val="003622B8"/>
    <w:rsid w:val="003624DF"/>
    <w:rsid w:val="003629D1"/>
    <w:rsid w:val="00367D04"/>
    <w:rsid w:val="00367DB9"/>
    <w:rsid w:val="003702C6"/>
    <w:rsid w:val="00370E4C"/>
    <w:rsid w:val="00373D14"/>
    <w:rsid w:val="00376AE7"/>
    <w:rsid w:val="003779D3"/>
    <w:rsid w:val="003805CF"/>
    <w:rsid w:val="003844B6"/>
    <w:rsid w:val="0039221B"/>
    <w:rsid w:val="00396443"/>
    <w:rsid w:val="003A142F"/>
    <w:rsid w:val="003A2483"/>
    <w:rsid w:val="003B1E7C"/>
    <w:rsid w:val="003B20D4"/>
    <w:rsid w:val="003C0A37"/>
    <w:rsid w:val="003C4C29"/>
    <w:rsid w:val="003D037B"/>
    <w:rsid w:val="003D59D3"/>
    <w:rsid w:val="003D609A"/>
    <w:rsid w:val="003E4D93"/>
    <w:rsid w:val="003E4E58"/>
    <w:rsid w:val="003E5568"/>
    <w:rsid w:val="003F086D"/>
    <w:rsid w:val="003F223C"/>
    <w:rsid w:val="003F3B5E"/>
    <w:rsid w:val="004011DD"/>
    <w:rsid w:val="00402C59"/>
    <w:rsid w:val="0040421F"/>
    <w:rsid w:val="004072E8"/>
    <w:rsid w:val="004126A7"/>
    <w:rsid w:val="00412899"/>
    <w:rsid w:val="0041457D"/>
    <w:rsid w:val="00414D82"/>
    <w:rsid w:val="004324A5"/>
    <w:rsid w:val="00436D6C"/>
    <w:rsid w:val="00442DCD"/>
    <w:rsid w:val="00445F40"/>
    <w:rsid w:val="00456942"/>
    <w:rsid w:val="00460C13"/>
    <w:rsid w:val="0046579D"/>
    <w:rsid w:val="00465E6D"/>
    <w:rsid w:val="00471214"/>
    <w:rsid w:val="00474481"/>
    <w:rsid w:val="00476A45"/>
    <w:rsid w:val="00482E79"/>
    <w:rsid w:val="0048337B"/>
    <w:rsid w:val="00486345"/>
    <w:rsid w:val="004906DE"/>
    <w:rsid w:val="00493958"/>
    <w:rsid w:val="00495D65"/>
    <w:rsid w:val="004A699A"/>
    <w:rsid w:val="004B2252"/>
    <w:rsid w:val="004B6C64"/>
    <w:rsid w:val="004C06FE"/>
    <w:rsid w:val="004C2EF9"/>
    <w:rsid w:val="004D0AE9"/>
    <w:rsid w:val="004D1E8C"/>
    <w:rsid w:val="004D4CB1"/>
    <w:rsid w:val="004D7E3E"/>
    <w:rsid w:val="004E3A32"/>
    <w:rsid w:val="004E482C"/>
    <w:rsid w:val="004E6B82"/>
    <w:rsid w:val="004F1288"/>
    <w:rsid w:val="004F1485"/>
    <w:rsid w:val="004F1642"/>
    <w:rsid w:val="004F7995"/>
    <w:rsid w:val="005030E3"/>
    <w:rsid w:val="00511E24"/>
    <w:rsid w:val="00512242"/>
    <w:rsid w:val="00513606"/>
    <w:rsid w:val="00521952"/>
    <w:rsid w:val="00525465"/>
    <w:rsid w:val="00526A32"/>
    <w:rsid w:val="00530FA1"/>
    <w:rsid w:val="00531186"/>
    <w:rsid w:val="00540C52"/>
    <w:rsid w:val="0054117C"/>
    <w:rsid w:val="00541608"/>
    <w:rsid w:val="00544AB6"/>
    <w:rsid w:val="00547C0D"/>
    <w:rsid w:val="00551C9C"/>
    <w:rsid w:val="005523F9"/>
    <w:rsid w:val="00553554"/>
    <w:rsid w:val="00555AB4"/>
    <w:rsid w:val="00556A08"/>
    <w:rsid w:val="0055738A"/>
    <w:rsid w:val="00571CA2"/>
    <w:rsid w:val="00573838"/>
    <w:rsid w:val="0057472D"/>
    <w:rsid w:val="00575E92"/>
    <w:rsid w:val="00577E5A"/>
    <w:rsid w:val="00582003"/>
    <w:rsid w:val="005832C0"/>
    <w:rsid w:val="00583702"/>
    <w:rsid w:val="005840D3"/>
    <w:rsid w:val="00587DFE"/>
    <w:rsid w:val="00596061"/>
    <w:rsid w:val="00597676"/>
    <w:rsid w:val="005A66D7"/>
    <w:rsid w:val="005A6AB7"/>
    <w:rsid w:val="005B2DC9"/>
    <w:rsid w:val="005B4018"/>
    <w:rsid w:val="005B5B31"/>
    <w:rsid w:val="005C250A"/>
    <w:rsid w:val="005C584F"/>
    <w:rsid w:val="005D2E82"/>
    <w:rsid w:val="005D37A0"/>
    <w:rsid w:val="005D522B"/>
    <w:rsid w:val="005D7147"/>
    <w:rsid w:val="005E3131"/>
    <w:rsid w:val="005E530E"/>
    <w:rsid w:val="006017C8"/>
    <w:rsid w:val="00603C1A"/>
    <w:rsid w:val="00606323"/>
    <w:rsid w:val="00606C53"/>
    <w:rsid w:val="00615C15"/>
    <w:rsid w:val="00616DAE"/>
    <w:rsid w:val="006173BB"/>
    <w:rsid w:val="0062265A"/>
    <w:rsid w:val="006230FA"/>
    <w:rsid w:val="006358A5"/>
    <w:rsid w:val="00636154"/>
    <w:rsid w:val="006500A5"/>
    <w:rsid w:val="0065104F"/>
    <w:rsid w:val="006532FB"/>
    <w:rsid w:val="00655C8D"/>
    <w:rsid w:val="00662BBC"/>
    <w:rsid w:val="00665866"/>
    <w:rsid w:val="0066614E"/>
    <w:rsid w:val="00673C42"/>
    <w:rsid w:val="006761B9"/>
    <w:rsid w:val="00676568"/>
    <w:rsid w:val="00680CBC"/>
    <w:rsid w:val="006841E4"/>
    <w:rsid w:val="00684215"/>
    <w:rsid w:val="00684228"/>
    <w:rsid w:val="006852A4"/>
    <w:rsid w:val="00691030"/>
    <w:rsid w:val="00691BD6"/>
    <w:rsid w:val="006927AD"/>
    <w:rsid w:val="006A0023"/>
    <w:rsid w:val="006A2B21"/>
    <w:rsid w:val="006A6CC7"/>
    <w:rsid w:val="006A73ED"/>
    <w:rsid w:val="006B40F1"/>
    <w:rsid w:val="006C15B5"/>
    <w:rsid w:val="006C1A31"/>
    <w:rsid w:val="006D0991"/>
    <w:rsid w:val="006D499B"/>
    <w:rsid w:val="006D7F9B"/>
    <w:rsid w:val="006E2780"/>
    <w:rsid w:val="006E356D"/>
    <w:rsid w:val="006E49EC"/>
    <w:rsid w:val="006E4E80"/>
    <w:rsid w:val="006E5B7C"/>
    <w:rsid w:val="006F025D"/>
    <w:rsid w:val="006F131E"/>
    <w:rsid w:val="006F5BE6"/>
    <w:rsid w:val="006F6482"/>
    <w:rsid w:val="007040AA"/>
    <w:rsid w:val="00705EF8"/>
    <w:rsid w:val="00705F62"/>
    <w:rsid w:val="00710DC1"/>
    <w:rsid w:val="00717C02"/>
    <w:rsid w:val="007210C6"/>
    <w:rsid w:val="00726132"/>
    <w:rsid w:val="00731B71"/>
    <w:rsid w:val="007343A5"/>
    <w:rsid w:val="0073634A"/>
    <w:rsid w:val="00737BC4"/>
    <w:rsid w:val="007412A9"/>
    <w:rsid w:val="00743746"/>
    <w:rsid w:val="00744678"/>
    <w:rsid w:val="0074630A"/>
    <w:rsid w:val="007511C8"/>
    <w:rsid w:val="00751560"/>
    <w:rsid w:val="00754844"/>
    <w:rsid w:val="0075595B"/>
    <w:rsid w:val="00755B97"/>
    <w:rsid w:val="00761E82"/>
    <w:rsid w:val="007633C4"/>
    <w:rsid w:val="00766280"/>
    <w:rsid w:val="007735E3"/>
    <w:rsid w:val="0077459E"/>
    <w:rsid w:val="00775880"/>
    <w:rsid w:val="00780598"/>
    <w:rsid w:val="007838AB"/>
    <w:rsid w:val="00787608"/>
    <w:rsid w:val="00792C2C"/>
    <w:rsid w:val="00796FF1"/>
    <w:rsid w:val="007A37EE"/>
    <w:rsid w:val="007A3E19"/>
    <w:rsid w:val="007B4371"/>
    <w:rsid w:val="007C1746"/>
    <w:rsid w:val="007C55EE"/>
    <w:rsid w:val="007C6CC1"/>
    <w:rsid w:val="007C6D09"/>
    <w:rsid w:val="007D0CC4"/>
    <w:rsid w:val="007E3FFB"/>
    <w:rsid w:val="007F1554"/>
    <w:rsid w:val="00800934"/>
    <w:rsid w:val="008033D9"/>
    <w:rsid w:val="00805D59"/>
    <w:rsid w:val="0081247D"/>
    <w:rsid w:val="00814B28"/>
    <w:rsid w:val="00814E60"/>
    <w:rsid w:val="008241F5"/>
    <w:rsid w:val="00824C56"/>
    <w:rsid w:val="008351FE"/>
    <w:rsid w:val="00851DE8"/>
    <w:rsid w:val="008579DC"/>
    <w:rsid w:val="0086146A"/>
    <w:rsid w:val="00875F70"/>
    <w:rsid w:val="0088101C"/>
    <w:rsid w:val="008831FC"/>
    <w:rsid w:val="008914A5"/>
    <w:rsid w:val="00895496"/>
    <w:rsid w:val="008A0C7A"/>
    <w:rsid w:val="008A1802"/>
    <w:rsid w:val="008A463C"/>
    <w:rsid w:val="008A64FA"/>
    <w:rsid w:val="008B01F8"/>
    <w:rsid w:val="008B1EC5"/>
    <w:rsid w:val="008C0E58"/>
    <w:rsid w:val="008C27F1"/>
    <w:rsid w:val="008C32B9"/>
    <w:rsid w:val="008C35F9"/>
    <w:rsid w:val="008E18F2"/>
    <w:rsid w:val="008E2A56"/>
    <w:rsid w:val="008E7851"/>
    <w:rsid w:val="008F3344"/>
    <w:rsid w:val="008F7019"/>
    <w:rsid w:val="008F7D80"/>
    <w:rsid w:val="0090109E"/>
    <w:rsid w:val="0090169F"/>
    <w:rsid w:val="00901F7F"/>
    <w:rsid w:val="00903674"/>
    <w:rsid w:val="00905B8B"/>
    <w:rsid w:val="0092382D"/>
    <w:rsid w:val="00937BD0"/>
    <w:rsid w:val="00942052"/>
    <w:rsid w:val="009428E2"/>
    <w:rsid w:val="00942C8F"/>
    <w:rsid w:val="009446EE"/>
    <w:rsid w:val="009449AA"/>
    <w:rsid w:val="00945BA2"/>
    <w:rsid w:val="00945F65"/>
    <w:rsid w:val="0095159A"/>
    <w:rsid w:val="00956D4C"/>
    <w:rsid w:val="009576D3"/>
    <w:rsid w:val="0096292A"/>
    <w:rsid w:val="00964A9E"/>
    <w:rsid w:val="0096626C"/>
    <w:rsid w:val="00967007"/>
    <w:rsid w:val="0096743B"/>
    <w:rsid w:val="00970E12"/>
    <w:rsid w:val="00974466"/>
    <w:rsid w:val="009752DD"/>
    <w:rsid w:val="00977CC6"/>
    <w:rsid w:val="0098570E"/>
    <w:rsid w:val="00987F7C"/>
    <w:rsid w:val="00990EA1"/>
    <w:rsid w:val="00995253"/>
    <w:rsid w:val="0099656F"/>
    <w:rsid w:val="009A33EC"/>
    <w:rsid w:val="009A7377"/>
    <w:rsid w:val="009A7BF2"/>
    <w:rsid w:val="009B328C"/>
    <w:rsid w:val="009B44D2"/>
    <w:rsid w:val="009C3371"/>
    <w:rsid w:val="009C35BF"/>
    <w:rsid w:val="009C7B5C"/>
    <w:rsid w:val="009D6B21"/>
    <w:rsid w:val="009E0DC4"/>
    <w:rsid w:val="009E67A5"/>
    <w:rsid w:val="009F4B9D"/>
    <w:rsid w:val="00A01B1A"/>
    <w:rsid w:val="00A01C7F"/>
    <w:rsid w:val="00A02D2F"/>
    <w:rsid w:val="00A055E3"/>
    <w:rsid w:val="00A0715B"/>
    <w:rsid w:val="00A079AE"/>
    <w:rsid w:val="00A10162"/>
    <w:rsid w:val="00A109DA"/>
    <w:rsid w:val="00A11042"/>
    <w:rsid w:val="00A16F55"/>
    <w:rsid w:val="00A17775"/>
    <w:rsid w:val="00A2450F"/>
    <w:rsid w:val="00A25490"/>
    <w:rsid w:val="00A30F10"/>
    <w:rsid w:val="00A32630"/>
    <w:rsid w:val="00A32E9F"/>
    <w:rsid w:val="00A35EDC"/>
    <w:rsid w:val="00A4241B"/>
    <w:rsid w:val="00A443D1"/>
    <w:rsid w:val="00A45692"/>
    <w:rsid w:val="00A46517"/>
    <w:rsid w:val="00A551B4"/>
    <w:rsid w:val="00A631CE"/>
    <w:rsid w:val="00A666FB"/>
    <w:rsid w:val="00A71A9C"/>
    <w:rsid w:val="00A81BF3"/>
    <w:rsid w:val="00A82A7F"/>
    <w:rsid w:val="00AA20D0"/>
    <w:rsid w:val="00AA6488"/>
    <w:rsid w:val="00AA6622"/>
    <w:rsid w:val="00AA6F26"/>
    <w:rsid w:val="00AB0289"/>
    <w:rsid w:val="00AB06C4"/>
    <w:rsid w:val="00AC2FE3"/>
    <w:rsid w:val="00AC41CB"/>
    <w:rsid w:val="00AC5A80"/>
    <w:rsid w:val="00AC65FC"/>
    <w:rsid w:val="00AC661E"/>
    <w:rsid w:val="00AD2DE2"/>
    <w:rsid w:val="00AD3B15"/>
    <w:rsid w:val="00AD5BEF"/>
    <w:rsid w:val="00AE1879"/>
    <w:rsid w:val="00AE19E5"/>
    <w:rsid w:val="00AE4770"/>
    <w:rsid w:val="00AE6BA4"/>
    <w:rsid w:val="00AF7433"/>
    <w:rsid w:val="00B02E19"/>
    <w:rsid w:val="00B03E0B"/>
    <w:rsid w:val="00B06300"/>
    <w:rsid w:val="00B07AFF"/>
    <w:rsid w:val="00B22260"/>
    <w:rsid w:val="00B25F63"/>
    <w:rsid w:val="00B27908"/>
    <w:rsid w:val="00B300D5"/>
    <w:rsid w:val="00B32A26"/>
    <w:rsid w:val="00B351C6"/>
    <w:rsid w:val="00B4022D"/>
    <w:rsid w:val="00B411A2"/>
    <w:rsid w:val="00B41D0E"/>
    <w:rsid w:val="00B4553F"/>
    <w:rsid w:val="00B45A47"/>
    <w:rsid w:val="00B475AD"/>
    <w:rsid w:val="00B50490"/>
    <w:rsid w:val="00B54A15"/>
    <w:rsid w:val="00B56334"/>
    <w:rsid w:val="00B7027D"/>
    <w:rsid w:val="00B7030A"/>
    <w:rsid w:val="00B705EB"/>
    <w:rsid w:val="00B7350D"/>
    <w:rsid w:val="00B76217"/>
    <w:rsid w:val="00B76B59"/>
    <w:rsid w:val="00B8052F"/>
    <w:rsid w:val="00B8272F"/>
    <w:rsid w:val="00B9427A"/>
    <w:rsid w:val="00BA76FF"/>
    <w:rsid w:val="00BB2AD4"/>
    <w:rsid w:val="00BB4FB8"/>
    <w:rsid w:val="00BC2169"/>
    <w:rsid w:val="00BD0B35"/>
    <w:rsid w:val="00BD0C6E"/>
    <w:rsid w:val="00BD19FA"/>
    <w:rsid w:val="00BD1D81"/>
    <w:rsid w:val="00BF2617"/>
    <w:rsid w:val="00BF2648"/>
    <w:rsid w:val="00BF5443"/>
    <w:rsid w:val="00C001CB"/>
    <w:rsid w:val="00C016D4"/>
    <w:rsid w:val="00C02D4A"/>
    <w:rsid w:val="00C058F8"/>
    <w:rsid w:val="00C101AD"/>
    <w:rsid w:val="00C12972"/>
    <w:rsid w:val="00C34E52"/>
    <w:rsid w:val="00C37415"/>
    <w:rsid w:val="00C445FD"/>
    <w:rsid w:val="00C4677F"/>
    <w:rsid w:val="00C474D9"/>
    <w:rsid w:val="00C50191"/>
    <w:rsid w:val="00C56B60"/>
    <w:rsid w:val="00C61321"/>
    <w:rsid w:val="00C6625E"/>
    <w:rsid w:val="00C74BB1"/>
    <w:rsid w:val="00C75F5C"/>
    <w:rsid w:val="00CA052E"/>
    <w:rsid w:val="00CA246B"/>
    <w:rsid w:val="00CA569E"/>
    <w:rsid w:val="00CB00DC"/>
    <w:rsid w:val="00CB4364"/>
    <w:rsid w:val="00CB78D7"/>
    <w:rsid w:val="00CC1132"/>
    <w:rsid w:val="00CC12FE"/>
    <w:rsid w:val="00CC17C9"/>
    <w:rsid w:val="00CC2510"/>
    <w:rsid w:val="00CC5EEA"/>
    <w:rsid w:val="00CC6EFA"/>
    <w:rsid w:val="00CC774D"/>
    <w:rsid w:val="00CD0C48"/>
    <w:rsid w:val="00CD5F26"/>
    <w:rsid w:val="00CD6469"/>
    <w:rsid w:val="00CE09D3"/>
    <w:rsid w:val="00CE2D0E"/>
    <w:rsid w:val="00CE2F81"/>
    <w:rsid w:val="00CE4E12"/>
    <w:rsid w:val="00CE635D"/>
    <w:rsid w:val="00CF0171"/>
    <w:rsid w:val="00CF2593"/>
    <w:rsid w:val="00CF5491"/>
    <w:rsid w:val="00CF6425"/>
    <w:rsid w:val="00CF69B0"/>
    <w:rsid w:val="00D04806"/>
    <w:rsid w:val="00D11318"/>
    <w:rsid w:val="00D11FCD"/>
    <w:rsid w:val="00D16303"/>
    <w:rsid w:val="00D1639C"/>
    <w:rsid w:val="00D227CA"/>
    <w:rsid w:val="00D24589"/>
    <w:rsid w:val="00D33B10"/>
    <w:rsid w:val="00D35BF2"/>
    <w:rsid w:val="00D37658"/>
    <w:rsid w:val="00D43F31"/>
    <w:rsid w:val="00D460E3"/>
    <w:rsid w:val="00D528F2"/>
    <w:rsid w:val="00D56CBB"/>
    <w:rsid w:val="00D60A04"/>
    <w:rsid w:val="00D60ED2"/>
    <w:rsid w:val="00D66D76"/>
    <w:rsid w:val="00D67867"/>
    <w:rsid w:val="00D70AFD"/>
    <w:rsid w:val="00D71A2C"/>
    <w:rsid w:val="00D720FE"/>
    <w:rsid w:val="00D76F3F"/>
    <w:rsid w:val="00D771B9"/>
    <w:rsid w:val="00D8002D"/>
    <w:rsid w:val="00D81408"/>
    <w:rsid w:val="00D82780"/>
    <w:rsid w:val="00D838B6"/>
    <w:rsid w:val="00D8571C"/>
    <w:rsid w:val="00D87F95"/>
    <w:rsid w:val="00D9114C"/>
    <w:rsid w:val="00D92B4D"/>
    <w:rsid w:val="00DA2DD3"/>
    <w:rsid w:val="00DA47AD"/>
    <w:rsid w:val="00DB4EFC"/>
    <w:rsid w:val="00DE09F0"/>
    <w:rsid w:val="00DE619C"/>
    <w:rsid w:val="00DF31A0"/>
    <w:rsid w:val="00DF3A52"/>
    <w:rsid w:val="00E02040"/>
    <w:rsid w:val="00E05B66"/>
    <w:rsid w:val="00E072C6"/>
    <w:rsid w:val="00E25EEC"/>
    <w:rsid w:val="00E26B84"/>
    <w:rsid w:val="00E41782"/>
    <w:rsid w:val="00E435D3"/>
    <w:rsid w:val="00E50D52"/>
    <w:rsid w:val="00E51D90"/>
    <w:rsid w:val="00E5396D"/>
    <w:rsid w:val="00E54A64"/>
    <w:rsid w:val="00E6084B"/>
    <w:rsid w:val="00E637BF"/>
    <w:rsid w:val="00E648CB"/>
    <w:rsid w:val="00E64AB8"/>
    <w:rsid w:val="00E66FCD"/>
    <w:rsid w:val="00E70EFC"/>
    <w:rsid w:val="00E76AAB"/>
    <w:rsid w:val="00E845AF"/>
    <w:rsid w:val="00E84803"/>
    <w:rsid w:val="00E859F9"/>
    <w:rsid w:val="00E917E4"/>
    <w:rsid w:val="00E93880"/>
    <w:rsid w:val="00E96F64"/>
    <w:rsid w:val="00EA26ED"/>
    <w:rsid w:val="00EB3F52"/>
    <w:rsid w:val="00EB5557"/>
    <w:rsid w:val="00EB7EAA"/>
    <w:rsid w:val="00EC4688"/>
    <w:rsid w:val="00EC675A"/>
    <w:rsid w:val="00ED0891"/>
    <w:rsid w:val="00ED4BC3"/>
    <w:rsid w:val="00EE2AFD"/>
    <w:rsid w:val="00EE520A"/>
    <w:rsid w:val="00EF000B"/>
    <w:rsid w:val="00F01EA1"/>
    <w:rsid w:val="00F033A7"/>
    <w:rsid w:val="00F0426D"/>
    <w:rsid w:val="00F05253"/>
    <w:rsid w:val="00F10E0F"/>
    <w:rsid w:val="00F12609"/>
    <w:rsid w:val="00F15559"/>
    <w:rsid w:val="00F21C70"/>
    <w:rsid w:val="00F22DA0"/>
    <w:rsid w:val="00F236A0"/>
    <w:rsid w:val="00F33CFD"/>
    <w:rsid w:val="00F37414"/>
    <w:rsid w:val="00F37EB4"/>
    <w:rsid w:val="00F42EF3"/>
    <w:rsid w:val="00F4512E"/>
    <w:rsid w:val="00F458B5"/>
    <w:rsid w:val="00F50D66"/>
    <w:rsid w:val="00F53C41"/>
    <w:rsid w:val="00F557B4"/>
    <w:rsid w:val="00F57C60"/>
    <w:rsid w:val="00F743E9"/>
    <w:rsid w:val="00F77E8B"/>
    <w:rsid w:val="00F861D7"/>
    <w:rsid w:val="00FA6860"/>
    <w:rsid w:val="00FA7086"/>
    <w:rsid w:val="00FA797C"/>
    <w:rsid w:val="00FA7DD4"/>
    <w:rsid w:val="00FB5728"/>
    <w:rsid w:val="00FC0528"/>
    <w:rsid w:val="00FC568D"/>
    <w:rsid w:val="00FD299D"/>
    <w:rsid w:val="00FE3D29"/>
    <w:rsid w:val="00FE5794"/>
    <w:rsid w:val="00FF6AEC"/>
    <w:rsid w:val="00FF7D9B"/>
    <w:rsid w:val="02D50705"/>
    <w:rsid w:val="035E39F9"/>
    <w:rsid w:val="0C8E2713"/>
    <w:rsid w:val="17710C9F"/>
    <w:rsid w:val="2243299B"/>
    <w:rsid w:val="2BCD508A"/>
    <w:rsid w:val="2CB85D57"/>
    <w:rsid w:val="319B36FB"/>
    <w:rsid w:val="39093A93"/>
    <w:rsid w:val="3A220CB5"/>
    <w:rsid w:val="3D3C0D38"/>
    <w:rsid w:val="43C077F5"/>
    <w:rsid w:val="455F7290"/>
    <w:rsid w:val="4601100F"/>
    <w:rsid w:val="4EA85250"/>
    <w:rsid w:val="4F1B7B40"/>
    <w:rsid w:val="53D9566D"/>
    <w:rsid w:val="55086D76"/>
    <w:rsid w:val="56941F5D"/>
    <w:rsid w:val="5E055CE5"/>
    <w:rsid w:val="60C34F31"/>
    <w:rsid w:val="621E1878"/>
    <w:rsid w:val="76562600"/>
    <w:rsid w:val="79A6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0C585"/>
  <w15:docId w15:val="{407B6A1A-57EF-4416-BCF2-54CF2380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Times New Roman"/>
      <w:szCs w:val="21"/>
    </w:rPr>
  </w:style>
  <w:style w:type="paragraph" w:customStyle="1" w:styleId="10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15E2C-5F48-4EB0-825E-08D3CFC4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zhaoyue</dc:creator>
  <cp:lastModifiedBy>张 思莹</cp:lastModifiedBy>
  <cp:revision>369</cp:revision>
  <cp:lastPrinted>2023-08-01T08:51:00Z</cp:lastPrinted>
  <dcterms:created xsi:type="dcterms:W3CDTF">2022-04-22T07:41:00Z</dcterms:created>
  <dcterms:modified xsi:type="dcterms:W3CDTF">2026-08-03T07:40:00Z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789F25911BCC4D47A9B069E5AB7FBA1A</vt:lpwstr>
  </property>
</Properties>
</file>