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96BC6C">
      <w:p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cstheme="minorEastAsia"/>
        </w:rPr>
        <w:t>证券代码：600</w:t>
      </w:r>
      <w:r>
        <w:rPr>
          <w:rFonts w:hint="eastAsia" w:asciiTheme="minorEastAsia" w:hAnsiTheme="minorEastAsia" w:cstheme="minorEastAsia"/>
          <w:lang w:val="en-US" w:eastAsia="zh-CN"/>
        </w:rPr>
        <w:t>483</w:t>
      </w:r>
      <w:r>
        <w:rPr>
          <w:rFonts w:hint="eastAsia" w:asciiTheme="minorEastAsia" w:hAnsiTheme="minorEastAsia" w:cstheme="minorEastAsia"/>
        </w:rPr>
        <w:t xml:space="preserve">                                             证券简称：</w:t>
      </w:r>
      <w:r>
        <w:rPr>
          <w:rFonts w:hint="eastAsia" w:asciiTheme="minorEastAsia" w:hAnsiTheme="minorEastAsia" w:cstheme="minorEastAsia"/>
          <w:lang w:val="en-US" w:eastAsia="zh-CN"/>
        </w:rPr>
        <w:t>福能股份</w:t>
      </w:r>
    </w:p>
    <w:p w14:paraId="6D902CC8">
      <w:pPr>
        <w:jc w:val="center"/>
        <w:rPr>
          <w:rFonts w:asciiTheme="minorEastAsia" w:hAnsiTheme="minorEastAsia" w:cstheme="minorEastAsia"/>
          <w:b/>
          <w:sz w:val="32"/>
        </w:rPr>
      </w:pPr>
      <w:r>
        <w:rPr>
          <w:rFonts w:hint="eastAsia" w:asciiTheme="minorEastAsia" w:hAnsiTheme="minorEastAsia" w:cstheme="minorEastAsia"/>
          <w:b/>
          <w:sz w:val="32"/>
          <w:lang w:val="en-US" w:eastAsia="zh-CN"/>
        </w:rPr>
        <w:t>福建福能</w:t>
      </w:r>
      <w:r>
        <w:rPr>
          <w:rFonts w:hint="eastAsia" w:asciiTheme="minorEastAsia" w:hAnsiTheme="minorEastAsia" w:cstheme="minorEastAsia"/>
          <w:b/>
          <w:sz w:val="32"/>
        </w:rPr>
        <w:t>股份有限公司</w:t>
      </w:r>
    </w:p>
    <w:p w14:paraId="084DB953">
      <w:pPr>
        <w:jc w:val="center"/>
        <w:rPr>
          <w:rFonts w:hint="eastAsia" w:asciiTheme="minorEastAsia" w:hAnsiTheme="minorEastAsia" w:eastAsiaTheme="minorEastAsia" w:cstheme="minorEastAsia"/>
          <w:b/>
          <w:sz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sz w:val="32"/>
        </w:rPr>
        <w:t>202</w:t>
      </w:r>
      <w:r>
        <w:rPr>
          <w:rFonts w:hint="eastAsia" w:asciiTheme="minorEastAsia" w:hAnsiTheme="minorEastAsia" w:cstheme="minorEastAsia"/>
          <w:b/>
          <w:sz w:val="32"/>
          <w:lang w:val="en-US" w:eastAsia="zh-CN"/>
        </w:rPr>
        <w:t>6</w:t>
      </w:r>
      <w:r>
        <w:rPr>
          <w:rFonts w:hint="eastAsia" w:asciiTheme="minorEastAsia" w:hAnsiTheme="minorEastAsia" w:cstheme="minorEastAsia"/>
          <w:b/>
          <w:sz w:val="32"/>
        </w:rPr>
        <w:t>年</w:t>
      </w:r>
      <w:r>
        <w:rPr>
          <w:rFonts w:hint="eastAsia" w:asciiTheme="minorEastAsia" w:hAnsiTheme="minorEastAsia" w:cstheme="minorEastAsia"/>
          <w:b/>
          <w:sz w:val="32"/>
          <w:lang w:val="en-US" w:eastAsia="zh-CN"/>
        </w:rPr>
        <w:t>7</w:t>
      </w:r>
      <w:r>
        <w:rPr>
          <w:rFonts w:hint="eastAsia" w:asciiTheme="minorEastAsia" w:hAnsiTheme="minorEastAsia" w:cstheme="minorEastAsia"/>
          <w:b/>
          <w:sz w:val="32"/>
        </w:rPr>
        <w:t>月投资者关系活动记录</w:t>
      </w:r>
      <w:r>
        <w:rPr>
          <w:rFonts w:hint="eastAsia" w:asciiTheme="minorEastAsia" w:hAnsiTheme="minorEastAsia" w:cstheme="minorEastAsia"/>
          <w:b/>
          <w:sz w:val="32"/>
          <w:lang w:val="en-US" w:eastAsia="zh-CN"/>
        </w:rPr>
        <w:t>表</w:t>
      </w:r>
    </w:p>
    <w:p w14:paraId="1662A38C">
      <w:pPr>
        <w:spacing w:line="360" w:lineRule="auto"/>
        <w:ind w:firstLine="424" w:firstLineChars="177"/>
        <w:rPr>
          <w:rFonts w:hint="eastAsia"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202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cstheme="minorEastAsia"/>
          <w:sz w:val="24"/>
          <w:szCs w:val="24"/>
        </w:rPr>
        <w:t>年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7</w:t>
      </w:r>
      <w:r>
        <w:rPr>
          <w:rFonts w:hint="eastAsia" w:asciiTheme="minorEastAsia" w:hAnsiTheme="minorEastAsia" w:cstheme="minorEastAsia"/>
          <w:sz w:val="24"/>
          <w:szCs w:val="24"/>
        </w:rPr>
        <w:t>月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公司</w:t>
      </w:r>
      <w:r>
        <w:rPr>
          <w:rFonts w:hint="eastAsia" w:asciiTheme="minorEastAsia" w:hAnsiTheme="minorEastAsia" w:cstheme="minorEastAsia"/>
          <w:sz w:val="24"/>
          <w:szCs w:val="24"/>
        </w:rPr>
        <w:t>与投资者在信息披露范围内互动交流情况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如下</w:t>
      </w:r>
      <w:r>
        <w:rPr>
          <w:rFonts w:hint="eastAsia" w:asciiTheme="minorEastAsia" w:hAnsiTheme="minorEastAsia" w:cstheme="minorEastAsia"/>
          <w:sz w:val="24"/>
          <w:szCs w:val="24"/>
        </w:rPr>
        <w:t>：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进行线下交流会1次、线上分析师会议1次、线上特定对象调研1</w:t>
      </w:r>
      <w:r>
        <w:rPr>
          <w:rFonts w:hint="eastAsia" w:asciiTheme="minorEastAsia" w:hAnsiTheme="minorEastAsia" w:cstheme="minorEastAsia"/>
          <w:sz w:val="24"/>
          <w:szCs w:val="24"/>
        </w:rPr>
        <w:t>次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、</w:t>
      </w:r>
      <w:r>
        <w:rPr>
          <w:rFonts w:hint="eastAsia" w:asciiTheme="minorEastAsia" w:hAnsiTheme="minorEastAsia" w:cstheme="minorEastAsia"/>
          <w:sz w:val="24"/>
          <w:szCs w:val="24"/>
        </w:rPr>
        <w:t>接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听</w:t>
      </w:r>
      <w:r>
        <w:rPr>
          <w:rFonts w:hint="eastAsia" w:asciiTheme="minorEastAsia" w:hAnsiTheme="minorEastAsia" w:cstheme="minorEastAsia"/>
          <w:sz w:val="24"/>
          <w:szCs w:val="24"/>
        </w:rPr>
        <w:t>投资者来电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cstheme="minorEastAsia"/>
          <w:sz w:val="24"/>
          <w:szCs w:val="24"/>
        </w:rPr>
        <w:t>次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及回复上证e互动线上问答4次</w:t>
      </w:r>
      <w:r>
        <w:rPr>
          <w:rFonts w:hint="eastAsia" w:asciiTheme="minorEastAsia" w:hAnsiTheme="minorEastAsia" w:cstheme="minorEastAsia"/>
          <w:sz w:val="24"/>
          <w:szCs w:val="24"/>
        </w:rPr>
        <w:t>。</w:t>
      </w:r>
    </w:p>
    <w:p w14:paraId="10041270">
      <w:pPr>
        <w:spacing w:line="360" w:lineRule="auto"/>
        <w:ind w:firstLine="424" w:firstLineChars="177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202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cstheme="minorEastAsia"/>
          <w:sz w:val="24"/>
          <w:szCs w:val="24"/>
        </w:rPr>
        <w:t>年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7</w:t>
      </w:r>
      <w:r>
        <w:rPr>
          <w:rFonts w:hint="eastAsia" w:asciiTheme="minorEastAsia" w:hAnsiTheme="minorEastAsia" w:cstheme="minorEastAsia"/>
          <w:sz w:val="24"/>
          <w:szCs w:val="24"/>
        </w:rPr>
        <w:t>月，公司主要投资者关系活动记录如下：</w:t>
      </w:r>
    </w:p>
    <w:tbl>
      <w:tblPr>
        <w:tblStyle w:val="10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6996"/>
      </w:tblGrid>
      <w:tr w14:paraId="6E598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57" w:hRule="atLeast"/>
        </w:trPr>
        <w:tc>
          <w:tcPr>
            <w:tcW w:w="1526" w:type="dxa"/>
            <w:vAlign w:val="center"/>
          </w:tcPr>
          <w:p w14:paraId="2FB30F2A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default"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</w:rPr>
              <w:t>投资者关系</w:t>
            </w:r>
          </w:p>
          <w:p w14:paraId="76023626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default"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</w:rPr>
              <w:t>活动类别</w:t>
            </w:r>
          </w:p>
        </w:tc>
        <w:tc>
          <w:tcPr>
            <w:tcW w:w="6996" w:type="dxa"/>
          </w:tcPr>
          <w:p w14:paraId="70AC2DDC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rPr>
                <w:rFonts w:hint="default"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lang w:eastAsia="zh-CN"/>
              </w:rPr>
              <w:t>☑</w:t>
            </w:r>
            <w:r>
              <w:rPr>
                <w:rFonts w:hint="eastAsia" w:asciiTheme="minorEastAsia" w:hAnsiTheme="minorEastAsia" w:cstheme="minorEastAsia"/>
              </w:rPr>
              <w:t>特定对象调研</w:t>
            </w:r>
            <w:r>
              <w:rPr>
                <w:rFonts w:hint="eastAsia" w:asciiTheme="minorEastAsia" w:hAnsiTheme="minorEastAsia" w:cstheme="minorEastAsia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cstheme="minorEastAsia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lang w:eastAsia="zh-CN"/>
              </w:rPr>
              <w:t>☑</w:t>
            </w:r>
            <w:r>
              <w:rPr>
                <w:rFonts w:hint="eastAsia" w:asciiTheme="minorEastAsia" w:hAnsiTheme="minorEastAsia" w:cstheme="minorEastAsia"/>
              </w:rPr>
              <w:t>分析师会议</w:t>
            </w:r>
          </w:p>
          <w:p w14:paraId="5D7AA34D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rPr>
                <w:rFonts w:hint="default"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</w:rPr>
              <w:t xml:space="preserve">□媒体采访    </w:t>
            </w:r>
            <w:r>
              <w:rPr>
                <w:rFonts w:hint="eastAsia" w:asciiTheme="minorEastAsia" w:hAnsiTheme="minorEastAsia" w:cstheme="minorEastAsia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cstheme="minorEastAsia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lang w:eastAsia="zh-CN"/>
              </w:rPr>
              <w:t>□</w:t>
            </w:r>
            <w:r>
              <w:rPr>
                <w:rFonts w:hint="eastAsia" w:asciiTheme="minorEastAsia" w:hAnsiTheme="minorEastAsia" w:cstheme="minorEastAsia"/>
              </w:rPr>
              <w:t>业绩说明会</w:t>
            </w:r>
          </w:p>
          <w:p w14:paraId="5F237FA1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rPr>
                <w:rFonts w:hint="default"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lang w:eastAsia="zh-CN"/>
              </w:rPr>
              <w:t>□</w:t>
            </w:r>
            <w:r>
              <w:rPr>
                <w:rFonts w:hint="eastAsia" w:asciiTheme="minorEastAsia" w:hAnsiTheme="minorEastAsia" w:cstheme="minorEastAsia"/>
              </w:rPr>
              <w:t xml:space="preserve">券商策略会  </w:t>
            </w:r>
            <w:r>
              <w:rPr>
                <w:rFonts w:hint="eastAsia" w:asciiTheme="minorEastAsia" w:hAnsiTheme="minorEastAsia" w:cstheme="minorEastAsia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cstheme="minorEastAsia"/>
              </w:rPr>
              <w:t xml:space="preserve"> □路演活动</w:t>
            </w:r>
          </w:p>
          <w:p w14:paraId="276D1C8A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lang w:eastAsia="zh-CN"/>
              </w:rPr>
              <w:t>□</w:t>
            </w:r>
            <w:r>
              <w:rPr>
                <w:rFonts w:hint="eastAsia" w:asciiTheme="minorEastAsia" w:hAnsiTheme="minorEastAsia" w:cstheme="minorEastAsia"/>
              </w:rPr>
              <w:t>现场参观</w:t>
            </w:r>
            <w:r>
              <w:rPr>
                <w:rFonts w:hint="eastAsia" w:asciiTheme="minorEastAsia" w:hAnsiTheme="minorEastAsia" w:cstheme="minorEastAsia"/>
                <w:lang w:val="en-US" w:eastAsia="zh-CN"/>
              </w:rPr>
              <w:t xml:space="preserve">       </w:t>
            </w:r>
            <w:r>
              <w:rPr>
                <w:rFonts w:hint="eastAsia" w:asciiTheme="minorEastAsia" w:hAnsiTheme="minorEastAsia" w:cstheme="minorEastAsia"/>
                <w:lang w:eastAsia="zh-CN"/>
              </w:rPr>
              <w:t>☑</w:t>
            </w:r>
            <w:r>
              <w:rPr>
                <w:rFonts w:hint="eastAsia" w:asciiTheme="minorEastAsia" w:hAnsiTheme="minorEastAsia" w:cstheme="minorEastAsia"/>
              </w:rPr>
              <w:t>其他</w:t>
            </w:r>
            <w:r>
              <w:rPr>
                <w:rFonts w:hint="eastAsia" w:asciiTheme="minorEastAsia" w:hAnsiTheme="minorEastAsia" w:cstheme="minorEastAsia"/>
                <w:lang w:eastAsia="zh-CN"/>
              </w:rPr>
              <w:t>（</w:t>
            </w:r>
            <w:r>
              <w:rPr>
                <w:rFonts w:hint="eastAsia" w:asciiTheme="minorEastAsia" w:hAnsiTheme="minorEastAsia" w:cstheme="minorEastAsia"/>
                <w:lang w:val="en-US" w:eastAsia="zh-CN"/>
              </w:rPr>
              <w:t>线下交流会</w:t>
            </w:r>
            <w:r>
              <w:rPr>
                <w:rFonts w:hint="eastAsia" w:asciiTheme="minorEastAsia" w:hAnsiTheme="minorEastAsia" w:cstheme="minorEastAsia"/>
                <w:lang w:eastAsia="zh-CN"/>
              </w:rPr>
              <w:t>）</w:t>
            </w:r>
          </w:p>
        </w:tc>
      </w:tr>
      <w:tr w14:paraId="47868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26" w:type="dxa"/>
            <w:vAlign w:val="center"/>
          </w:tcPr>
          <w:p w14:paraId="5CC862A5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default"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</w:rPr>
              <w:t>参与单位名称</w:t>
            </w:r>
          </w:p>
        </w:tc>
        <w:tc>
          <w:tcPr>
            <w:tcW w:w="6996" w:type="dxa"/>
            <w:vAlign w:val="center"/>
          </w:tcPr>
          <w:p w14:paraId="0943396C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rPr>
                <w:rFonts w:hint="default" w:asciiTheme="minorEastAsia" w:hAnsi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lang w:val="en-US" w:eastAsia="zh-CN"/>
              </w:rPr>
              <w:t>7月10日 工银瑞信（特定对象调研）</w:t>
            </w:r>
          </w:p>
          <w:p w14:paraId="0A6DAB9D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rPr>
                <w:rFonts w:hint="eastAsia" w:asciiTheme="minorEastAsia" w:hAnsi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lang w:val="en-US" w:eastAsia="zh-CN"/>
              </w:rPr>
              <w:t>7月15日 长江证券、中金公司、鼎和财险、国寿资产、万家基金、宝盈基金、</w:t>
            </w:r>
            <w:bookmarkStart w:id="0" w:name="_GoBack"/>
            <w:bookmarkEnd w:id="0"/>
            <w:r>
              <w:rPr>
                <w:rFonts w:hint="eastAsia" w:asciiTheme="minorEastAsia" w:hAnsiTheme="minorEastAsia" w:cstheme="minorEastAsia"/>
                <w:lang w:val="en-US" w:eastAsia="zh-CN"/>
              </w:rPr>
              <w:t>诚旸投资、华泰资管、国新投资（线下交流会）</w:t>
            </w:r>
          </w:p>
          <w:p w14:paraId="1FD676A3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rPr>
                <w:rFonts w:hint="default" w:asciiTheme="minorEastAsia" w:hAnsi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lang w:val="en-US" w:eastAsia="zh-CN"/>
              </w:rPr>
              <w:t>7月16日 华创证券（分析师会议）</w:t>
            </w:r>
          </w:p>
        </w:tc>
      </w:tr>
      <w:tr w14:paraId="6DBDD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 w14:paraId="74877685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default"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</w:rPr>
              <w:t>上市公司</w:t>
            </w:r>
          </w:p>
          <w:p w14:paraId="50AC3928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default"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</w:rPr>
              <w:t>接待人员</w:t>
            </w:r>
          </w:p>
        </w:tc>
        <w:tc>
          <w:tcPr>
            <w:tcW w:w="6996" w:type="dxa"/>
            <w:vAlign w:val="center"/>
          </w:tcPr>
          <w:p w14:paraId="533864FF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cstheme="minorEastAsia"/>
              </w:rPr>
              <w:t>董事会秘书</w:t>
            </w:r>
            <w:r>
              <w:rPr>
                <w:rFonts w:hint="eastAsia" w:asciiTheme="minorEastAsia" w:hAnsiTheme="minorEastAsia" w:cstheme="minorEastAsia"/>
                <w:lang w:val="en-US" w:eastAsia="zh-CN"/>
              </w:rPr>
              <w:t xml:space="preserve"> 汪元军</w:t>
            </w:r>
          </w:p>
        </w:tc>
      </w:tr>
      <w:tr w14:paraId="18E2C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0" w:hRule="atLeast"/>
        </w:trPr>
        <w:tc>
          <w:tcPr>
            <w:tcW w:w="1526" w:type="dxa"/>
            <w:vAlign w:val="center"/>
          </w:tcPr>
          <w:p w14:paraId="53E87B25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default"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</w:rPr>
              <w:t>投资者关系</w:t>
            </w:r>
          </w:p>
          <w:p w14:paraId="751A693A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default"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</w:rPr>
              <w:t>活动主要内容介绍</w:t>
            </w:r>
          </w:p>
        </w:tc>
        <w:tc>
          <w:tcPr>
            <w:tcW w:w="6996" w:type="dxa"/>
          </w:tcPr>
          <w:p w14:paraId="6F92B223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left"/>
              <w:rPr>
                <w:rFonts w:hint="eastAsia" w:asciiTheme="minorEastAsia" w:hAnsiTheme="minorEastAsia" w:cstheme="minorEastAsia"/>
                <w:b/>
              </w:rPr>
            </w:pPr>
            <w:r>
              <w:rPr>
                <w:rFonts w:hint="eastAsia" w:asciiTheme="minorEastAsia" w:hAnsiTheme="minorEastAsia" w:cstheme="minorEastAsia"/>
                <w:b/>
                <w:lang w:val="en-US" w:eastAsia="zh-CN"/>
              </w:rPr>
              <w:t>7月10日、15日、16日投资者关系活动</w:t>
            </w:r>
            <w:r>
              <w:rPr>
                <w:rFonts w:hint="eastAsia" w:asciiTheme="minorEastAsia" w:hAnsiTheme="minorEastAsia" w:cstheme="minorEastAsia"/>
                <w:b/>
              </w:rPr>
              <w:t>主要交流问题及回复：</w:t>
            </w:r>
          </w:p>
          <w:p w14:paraId="1BF3B8A9">
            <w:pPr>
              <w:keepNext w:val="0"/>
              <w:keepLines w:val="0"/>
              <w:suppressLineNumbers w:val="0"/>
              <w:spacing w:before="0" w:beforeLines="-2147483648" w:beforeAutospacing="0" w:after="0" w:afterLines="-2147483648" w:afterAutospacing="0" w:line="276" w:lineRule="auto"/>
              <w:ind w:left="0" w:right="0" w:firstLine="0" w:firstLineChars="0"/>
              <w:jc w:val="left"/>
              <w:rPr>
                <w:rFonts w:hint="eastAsia" w:asciiTheme="minorEastAsia" w:hAnsiTheme="minorEastAsia" w:cstheme="minorEastAsia"/>
                <w:b/>
                <w:bCs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</w:rPr>
              <w:t>问题</w:t>
            </w:r>
            <w:r>
              <w:rPr>
                <w:rFonts w:hint="eastAsia" w:asciiTheme="minorEastAsia" w:hAnsiTheme="minorEastAsia" w:cstheme="minorEastAsia"/>
                <w:b/>
                <w:bCs/>
                <w:lang w:val="en-US" w:eastAsia="zh-CN"/>
              </w:rPr>
              <w:t>一</w:t>
            </w:r>
            <w:r>
              <w:rPr>
                <w:rFonts w:hint="eastAsia" w:asciiTheme="minorEastAsia" w:hAnsiTheme="minorEastAsia" w:cstheme="minorEastAsia"/>
                <w:b/>
                <w:bCs/>
              </w:rPr>
              <w:t>：</w:t>
            </w:r>
            <w:r>
              <w:rPr>
                <w:rFonts w:hint="eastAsia" w:asciiTheme="minorEastAsia" w:hAnsiTheme="minorEastAsia" w:cstheme="minorEastAsia"/>
                <w:b/>
                <w:bCs/>
                <w:lang w:val="en-US" w:eastAsia="zh-CN"/>
              </w:rPr>
              <w:t>除了已公布的在建工程之外，公司今年有无新规划的建设项目或投资计划？</w:t>
            </w:r>
          </w:p>
          <w:p w14:paraId="4E613AC2">
            <w:pPr>
              <w:keepNext w:val="0"/>
              <w:keepLines w:val="0"/>
              <w:suppressLineNumbers w:val="0"/>
              <w:spacing w:before="0" w:beforeLines="-2147483648" w:beforeAutospacing="0" w:after="0" w:afterLines="-2147483648" w:afterAutospacing="0" w:line="276" w:lineRule="auto"/>
              <w:ind w:left="0" w:right="0" w:firstLine="0" w:firstLineChars="0"/>
              <w:jc w:val="left"/>
              <w:rPr>
                <w:rFonts w:hint="eastAsia" w:asciiTheme="minorEastAsia" w:hAnsiTheme="minorEastAsia" w:cstheme="minorEastAsia"/>
                <w:b w:val="0"/>
                <w:bCs w:val="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lang w:val="en-US" w:eastAsia="zh-CN"/>
              </w:rPr>
              <w:t>回答：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lang w:val="en-US" w:eastAsia="zh-CN"/>
              </w:rPr>
              <w:t>公司正在推进抽水蓄能、热电联产项目建设。为适应新型电力系统需要，公司正在积极推进鸿山热电大容量储热机组灵活性提升改造项目、部分陆上风电风机组“小改大”改造升级项目，积极推进海上风电项目建设。同时，公司也在积极拓展福建省外优质电力资源。</w:t>
            </w:r>
          </w:p>
          <w:p w14:paraId="2E8F54B9">
            <w:pPr>
              <w:keepNext w:val="0"/>
              <w:keepLines w:val="0"/>
              <w:suppressLineNumbers w:val="0"/>
              <w:spacing w:before="0" w:beforeLines="-2147483648" w:beforeAutospacing="0" w:after="0" w:afterLines="-2147483648" w:afterAutospacing="0" w:line="276" w:lineRule="auto"/>
              <w:ind w:left="0" w:right="0" w:firstLine="0" w:firstLineChars="0"/>
              <w:jc w:val="left"/>
              <w:rPr>
                <w:rFonts w:hint="eastAsia" w:asciiTheme="minorEastAsia" w:hAnsiTheme="minorEastAsia" w:cstheme="minorEastAsia"/>
                <w:b/>
                <w:bCs/>
                <w:lang w:val="en-US" w:eastAsia="zh-CN"/>
              </w:rPr>
            </w:pPr>
          </w:p>
          <w:p w14:paraId="627CEC23">
            <w:pPr>
              <w:keepNext w:val="0"/>
              <w:keepLines w:val="0"/>
              <w:suppressLineNumbers w:val="0"/>
              <w:spacing w:before="0" w:beforeLines="-2147483648" w:beforeAutospacing="0" w:after="0" w:afterLines="-2147483648" w:afterAutospacing="0" w:line="276" w:lineRule="auto"/>
              <w:ind w:left="0" w:right="0" w:firstLine="0" w:firstLineChars="0"/>
              <w:jc w:val="left"/>
              <w:rPr>
                <w:rFonts w:hint="default" w:asciiTheme="minorEastAsia" w:hAnsiTheme="minorEastAsia" w:cstheme="minorEastAsia"/>
                <w:b/>
                <w:bCs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lang w:val="en-US" w:eastAsia="zh-CN"/>
              </w:rPr>
              <w:t>问题二:</w:t>
            </w:r>
            <w:r>
              <w:rPr>
                <w:rFonts w:hint="eastAsia" w:asciiTheme="minorEastAsia" w:hAnsiTheme="minorEastAsia" w:cstheme="minorEastAsia"/>
                <w:b/>
                <w:bCs/>
                <w:lang w:val="en-US" w:eastAsia="zh-CN"/>
              </w:rPr>
              <w:t>公司</w:t>
            </w:r>
            <w:r>
              <w:rPr>
                <w:rFonts w:hint="eastAsia" w:asciiTheme="minorEastAsia" w:hAnsiTheme="minorEastAsia" w:cstheme="minorEastAsia"/>
                <w:b/>
                <w:bCs/>
                <w:lang w:val="en-US" w:eastAsia="zh-CN"/>
              </w:rPr>
              <w:t>一季度风电营收下降原因以及二季度风电项目运行情况？</w:t>
            </w:r>
          </w:p>
          <w:p w14:paraId="75CBBBF1">
            <w:pPr>
              <w:keepNext w:val="0"/>
              <w:keepLines w:val="0"/>
              <w:suppressLineNumbers w:val="0"/>
              <w:spacing w:before="0" w:beforeLines="-2147483648" w:beforeAutospacing="0" w:after="0" w:afterLines="-2147483648" w:afterAutospacing="0" w:line="276" w:lineRule="auto"/>
              <w:ind w:left="0" w:right="0" w:firstLine="0" w:firstLineChars="0"/>
              <w:jc w:val="left"/>
              <w:rPr>
                <w:rFonts w:hint="eastAsia" w:asciiTheme="minorEastAsia" w:hAnsiTheme="minorEastAsia" w:cstheme="minorEastAsia"/>
                <w:bCs/>
                <w:spacing w:val="0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 w:val="0"/>
                <w:spacing w:val="0"/>
                <w:szCs w:val="22"/>
                <w:lang w:val="en-US" w:eastAsia="zh-CN"/>
              </w:rPr>
              <w:t>回答：</w:t>
            </w:r>
            <w:r>
              <w:rPr>
                <w:rFonts w:hint="eastAsia" w:asciiTheme="minorEastAsia" w:hAnsiTheme="minorEastAsia" w:cstheme="minorEastAsia"/>
                <w:bCs/>
                <w:spacing w:val="0"/>
                <w:szCs w:val="22"/>
                <w:lang w:val="en-US" w:eastAsia="zh-CN"/>
              </w:rPr>
              <w:t>一季度风电营收下降，主要原因是来风较去年同期减少。今年二季度风况较去年同期有所改善。根据国家气候中心信息，赤道东太平洋已于5月进入厄尔尼诺状态，可能通过影响东亚夏季风强度，对夏季风况产生不利影响。二季度能否扭转下降趋势，需综合观察后续气象条件。</w:t>
            </w:r>
          </w:p>
          <w:p w14:paraId="1838B3C1">
            <w:pPr>
              <w:keepNext w:val="0"/>
              <w:keepLines w:val="0"/>
              <w:suppressLineNumbers w:val="0"/>
              <w:spacing w:before="0" w:beforeLines="-2147483648" w:beforeAutospacing="0" w:after="0" w:afterLines="-2147483648" w:afterAutospacing="0" w:line="276" w:lineRule="auto"/>
              <w:ind w:left="0" w:right="0" w:firstLine="0" w:firstLineChars="0"/>
              <w:jc w:val="left"/>
              <w:rPr>
                <w:rFonts w:hint="eastAsia" w:asciiTheme="minorEastAsia" w:hAnsiTheme="minorEastAsia" w:cstheme="minorEastAsia"/>
                <w:b/>
                <w:bCs w:val="0"/>
                <w:spacing w:val="0"/>
                <w:szCs w:val="22"/>
                <w:lang w:val="en-US" w:eastAsia="zh-CN"/>
              </w:rPr>
            </w:pPr>
          </w:p>
          <w:p w14:paraId="37EE193E">
            <w:pPr>
              <w:keepNext w:val="0"/>
              <w:keepLines w:val="0"/>
              <w:suppressLineNumbers w:val="0"/>
              <w:spacing w:before="0" w:beforeLines="-2147483648" w:beforeAutospacing="0" w:after="0" w:afterLines="-2147483648" w:afterAutospacing="0" w:line="276" w:lineRule="auto"/>
              <w:ind w:left="0" w:right="0" w:firstLine="0" w:firstLineChars="0"/>
              <w:jc w:val="left"/>
              <w:rPr>
                <w:rFonts w:hint="eastAsia" w:asciiTheme="minorEastAsia" w:hAnsiTheme="minorEastAsia" w:cstheme="minorEastAsia"/>
                <w:b/>
                <w:bCs w:val="0"/>
                <w:spacing w:val="0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 w:val="0"/>
                <w:spacing w:val="0"/>
                <w:szCs w:val="22"/>
                <w:lang w:val="en-US" w:eastAsia="zh-CN"/>
              </w:rPr>
              <w:t>问题三：长乐外海J区海上风电项目项目进展？</w:t>
            </w:r>
          </w:p>
          <w:p w14:paraId="4443DB80">
            <w:pPr>
              <w:keepNext w:val="0"/>
              <w:keepLines w:val="0"/>
              <w:suppressLineNumbers w:val="0"/>
              <w:spacing w:before="0" w:beforeLines="-2147483648" w:beforeAutospacing="0" w:after="0" w:afterLines="-2147483648" w:afterAutospacing="0" w:line="276" w:lineRule="auto"/>
              <w:ind w:left="0" w:right="0" w:firstLine="0" w:firstLineChars="0"/>
              <w:jc w:val="left"/>
              <w:rPr>
                <w:rFonts w:hint="default" w:asciiTheme="minorEastAsia" w:hAnsiTheme="minorEastAsia" w:cstheme="minorEastAsia"/>
                <w:bCs/>
                <w:spacing w:val="0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 w:val="0"/>
                <w:spacing w:val="0"/>
                <w:szCs w:val="22"/>
                <w:lang w:val="en-US" w:eastAsia="zh-CN"/>
              </w:rPr>
              <w:t>回答：</w:t>
            </w:r>
            <w:r>
              <w:rPr>
                <w:rFonts w:hint="eastAsia" w:asciiTheme="minorEastAsia" w:hAnsiTheme="minorEastAsia" w:cstheme="minorEastAsia"/>
                <w:bCs/>
                <w:spacing w:val="0"/>
                <w:szCs w:val="22"/>
                <w:lang w:val="en-US" w:eastAsia="zh-CN"/>
              </w:rPr>
              <w:t>公司正在积极推进长乐外海J区海上风电场项目。目前项目处在项目筹建期阶段，项目EPC总承包招标工作正在履行招标审批程序。</w:t>
            </w:r>
          </w:p>
          <w:p w14:paraId="59422C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bidi w:val="0"/>
              <w:spacing w:before="0" w:beforeAutospacing="0" w:after="0" w:afterAutospacing="0" w:line="10" w:lineRule="atLeast"/>
              <w:ind w:right="0"/>
              <w:jc w:val="left"/>
              <w:rPr>
                <w:rFonts w:hint="default" w:asciiTheme="minorEastAsia" w:hAnsiTheme="minorEastAsia" w:cstheme="minorEastAsia"/>
                <w:b w:val="0"/>
                <w:bCs/>
                <w:lang w:val="en-US" w:eastAsia="zh-CN" w:bidi="ar-SA"/>
              </w:rPr>
            </w:pPr>
          </w:p>
          <w:p w14:paraId="386E504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bidi w:val="0"/>
              <w:spacing w:before="0" w:beforeAutospacing="0" w:after="0" w:afterAutospacing="0" w:line="10" w:lineRule="atLeast"/>
              <w:ind w:right="0"/>
              <w:jc w:val="left"/>
              <w:rPr>
                <w:rFonts w:hint="eastAsia" w:asciiTheme="minorEastAsia" w:hAnsiTheme="minorEastAsia" w:cstheme="minorEastAsia"/>
                <w:b w:val="0"/>
                <w:bCs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 w:val="0"/>
                <w:lang w:val="en-US" w:eastAsia="zh-CN" w:bidi="ar-SA"/>
              </w:rPr>
              <w:t>问题四：国家发改委2026年114号文对公司抽水蓄能项目的影响？</w:t>
            </w:r>
          </w:p>
          <w:p w14:paraId="320BE1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bidi w:val="0"/>
              <w:spacing w:before="0" w:beforeAutospacing="0" w:after="0" w:afterAutospacing="0" w:line="10" w:lineRule="atLeast"/>
              <w:ind w:right="0"/>
              <w:jc w:val="left"/>
              <w:rPr>
                <w:rFonts w:hint="eastAsia" w:asciiTheme="minorEastAsia" w:hAnsiTheme="minorEastAsia" w:cstheme="minorEastAsia"/>
                <w:b w:val="0"/>
                <w:bCs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 w:val="0"/>
                <w:lang w:val="en-US" w:eastAsia="zh-CN" w:bidi="ar-SA"/>
              </w:rPr>
              <w:t>回答：</w:t>
            </w:r>
            <w:r>
              <w:rPr>
                <w:rFonts w:hint="eastAsia" w:asciiTheme="minorEastAsia" w:hAnsiTheme="minorEastAsia" w:cstheme="minorEastAsia"/>
                <w:b w:val="0"/>
                <w:bCs/>
                <w:lang w:val="en-US" w:eastAsia="zh-CN" w:bidi="ar-SA"/>
              </w:rPr>
              <w:t>根据发改委2026年114号文《关于完善发电侧容量电价机制的通知》精神，公司所属木兰抽蓄、华安抽蓄、南安抽蓄等三个在建抽蓄项目属于发改委2021年633号文《关于进一步完善抽水蓄能价格形成机制的意见》出台后开工建设的电站，实行“一省一价”，由省级价格主管部门每3—5年按经营期内弥补平均成本的原则，根据633号文件明确的成本参数规则，制定省级电网同期新开工电站统一的容量电价。执行年限可统筹考虑电力市场建设发展、电力系统需求、电站可持续发展等情况确定。同时，抽水蓄能电站自主参与电能量、辅助服务等市场，获得的市场收益按比例由电站分享，分享比例由省级价格主管部门确定；其余部分冲减系统运行费用、由用户分享。</w:t>
            </w:r>
          </w:p>
          <w:p w14:paraId="45F2E2B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bidi w:val="0"/>
              <w:spacing w:before="0" w:beforeAutospacing="0" w:after="0" w:afterAutospacing="0" w:line="10" w:lineRule="atLeast"/>
              <w:ind w:right="0"/>
              <w:jc w:val="left"/>
              <w:rPr>
                <w:rFonts w:hint="default" w:asciiTheme="minorEastAsia" w:hAnsiTheme="minorEastAsia" w:cstheme="minorEastAsia"/>
                <w:b w:val="0"/>
                <w:bCs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lang w:val="en-US" w:eastAsia="zh-CN" w:bidi="ar-SA"/>
              </w:rPr>
              <w:t>结合114号文等最新政策梳理评估结果，本次新政对我司目前已投运的三座抽水蓄能电站整体影响范围有限，不会对项目日常运营、收益水平及既定发展规划产生实质性冲击。</w:t>
            </w:r>
          </w:p>
        </w:tc>
      </w:tr>
      <w:tr w14:paraId="12445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" w:hRule="atLeast"/>
        </w:trPr>
        <w:tc>
          <w:tcPr>
            <w:tcW w:w="1526" w:type="dxa"/>
            <w:vAlign w:val="center"/>
          </w:tcPr>
          <w:p w14:paraId="438DF448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default"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</w:rPr>
              <w:t>附件清单</w:t>
            </w:r>
          </w:p>
        </w:tc>
        <w:tc>
          <w:tcPr>
            <w:tcW w:w="6996" w:type="dxa"/>
          </w:tcPr>
          <w:p w14:paraId="679DA80D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rPr>
                <w:rFonts w:hint="default"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</w:rPr>
              <w:t>无</w:t>
            </w:r>
          </w:p>
        </w:tc>
      </w:tr>
    </w:tbl>
    <w:p w14:paraId="364451B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FmYzI5YzJkYmM5OTNmMzRmOThkOGUyODg3ZDcyOTgifQ=="/>
  </w:docVars>
  <w:rsids>
    <w:rsidRoot w:val="00172A27"/>
    <w:rsid w:val="00016FCC"/>
    <w:rsid w:val="000306E9"/>
    <w:rsid w:val="000438FD"/>
    <w:rsid w:val="0006577C"/>
    <w:rsid w:val="00070B6F"/>
    <w:rsid w:val="00074610"/>
    <w:rsid w:val="000A44D6"/>
    <w:rsid w:val="000A4653"/>
    <w:rsid w:val="000B34B6"/>
    <w:rsid w:val="000B495D"/>
    <w:rsid w:val="000B4F58"/>
    <w:rsid w:val="000E5F4B"/>
    <w:rsid w:val="000F62FC"/>
    <w:rsid w:val="00115D5C"/>
    <w:rsid w:val="001209D3"/>
    <w:rsid w:val="00136112"/>
    <w:rsid w:val="00152A7D"/>
    <w:rsid w:val="00174255"/>
    <w:rsid w:val="0017543E"/>
    <w:rsid w:val="00191917"/>
    <w:rsid w:val="00193951"/>
    <w:rsid w:val="001A035D"/>
    <w:rsid w:val="001A1E47"/>
    <w:rsid w:val="001C0E90"/>
    <w:rsid w:val="001C41FA"/>
    <w:rsid w:val="001E2981"/>
    <w:rsid w:val="001F2076"/>
    <w:rsid w:val="001F3E95"/>
    <w:rsid w:val="00210F20"/>
    <w:rsid w:val="00221D9D"/>
    <w:rsid w:val="00222AC3"/>
    <w:rsid w:val="002324C0"/>
    <w:rsid w:val="00232E8C"/>
    <w:rsid w:val="002876C9"/>
    <w:rsid w:val="00290C2E"/>
    <w:rsid w:val="002A26DD"/>
    <w:rsid w:val="002A7EEB"/>
    <w:rsid w:val="002B32BB"/>
    <w:rsid w:val="002B56FA"/>
    <w:rsid w:val="002C4BC8"/>
    <w:rsid w:val="002C6716"/>
    <w:rsid w:val="002D4720"/>
    <w:rsid w:val="002F38F2"/>
    <w:rsid w:val="00302E63"/>
    <w:rsid w:val="00305C63"/>
    <w:rsid w:val="00323237"/>
    <w:rsid w:val="00325BD0"/>
    <w:rsid w:val="0033237B"/>
    <w:rsid w:val="00334348"/>
    <w:rsid w:val="00334C34"/>
    <w:rsid w:val="003404BC"/>
    <w:rsid w:val="00340D1B"/>
    <w:rsid w:val="0034390A"/>
    <w:rsid w:val="003456CE"/>
    <w:rsid w:val="00355883"/>
    <w:rsid w:val="003654E3"/>
    <w:rsid w:val="003679A2"/>
    <w:rsid w:val="00370D59"/>
    <w:rsid w:val="00371383"/>
    <w:rsid w:val="00375618"/>
    <w:rsid w:val="00383729"/>
    <w:rsid w:val="0038695D"/>
    <w:rsid w:val="00390AED"/>
    <w:rsid w:val="003A14D6"/>
    <w:rsid w:val="003C032B"/>
    <w:rsid w:val="003C33F5"/>
    <w:rsid w:val="003C5ED9"/>
    <w:rsid w:val="003D486C"/>
    <w:rsid w:val="003E325C"/>
    <w:rsid w:val="00400E17"/>
    <w:rsid w:val="00402AE4"/>
    <w:rsid w:val="004153E9"/>
    <w:rsid w:val="00430B52"/>
    <w:rsid w:val="00452C49"/>
    <w:rsid w:val="00455128"/>
    <w:rsid w:val="00471CAC"/>
    <w:rsid w:val="00475FFC"/>
    <w:rsid w:val="004801A3"/>
    <w:rsid w:val="00484BFB"/>
    <w:rsid w:val="004B767D"/>
    <w:rsid w:val="004C16AC"/>
    <w:rsid w:val="004F3C5F"/>
    <w:rsid w:val="004F3E4B"/>
    <w:rsid w:val="005007B4"/>
    <w:rsid w:val="00512B21"/>
    <w:rsid w:val="00534AED"/>
    <w:rsid w:val="00545713"/>
    <w:rsid w:val="005B033A"/>
    <w:rsid w:val="005B6F5F"/>
    <w:rsid w:val="005D3091"/>
    <w:rsid w:val="005E440E"/>
    <w:rsid w:val="005E6B64"/>
    <w:rsid w:val="005E721F"/>
    <w:rsid w:val="005E7346"/>
    <w:rsid w:val="005F2F15"/>
    <w:rsid w:val="00610A77"/>
    <w:rsid w:val="006454E4"/>
    <w:rsid w:val="00653282"/>
    <w:rsid w:val="00664F91"/>
    <w:rsid w:val="0067396B"/>
    <w:rsid w:val="00684374"/>
    <w:rsid w:val="00694FD5"/>
    <w:rsid w:val="006A33EF"/>
    <w:rsid w:val="006A3B79"/>
    <w:rsid w:val="006B0958"/>
    <w:rsid w:val="006C20A8"/>
    <w:rsid w:val="006E04F2"/>
    <w:rsid w:val="00712815"/>
    <w:rsid w:val="00716E64"/>
    <w:rsid w:val="007268D4"/>
    <w:rsid w:val="00733D9B"/>
    <w:rsid w:val="00735252"/>
    <w:rsid w:val="00743CBB"/>
    <w:rsid w:val="00766F9A"/>
    <w:rsid w:val="00771073"/>
    <w:rsid w:val="0077264D"/>
    <w:rsid w:val="007807CB"/>
    <w:rsid w:val="007909A5"/>
    <w:rsid w:val="007A5AC2"/>
    <w:rsid w:val="007B623C"/>
    <w:rsid w:val="007C508D"/>
    <w:rsid w:val="007C542C"/>
    <w:rsid w:val="007F38AA"/>
    <w:rsid w:val="00803C1E"/>
    <w:rsid w:val="00842BF7"/>
    <w:rsid w:val="008473EC"/>
    <w:rsid w:val="00866EF1"/>
    <w:rsid w:val="00873363"/>
    <w:rsid w:val="008905D5"/>
    <w:rsid w:val="00896F60"/>
    <w:rsid w:val="008B58AF"/>
    <w:rsid w:val="008C5161"/>
    <w:rsid w:val="008E581B"/>
    <w:rsid w:val="008F0565"/>
    <w:rsid w:val="008F39CC"/>
    <w:rsid w:val="00927601"/>
    <w:rsid w:val="00936868"/>
    <w:rsid w:val="00951C17"/>
    <w:rsid w:val="00984287"/>
    <w:rsid w:val="009A5CE7"/>
    <w:rsid w:val="009A61B6"/>
    <w:rsid w:val="009B477A"/>
    <w:rsid w:val="009B7937"/>
    <w:rsid w:val="009D62C8"/>
    <w:rsid w:val="009D6D51"/>
    <w:rsid w:val="009E09DF"/>
    <w:rsid w:val="00A135AA"/>
    <w:rsid w:val="00A52A5A"/>
    <w:rsid w:val="00A567E2"/>
    <w:rsid w:val="00A854B0"/>
    <w:rsid w:val="00A9555D"/>
    <w:rsid w:val="00AB3E44"/>
    <w:rsid w:val="00AB59C9"/>
    <w:rsid w:val="00AD294D"/>
    <w:rsid w:val="00AE0942"/>
    <w:rsid w:val="00B07467"/>
    <w:rsid w:val="00B1022E"/>
    <w:rsid w:val="00B102CF"/>
    <w:rsid w:val="00B22DF0"/>
    <w:rsid w:val="00B274C7"/>
    <w:rsid w:val="00B54E8C"/>
    <w:rsid w:val="00B5790F"/>
    <w:rsid w:val="00B77390"/>
    <w:rsid w:val="00B905F7"/>
    <w:rsid w:val="00B96153"/>
    <w:rsid w:val="00BA376C"/>
    <w:rsid w:val="00BB379D"/>
    <w:rsid w:val="00BB4E1F"/>
    <w:rsid w:val="00BC7CA1"/>
    <w:rsid w:val="00BD610A"/>
    <w:rsid w:val="00BF21DF"/>
    <w:rsid w:val="00BF4099"/>
    <w:rsid w:val="00C07B16"/>
    <w:rsid w:val="00C1009F"/>
    <w:rsid w:val="00C24290"/>
    <w:rsid w:val="00C30205"/>
    <w:rsid w:val="00C572D5"/>
    <w:rsid w:val="00C61041"/>
    <w:rsid w:val="00C75185"/>
    <w:rsid w:val="00C86E0B"/>
    <w:rsid w:val="00C96358"/>
    <w:rsid w:val="00C97ECA"/>
    <w:rsid w:val="00CE143C"/>
    <w:rsid w:val="00CE2966"/>
    <w:rsid w:val="00CF0280"/>
    <w:rsid w:val="00CF2FE8"/>
    <w:rsid w:val="00D03EE2"/>
    <w:rsid w:val="00D06A3D"/>
    <w:rsid w:val="00D168B8"/>
    <w:rsid w:val="00D30208"/>
    <w:rsid w:val="00D6704D"/>
    <w:rsid w:val="00D70742"/>
    <w:rsid w:val="00D71282"/>
    <w:rsid w:val="00D71F64"/>
    <w:rsid w:val="00D866B7"/>
    <w:rsid w:val="00DA0655"/>
    <w:rsid w:val="00DB0782"/>
    <w:rsid w:val="00DC20DE"/>
    <w:rsid w:val="00DD5BAD"/>
    <w:rsid w:val="00DF6C87"/>
    <w:rsid w:val="00E01495"/>
    <w:rsid w:val="00E01A8D"/>
    <w:rsid w:val="00E02B53"/>
    <w:rsid w:val="00E0311B"/>
    <w:rsid w:val="00E237FE"/>
    <w:rsid w:val="00E26FD9"/>
    <w:rsid w:val="00E27C8E"/>
    <w:rsid w:val="00E50FC8"/>
    <w:rsid w:val="00E51049"/>
    <w:rsid w:val="00E51AC9"/>
    <w:rsid w:val="00E671E9"/>
    <w:rsid w:val="00E76DDB"/>
    <w:rsid w:val="00E85BDF"/>
    <w:rsid w:val="00EA4C46"/>
    <w:rsid w:val="00EB1C2C"/>
    <w:rsid w:val="00EB1CC8"/>
    <w:rsid w:val="00EC25A7"/>
    <w:rsid w:val="00EC7BCF"/>
    <w:rsid w:val="00ED37B0"/>
    <w:rsid w:val="00EE67A3"/>
    <w:rsid w:val="00F14C2D"/>
    <w:rsid w:val="00F16829"/>
    <w:rsid w:val="00F2794C"/>
    <w:rsid w:val="00F409C0"/>
    <w:rsid w:val="00F60579"/>
    <w:rsid w:val="00F61C92"/>
    <w:rsid w:val="00F66EBB"/>
    <w:rsid w:val="00F7473C"/>
    <w:rsid w:val="00F843E1"/>
    <w:rsid w:val="00F84AB8"/>
    <w:rsid w:val="00F873EE"/>
    <w:rsid w:val="00F90621"/>
    <w:rsid w:val="00F91245"/>
    <w:rsid w:val="00FA33F2"/>
    <w:rsid w:val="00FA6DF5"/>
    <w:rsid w:val="00FB1CB7"/>
    <w:rsid w:val="00FC095C"/>
    <w:rsid w:val="00FE7EC9"/>
    <w:rsid w:val="00FF44E8"/>
    <w:rsid w:val="011E3CE2"/>
    <w:rsid w:val="01396FC5"/>
    <w:rsid w:val="0152440F"/>
    <w:rsid w:val="01BE37E3"/>
    <w:rsid w:val="020F775D"/>
    <w:rsid w:val="0287023E"/>
    <w:rsid w:val="02895B83"/>
    <w:rsid w:val="029D00B7"/>
    <w:rsid w:val="029D79D6"/>
    <w:rsid w:val="02CB1A8D"/>
    <w:rsid w:val="02F52F14"/>
    <w:rsid w:val="03185606"/>
    <w:rsid w:val="032C173A"/>
    <w:rsid w:val="0362649B"/>
    <w:rsid w:val="0389555F"/>
    <w:rsid w:val="04671920"/>
    <w:rsid w:val="04981874"/>
    <w:rsid w:val="050B6856"/>
    <w:rsid w:val="053F7FAA"/>
    <w:rsid w:val="055B3DBE"/>
    <w:rsid w:val="056E0120"/>
    <w:rsid w:val="059739CC"/>
    <w:rsid w:val="05D153AD"/>
    <w:rsid w:val="062030A3"/>
    <w:rsid w:val="063D49D4"/>
    <w:rsid w:val="065E7025"/>
    <w:rsid w:val="06696D6A"/>
    <w:rsid w:val="06B720FD"/>
    <w:rsid w:val="06C52CF5"/>
    <w:rsid w:val="06C86CE6"/>
    <w:rsid w:val="07A97A92"/>
    <w:rsid w:val="07BD680C"/>
    <w:rsid w:val="07EF5356"/>
    <w:rsid w:val="07F66B6A"/>
    <w:rsid w:val="07FA759A"/>
    <w:rsid w:val="08D2464C"/>
    <w:rsid w:val="08E37729"/>
    <w:rsid w:val="08E94098"/>
    <w:rsid w:val="09DE4B40"/>
    <w:rsid w:val="09F737DD"/>
    <w:rsid w:val="0A086F7F"/>
    <w:rsid w:val="0A3A7C79"/>
    <w:rsid w:val="0A4B3E6F"/>
    <w:rsid w:val="0ACF7E65"/>
    <w:rsid w:val="0B2E7FA6"/>
    <w:rsid w:val="0B32416D"/>
    <w:rsid w:val="0B3E1052"/>
    <w:rsid w:val="0BF53DF1"/>
    <w:rsid w:val="0BFE7F5D"/>
    <w:rsid w:val="0C0B0BDE"/>
    <w:rsid w:val="0C294841"/>
    <w:rsid w:val="0C2A3EAA"/>
    <w:rsid w:val="0CAA7C46"/>
    <w:rsid w:val="0CB82779"/>
    <w:rsid w:val="0CE83BB1"/>
    <w:rsid w:val="0D215745"/>
    <w:rsid w:val="0D31135E"/>
    <w:rsid w:val="0D672F77"/>
    <w:rsid w:val="0D7C3058"/>
    <w:rsid w:val="0DA94C89"/>
    <w:rsid w:val="0DB241E0"/>
    <w:rsid w:val="0DC36E57"/>
    <w:rsid w:val="0DCB05AE"/>
    <w:rsid w:val="0E354F73"/>
    <w:rsid w:val="0E766151"/>
    <w:rsid w:val="0E79471F"/>
    <w:rsid w:val="0F045689"/>
    <w:rsid w:val="0F2C1BD8"/>
    <w:rsid w:val="0F435911"/>
    <w:rsid w:val="0F6C4B52"/>
    <w:rsid w:val="0F844789"/>
    <w:rsid w:val="0F874AC2"/>
    <w:rsid w:val="0F9A73C4"/>
    <w:rsid w:val="0FAB268D"/>
    <w:rsid w:val="0FEB0ED0"/>
    <w:rsid w:val="0FF37525"/>
    <w:rsid w:val="10057926"/>
    <w:rsid w:val="101406D6"/>
    <w:rsid w:val="101917B2"/>
    <w:rsid w:val="101C7A12"/>
    <w:rsid w:val="10252E02"/>
    <w:rsid w:val="10327059"/>
    <w:rsid w:val="106A177D"/>
    <w:rsid w:val="10857F5A"/>
    <w:rsid w:val="1091155E"/>
    <w:rsid w:val="10F9390A"/>
    <w:rsid w:val="1138259B"/>
    <w:rsid w:val="11511AE4"/>
    <w:rsid w:val="11C72C9D"/>
    <w:rsid w:val="120C0DD7"/>
    <w:rsid w:val="126738C5"/>
    <w:rsid w:val="12A438F7"/>
    <w:rsid w:val="13291366"/>
    <w:rsid w:val="13752255"/>
    <w:rsid w:val="1379256F"/>
    <w:rsid w:val="137B5D66"/>
    <w:rsid w:val="13AF4E31"/>
    <w:rsid w:val="13D76B99"/>
    <w:rsid w:val="140B6C2F"/>
    <w:rsid w:val="145C7342"/>
    <w:rsid w:val="1474429F"/>
    <w:rsid w:val="150B4D43"/>
    <w:rsid w:val="15140734"/>
    <w:rsid w:val="152C01CB"/>
    <w:rsid w:val="152D213D"/>
    <w:rsid w:val="154B0F7B"/>
    <w:rsid w:val="15532095"/>
    <w:rsid w:val="155C275D"/>
    <w:rsid w:val="158C40BE"/>
    <w:rsid w:val="159E5255"/>
    <w:rsid w:val="15A041CF"/>
    <w:rsid w:val="15B931FE"/>
    <w:rsid w:val="15DA15E8"/>
    <w:rsid w:val="15E578A4"/>
    <w:rsid w:val="15EF2E80"/>
    <w:rsid w:val="160E2BC8"/>
    <w:rsid w:val="16671829"/>
    <w:rsid w:val="167F2380"/>
    <w:rsid w:val="168C2314"/>
    <w:rsid w:val="16B45672"/>
    <w:rsid w:val="170534D0"/>
    <w:rsid w:val="171F4B1F"/>
    <w:rsid w:val="17B95A26"/>
    <w:rsid w:val="18012021"/>
    <w:rsid w:val="18195A08"/>
    <w:rsid w:val="18253052"/>
    <w:rsid w:val="183A0EAE"/>
    <w:rsid w:val="184B2E10"/>
    <w:rsid w:val="185A0382"/>
    <w:rsid w:val="19166537"/>
    <w:rsid w:val="194B0F90"/>
    <w:rsid w:val="19D75CE1"/>
    <w:rsid w:val="1A6343BC"/>
    <w:rsid w:val="1A997EB4"/>
    <w:rsid w:val="1A9E15F3"/>
    <w:rsid w:val="1AF54F57"/>
    <w:rsid w:val="1B4E133A"/>
    <w:rsid w:val="1B5C7199"/>
    <w:rsid w:val="1B680A8B"/>
    <w:rsid w:val="1B94053C"/>
    <w:rsid w:val="1B946841"/>
    <w:rsid w:val="1BAC7E51"/>
    <w:rsid w:val="1BD003E1"/>
    <w:rsid w:val="1BF005F3"/>
    <w:rsid w:val="1C952F55"/>
    <w:rsid w:val="1CC32149"/>
    <w:rsid w:val="1D0F1AF9"/>
    <w:rsid w:val="1D2C6EBF"/>
    <w:rsid w:val="1EBB1585"/>
    <w:rsid w:val="1EC55E46"/>
    <w:rsid w:val="1ECE5F85"/>
    <w:rsid w:val="1F125588"/>
    <w:rsid w:val="1F341EFA"/>
    <w:rsid w:val="1F656523"/>
    <w:rsid w:val="1FE35AAA"/>
    <w:rsid w:val="201F35D9"/>
    <w:rsid w:val="206A7958"/>
    <w:rsid w:val="20910720"/>
    <w:rsid w:val="20B204C0"/>
    <w:rsid w:val="20C07D28"/>
    <w:rsid w:val="21213F0A"/>
    <w:rsid w:val="21645D25"/>
    <w:rsid w:val="21A335E2"/>
    <w:rsid w:val="21A3715D"/>
    <w:rsid w:val="21C87986"/>
    <w:rsid w:val="21F94F6D"/>
    <w:rsid w:val="22071255"/>
    <w:rsid w:val="220B4D63"/>
    <w:rsid w:val="221F7EA2"/>
    <w:rsid w:val="223F1EBC"/>
    <w:rsid w:val="228F458F"/>
    <w:rsid w:val="233D3B7D"/>
    <w:rsid w:val="23842C55"/>
    <w:rsid w:val="23E80E96"/>
    <w:rsid w:val="23E82CB5"/>
    <w:rsid w:val="240869D2"/>
    <w:rsid w:val="24596D0B"/>
    <w:rsid w:val="246D4187"/>
    <w:rsid w:val="2470775E"/>
    <w:rsid w:val="24C96930"/>
    <w:rsid w:val="254A4993"/>
    <w:rsid w:val="254F14EE"/>
    <w:rsid w:val="255D388E"/>
    <w:rsid w:val="25AD1D5E"/>
    <w:rsid w:val="262E77BB"/>
    <w:rsid w:val="26451A24"/>
    <w:rsid w:val="267A4E8A"/>
    <w:rsid w:val="267A6873"/>
    <w:rsid w:val="27820985"/>
    <w:rsid w:val="27825E16"/>
    <w:rsid w:val="27BB2519"/>
    <w:rsid w:val="27CB7B5F"/>
    <w:rsid w:val="28043D0B"/>
    <w:rsid w:val="283B6F42"/>
    <w:rsid w:val="286457AE"/>
    <w:rsid w:val="287732F1"/>
    <w:rsid w:val="28886072"/>
    <w:rsid w:val="28DD0202"/>
    <w:rsid w:val="292A2D31"/>
    <w:rsid w:val="295269B1"/>
    <w:rsid w:val="29C62290"/>
    <w:rsid w:val="29D34BD3"/>
    <w:rsid w:val="29F53D95"/>
    <w:rsid w:val="2A09330C"/>
    <w:rsid w:val="2A121F57"/>
    <w:rsid w:val="2A3C7F86"/>
    <w:rsid w:val="2A850567"/>
    <w:rsid w:val="2AA75275"/>
    <w:rsid w:val="2AEC43C3"/>
    <w:rsid w:val="2B0A10AB"/>
    <w:rsid w:val="2B1A15BE"/>
    <w:rsid w:val="2B1E03E8"/>
    <w:rsid w:val="2B28065B"/>
    <w:rsid w:val="2B2912DF"/>
    <w:rsid w:val="2B345EA8"/>
    <w:rsid w:val="2BAB4636"/>
    <w:rsid w:val="2BCC056B"/>
    <w:rsid w:val="2BF16AAC"/>
    <w:rsid w:val="2C124D72"/>
    <w:rsid w:val="2C3A32FB"/>
    <w:rsid w:val="2C7E6477"/>
    <w:rsid w:val="2C996714"/>
    <w:rsid w:val="2CB93512"/>
    <w:rsid w:val="2CC04780"/>
    <w:rsid w:val="2CE6351E"/>
    <w:rsid w:val="2D2C7729"/>
    <w:rsid w:val="2D2E5F18"/>
    <w:rsid w:val="2D9314C8"/>
    <w:rsid w:val="2DA6733E"/>
    <w:rsid w:val="2E201916"/>
    <w:rsid w:val="2EC40E47"/>
    <w:rsid w:val="2ED34D81"/>
    <w:rsid w:val="2ED4375B"/>
    <w:rsid w:val="2EDE6A17"/>
    <w:rsid w:val="2FC95DA8"/>
    <w:rsid w:val="2FE14ABD"/>
    <w:rsid w:val="302A2FF3"/>
    <w:rsid w:val="30817300"/>
    <w:rsid w:val="308C5300"/>
    <w:rsid w:val="30A811B7"/>
    <w:rsid w:val="30E879F4"/>
    <w:rsid w:val="30F26961"/>
    <w:rsid w:val="30FD6C89"/>
    <w:rsid w:val="311B38D8"/>
    <w:rsid w:val="31386712"/>
    <w:rsid w:val="314E70CC"/>
    <w:rsid w:val="31A74797"/>
    <w:rsid w:val="31A956E7"/>
    <w:rsid w:val="31EF7BF4"/>
    <w:rsid w:val="320B3DA6"/>
    <w:rsid w:val="32C835E0"/>
    <w:rsid w:val="32E562E2"/>
    <w:rsid w:val="332446FA"/>
    <w:rsid w:val="333C42C7"/>
    <w:rsid w:val="335E234B"/>
    <w:rsid w:val="3372360D"/>
    <w:rsid w:val="337E5CF1"/>
    <w:rsid w:val="33F70B6F"/>
    <w:rsid w:val="351C4D47"/>
    <w:rsid w:val="354C4260"/>
    <w:rsid w:val="356C3BFA"/>
    <w:rsid w:val="35C9034A"/>
    <w:rsid w:val="35E72828"/>
    <w:rsid w:val="35FE47E7"/>
    <w:rsid w:val="36374201"/>
    <w:rsid w:val="3664418D"/>
    <w:rsid w:val="36BA69C2"/>
    <w:rsid w:val="36F126AE"/>
    <w:rsid w:val="374C0DBF"/>
    <w:rsid w:val="3788740A"/>
    <w:rsid w:val="37C927F3"/>
    <w:rsid w:val="38145EF2"/>
    <w:rsid w:val="38903CF4"/>
    <w:rsid w:val="393676B9"/>
    <w:rsid w:val="39811BF1"/>
    <w:rsid w:val="39CA1B5F"/>
    <w:rsid w:val="39CD20D2"/>
    <w:rsid w:val="39EC6300"/>
    <w:rsid w:val="3A063355"/>
    <w:rsid w:val="3A8B5664"/>
    <w:rsid w:val="3AB67643"/>
    <w:rsid w:val="3AD16020"/>
    <w:rsid w:val="3AE40B0C"/>
    <w:rsid w:val="3AF95AE4"/>
    <w:rsid w:val="3B1043F4"/>
    <w:rsid w:val="3B1843DB"/>
    <w:rsid w:val="3B2050C1"/>
    <w:rsid w:val="3B4D3392"/>
    <w:rsid w:val="3B503743"/>
    <w:rsid w:val="3BF179D6"/>
    <w:rsid w:val="3C1C5D7F"/>
    <w:rsid w:val="3C2D1349"/>
    <w:rsid w:val="3D007FD8"/>
    <w:rsid w:val="3D2F1F65"/>
    <w:rsid w:val="3E2843E1"/>
    <w:rsid w:val="3E624FA1"/>
    <w:rsid w:val="3E674621"/>
    <w:rsid w:val="3EB50176"/>
    <w:rsid w:val="3EBE7A26"/>
    <w:rsid w:val="3ED25BE0"/>
    <w:rsid w:val="40217FC5"/>
    <w:rsid w:val="40764E14"/>
    <w:rsid w:val="408A49C4"/>
    <w:rsid w:val="40A54C40"/>
    <w:rsid w:val="413527CD"/>
    <w:rsid w:val="4147209D"/>
    <w:rsid w:val="41916F22"/>
    <w:rsid w:val="41AD51CD"/>
    <w:rsid w:val="41EF27EF"/>
    <w:rsid w:val="42723C83"/>
    <w:rsid w:val="43096C93"/>
    <w:rsid w:val="432F4E6E"/>
    <w:rsid w:val="433230D4"/>
    <w:rsid w:val="43455A21"/>
    <w:rsid w:val="43C57DBB"/>
    <w:rsid w:val="440D5BAC"/>
    <w:rsid w:val="4441173E"/>
    <w:rsid w:val="444B67A6"/>
    <w:rsid w:val="444D462E"/>
    <w:rsid w:val="4461577E"/>
    <w:rsid w:val="448226EE"/>
    <w:rsid w:val="44CB54E8"/>
    <w:rsid w:val="44D9502B"/>
    <w:rsid w:val="452F001A"/>
    <w:rsid w:val="454C647D"/>
    <w:rsid w:val="45547AB2"/>
    <w:rsid w:val="45727023"/>
    <w:rsid w:val="45E31208"/>
    <w:rsid w:val="460A3878"/>
    <w:rsid w:val="464104CB"/>
    <w:rsid w:val="46606277"/>
    <w:rsid w:val="46651F5F"/>
    <w:rsid w:val="46BD6B9F"/>
    <w:rsid w:val="46F36F97"/>
    <w:rsid w:val="4735425F"/>
    <w:rsid w:val="474C0B91"/>
    <w:rsid w:val="47790445"/>
    <w:rsid w:val="47887727"/>
    <w:rsid w:val="47FA5182"/>
    <w:rsid w:val="484B50AC"/>
    <w:rsid w:val="485F2909"/>
    <w:rsid w:val="48721906"/>
    <w:rsid w:val="499528B5"/>
    <w:rsid w:val="499A1626"/>
    <w:rsid w:val="4A0709A1"/>
    <w:rsid w:val="4A071A5B"/>
    <w:rsid w:val="4A30173F"/>
    <w:rsid w:val="4A4F2130"/>
    <w:rsid w:val="4AA56C18"/>
    <w:rsid w:val="4AAC43CF"/>
    <w:rsid w:val="4AE80107"/>
    <w:rsid w:val="4AEB3B5C"/>
    <w:rsid w:val="4B0A2683"/>
    <w:rsid w:val="4B696DDC"/>
    <w:rsid w:val="4BD239FB"/>
    <w:rsid w:val="4BDE07D8"/>
    <w:rsid w:val="4C680E35"/>
    <w:rsid w:val="4C702874"/>
    <w:rsid w:val="4CD315EA"/>
    <w:rsid w:val="4DBE27FF"/>
    <w:rsid w:val="4E3061F3"/>
    <w:rsid w:val="4E861663"/>
    <w:rsid w:val="4E865B2B"/>
    <w:rsid w:val="4E8A006A"/>
    <w:rsid w:val="4FA82EA2"/>
    <w:rsid w:val="5001610D"/>
    <w:rsid w:val="50250266"/>
    <w:rsid w:val="506D24B7"/>
    <w:rsid w:val="50960C50"/>
    <w:rsid w:val="50B87FD8"/>
    <w:rsid w:val="51B22873"/>
    <w:rsid w:val="51DD16D0"/>
    <w:rsid w:val="525144AC"/>
    <w:rsid w:val="526C22CF"/>
    <w:rsid w:val="526C75B6"/>
    <w:rsid w:val="531A23C7"/>
    <w:rsid w:val="532E1087"/>
    <w:rsid w:val="53497B76"/>
    <w:rsid w:val="53570DE1"/>
    <w:rsid w:val="53B21382"/>
    <w:rsid w:val="5452477C"/>
    <w:rsid w:val="54E9474B"/>
    <w:rsid w:val="55114067"/>
    <w:rsid w:val="55161DF7"/>
    <w:rsid w:val="552A1F7D"/>
    <w:rsid w:val="556D7E1E"/>
    <w:rsid w:val="556F40AC"/>
    <w:rsid w:val="55C2351F"/>
    <w:rsid w:val="561F63AA"/>
    <w:rsid w:val="564C5849"/>
    <w:rsid w:val="56864B3D"/>
    <w:rsid w:val="56F83CE7"/>
    <w:rsid w:val="57490590"/>
    <w:rsid w:val="574C4AD4"/>
    <w:rsid w:val="57B12A6A"/>
    <w:rsid w:val="57C26185"/>
    <w:rsid w:val="57CD29E0"/>
    <w:rsid w:val="58334F38"/>
    <w:rsid w:val="58B8298B"/>
    <w:rsid w:val="58ED49F0"/>
    <w:rsid w:val="59025913"/>
    <w:rsid w:val="59243B85"/>
    <w:rsid w:val="59367C57"/>
    <w:rsid w:val="59845E2D"/>
    <w:rsid w:val="59953383"/>
    <w:rsid w:val="59D65859"/>
    <w:rsid w:val="59D8468B"/>
    <w:rsid w:val="59DF5365"/>
    <w:rsid w:val="5A1046FC"/>
    <w:rsid w:val="5A4025A3"/>
    <w:rsid w:val="5AC43EE0"/>
    <w:rsid w:val="5AFB35B9"/>
    <w:rsid w:val="5B422917"/>
    <w:rsid w:val="5BA77661"/>
    <w:rsid w:val="5C08212B"/>
    <w:rsid w:val="5C2D561F"/>
    <w:rsid w:val="5CAD0A5B"/>
    <w:rsid w:val="5CDC6FE7"/>
    <w:rsid w:val="5CF32339"/>
    <w:rsid w:val="5D062897"/>
    <w:rsid w:val="5D475D49"/>
    <w:rsid w:val="5D49044E"/>
    <w:rsid w:val="5D9E5724"/>
    <w:rsid w:val="5E021137"/>
    <w:rsid w:val="5E094815"/>
    <w:rsid w:val="5E144B94"/>
    <w:rsid w:val="5EC374B7"/>
    <w:rsid w:val="5F375930"/>
    <w:rsid w:val="5F3A2DEE"/>
    <w:rsid w:val="5F4A6064"/>
    <w:rsid w:val="5F5273AD"/>
    <w:rsid w:val="5F6E7D87"/>
    <w:rsid w:val="5FA52F0E"/>
    <w:rsid w:val="5FB13ADD"/>
    <w:rsid w:val="5FF00BB6"/>
    <w:rsid w:val="5FFF6F3E"/>
    <w:rsid w:val="60203611"/>
    <w:rsid w:val="605F38FD"/>
    <w:rsid w:val="608C52D7"/>
    <w:rsid w:val="60C91D59"/>
    <w:rsid w:val="612705E8"/>
    <w:rsid w:val="615D4A53"/>
    <w:rsid w:val="61FA2F46"/>
    <w:rsid w:val="62063517"/>
    <w:rsid w:val="62CF55D8"/>
    <w:rsid w:val="63014E7B"/>
    <w:rsid w:val="635748F2"/>
    <w:rsid w:val="64217F14"/>
    <w:rsid w:val="644167EA"/>
    <w:rsid w:val="646621C4"/>
    <w:rsid w:val="647E242C"/>
    <w:rsid w:val="64CF2690"/>
    <w:rsid w:val="65353E0C"/>
    <w:rsid w:val="653B68C8"/>
    <w:rsid w:val="655452E6"/>
    <w:rsid w:val="65766426"/>
    <w:rsid w:val="65BF4B3B"/>
    <w:rsid w:val="662C465F"/>
    <w:rsid w:val="66E06673"/>
    <w:rsid w:val="67E95D87"/>
    <w:rsid w:val="6861018A"/>
    <w:rsid w:val="68A4401A"/>
    <w:rsid w:val="68B96F9E"/>
    <w:rsid w:val="68F51E51"/>
    <w:rsid w:val="68F5216F"/>
    <w:rsid w:val="695E3F96"/>
    <w:rsid w:val="69683798"/>
    <w:rsid w:val="699047BA"/>
    <w:rsid w:val="69A47B5D"/>
    <w:rsid w:val="69BE5CF3"/>
    <w:rsid w:val="69E2214E"/>
    <w:rsid w:val="6A066D86"/>
    <w:rsid w:val="6A3C6705"/>
    <w:rsid w:val="6A7C0666"/>
    <w:rsid w:val="6A882A0E"/>
    <w:rsid w:val="6AA453A4"/>
    <w:rsid w:val="6AD87793"/>
    <w:rsid w:val="6B420248"/>
    <w:rsid w:val="6BA64EEC"/>
    <w:rsid w:val="6BD53606"/>
    <w:rsid w:val="6C1921BE"/>
    <w:rsid w:val="6C3B63A3"/>
    <w:rsid w:val="6CEF01A4"/>
    <w:rsid w:val="6DE17967"/>
    <w:rsid w:val="6E110107"/>
    <w:rsid w:val="6E7F6AD7"/>
    <w:rsid w:val="6E9F770E"/>
    <w:rsid w:val="6EDD3ADB"/>
    <w:rsid w:val="6F0B5C04"/>
    <w:rsid w:val="6F125776"/>
    <w:rsid w:val="6F4A1D7D"/>
    <w:rsid w:val="6F997223"/>
    <w:rsid w:val="6FBE2C9F"/>
    <w:rsid w:val="700202CD"/>
    <w:rsid w:val="701801D5"/>
    <w:rsid w:val="702D126F"/>
    <w:rsid w:val="7053467D"/>
    <w:rsid w:val="70561CC8"/>
    <w:rsid w:val="705F156B"/>
    <w:rsid w:val="708751AD"/>
    <w:rsid w:val="708E59F1"/>
    <w:rsid w:val="70AC6D4B"/>
    <w:rsid w:val="70B43936"/>
    <w:rsid w:val="70E44695"/>
    <w:rsid w:val="710F0089"/>
    <w:rsid w:val="715458B2"/>
    <w:rsid w:val="71934558"/>
    <w:rsid w:val="719937C8"/>
    <w:rsid w:val="71B17D35"/>
    <w:rsid w:val="720679A6"/>
    <w:rsid w:val="72194A0A"/>
    <w:rsid w:val="727F4828"/>
    <w:rsid w:val="729533D4"/>
    <w:rsid w:val="72991164"/>
    <w:rsid w:val="72B12962"/>
    <w:rsid w:val="73024C4D"/>
    <w:rsid w:val="73483C97"/>
    <w:rsid w:val="73825547"/>
    <w:rsid w:val="73D10803"/>
    <w:rsid w:val="73F43045"/>
    <w:rsid w:val="74590BBC"/>
    <w:rsid w:val="748E1A90"/>
    <w:rsid w:val="74A96B03"/>
    <w:rsid w:val="752F2B18"/>
    <w:rsid w:val="75976F83"/>
    <w:rsid w:val="75B57633"/>
    <w:rsid w:val="75DE53C9"/>
    <w:rsid w:val="763F4816"/>
    <w:rsid w:val="7648159B"/>
    <w:rsid w:val="764D4EA7"/>
    <w:rsid w:val="76694B84"/>
    <w:rsid w:val="76820CB9"/>
    <w:rsid w:val="770F6713"/>
    <w:rsid w:val="771262A4"/>
    <w:rsid w:val="7718481B"/>
    <w:rsid w:val="778A59CD"/>
    <w:rsid w:val="77F16E7A"/>
    <w:rsid w:val="78316439"/>
    <w:rsid w:val="78580E48"/>
    <w:rsid w:val="786B0E72"/>
    <w:rsid w:val="78A943EA"/>
    <w:rsid w:val="78AA6175"/>
    <w:rsid w:val="78D7359B"/>
    <w:rsid w:val="78F05DE6"/>
    <w:rsid w:val="78FB5E61"/>
    <w:rsid w:val="790962BC"/>
    <w:rsid w:val="792B5EE9"/>
    <w:rsid w:val="79394492"/>
    <w:rsid w:val="79683B8C"/>
    <w:rsid w:val="798A73E3"/>
    <w:rsid w:val="79972077"/>
    <w:rsid w:val="79CA4DDF"/>
    <w:rsid w:val="7A0325B8"/>
    <w:rsid w:val="7A740EAD"/>
    <w:rsid w:val="7A91680B"/>
    <w:rsid w:val="7A9458AC"/>
    <w:rsid w:val="7ABA46FF"/>
    <w:rsid w:val="7ADA68B8"/>
    <w:rsid w:val="7AEC6D64"/>
    <w:rsid w:val="7B101619"/>
    <w:rsid w:val="7B3304EA"/>
    <w:rsid w:val="7B556765"/>
    <w:rsid w:val="7B684EE3"/>
    <w:rsid w:val="7B712AA8"/>
    <w:rsid w:val="7BB11965"/>
    <w:rsid w:val="7BE63222"/>
    <w:rsid w:val="7CB0449F"/>
    <w:rsid w:val="7D0D5AB6"/>
    <w:rsid w:val="7D2045E1"/>
    <w:rsid w:val="7D7654E6"/>
    <w:rsid w:val="7DB00C5F"/>
    <w:rsid w:val="7DBF74FD"/>
    <w:rsid w:val="7DCD605E"/>
    <w:rsid w:val="7DE75F8D"/>
    <w:rsid w:val="7E0A4C7D"/>
    <w:rsid w:val="7E523EE3"/>
    <w:rsid w:val="7EA52B98"/>
    <w:rsid w:val="7EB36D27"/>
    <w:rsid w:val="7EBA2CC8"/>
    <w:rsid w:val="7F370876"/>
    <w:rsid w:val="7F8E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7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annotation subject"/>
    <w:basedOn w:val="3"/>
    <w:next w:val="3"/>
    <w:link w:val="18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3">
    <w:name w:val="annotation reference"/>
    <w:basedOn w:val="11"/>
    <w:semiHidden/>
    <w:unhideWhenUsed/>
    <w:qFormat/>
    <w:uiPriority w:val="99"/>
    <w:rPr>
      <w:sz w:val="21"/>
      <w:szCs w:val="21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页眉 Char"/>
    <w:basedOn w:val="11"/>
    <w:link w:val="6"/>
    <w:qFormat/>
    <w:uiPriority w:val="99"/>
    <w:rPr>
      <w:sz w:val="18"/>
      <w:szCs w:val="18"/>
    </w:rPr>
  </w:style>
  <w:style w:type="character" w:customStyle="1" w:styleId="16">
    <w:name w:val="页脚 Char"/>
    <w:basedOn w:val="11"/>
    <w:link w:val="5"/>
    <w:qFormat/>
    <w:uiPriority w:val="99"/>
    <w:rPr>
      <w:sz w:val="18"/>
      <w:szCs w:val="18"/>
    </w:rPr>
  </w:style>
  <w:style w:type="character" w:customStyle="1" w:styleId="17">
    <w:name w:val="批注文字 Char"/>
    <w:basedOn w:val="11"/>
    <w:link w:val="3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8">
    <w:name w:val="批注主题 Char"/>
    <w:basedOn w:val="17"/>
    <w:link w:val="8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customStyle="1" w:styleId="19">
    <w:name w:val="批注框文本 Char"/>
    <w:basedOn w:val="11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0">
    <w:name w:val=" Normal"/>
    <w:unhideWhenUsed/>
    <w:qFormat/>
    <w:uiPriority w:val="99"/>
    <w:pPr>
      <w:autoSpaceDE w:val="0"/>
      <w:autoSpaceDN w:val="0"/>
      <w:adjustRightInd w:val="0"/>
      <w:spacing w:beforeLines="0" w:afterLines="0"/>
      <w:jc w:val="both"/>
    </w:pPr>
    <w:rPr>
      <w:rFonts w:hint="default" w:ascii="Calibri" w:hAnsi="Times New Roman" w:eastAsia="宋体" w:cs="Calibri"/>
      <w:sz w:val="21"/>
      <w:szCs w:val="22"/>
      <w:lang w:val="en-US" w:eastAsia="ar-SA"/>
    </w:rPr>
  </w:style>
  <w:style w:type="paragraph" w:customStyle="1" w:styleId="21">
    <w:name w:val=" Heading 1"/>
    <w:basedOn w:val="20"/>
    <w:link w:val="35"/>
    <w:unhideWhenUsed/>
    <w:qFormat/>
    <w:uiPriority w:val="99"/>
    <w:pPr>
      <w:spacing w:before="180" w:beforeLines="0" w:afterLines="0"/>
      <w:outlineLvl w:val="0"/>
    </w:pPr>
    <w:rPr>
      <w:rFonts w:hint="default" w:ascii="Calibri Light" w:cs="Calibri Light"/>
      <w:color w:val="2F5496"/>
      <w:sz w:val="24"/>
      <w:szCs w:val="22"/>
    </w:rPr>
  </w:style>
  <w:style w:type="paragraph" w:customStyle="1" w:styleId="22">
    <w:name w:val=" Heading 2"/>
    <w:basedOn w:val="20"/>
    <w:link w:val="36"/>
    <w:unhideWhenUsed/>
    <w:qFormat/>
    <w:uiPriority w:val="99"/>
    <w:pPr>
      <w:spacing w:before="30" w:beforeLines="0" w:afterLines="0"/>
      <w:jc w:val="left"/>
      <w:outlineLvl w:val="1"/>
    </w:pPr>
    <w:rPr>
      <w:rFonts w:hint="default" w:ascii="Calibri Light" w:cs="Calibri Light"/>
      <w:color w:val="2F5496"/>
      <w:sz w:val="20"/>
      <w:szCs w:val="22"/>
    </w:rPr>
  </w:style>
  <w:style w:type="paragraph" w:customStyle="1" w:styleId="23">
    <w:name w:val=" Heading 3"/>
    <w:basedOn w:val="20"/>
    <w:link w:val="37"/>
    <w:unhideWhenUsed/>
    <w:qFormat/>
    <w:uiPriority w:val="99"/>
    <w:pPr>
      <w:spacing w:before="30" w:beforeLines="0" w:afterLines="0"/>
      <w:jc w:val="left"/>
      <w:outlineLvl w:val="2"/>
    </w:pPr>
    <w:rPr>
      <w:rFonts w:hint="default" w:ascii="Calibri Light" w:cs="Calibri Light"/>
      <w:color w:val="1F3763"/>
      <w:sz w:val="18"/>
      <w:szCs w:val="22"/>
    </w:rPr>
  </w:style>
  <w:style w:type="paragraph" w:customStyle="1" w:styleId="24">
    <w:name w:val=" Heading 4"/>
    <w:basedOn w:val="20"/>
    <w:link w:val="38"/>
    <w:unhideWhenUsed/>
    <w:qFormat/>
    <w:uiPriority w:val="99"/>
    <w:pPr>
      <w:spacing w:before="30" w:beforeLines="0" w:afterLines="0"/>
      <w:jc w:val="left"/>
      <w:outlineLvl w:val="3"/>
    </w:pPr>
    <w:rPr>
      <w:rFonts w:hint="default" w:ascii="Calibri Light" w:cs="Calibri Light"/>
      <w:i/>
      <w:color w:val="2F5496"/>
      <w:sz w:val="18"/>
      <w:szCs w:val="22"/>
    </w:rPr>
  </w:style>
  <w:style w:type="paragraph" w:customStyle="1" w:styleId="25">
    <w:name w:val=" Heading 5"/>
    <w:basedOn w:val="20"/>
    <w:link w:val="39"/>
    <w:unhideWhenUsed/>
    <w:qFormat/>
    <w:uiPriority w:val="99"/>
    <w:pPr>
      <w:spacing w:before="30" w:beforeLines="0" w:afterLines="0"/>
      <w:jc w:val="left"/>
      <w:outlineLvl w:val="4"/>
    </w:pPr>
    <w:rPr>
      <w:rFonts w:hint="default" w:ascii="Calibri Light" w:cs="Calibri Light"/>
      <w:color w:val="2F5496"/>
      <w:sz w:val="18"/>
      <w:szCs w:val="22"/>
    </w:rPr>
  </w:style>
  <w:style w:type="paragraph" w:customStyle="1" w:styleId="26">
    <w:name w:val=" Heading 6"/>
    <w:basedOn w:val="20"/>
    <w:link w:val="40"/>
    <w:unhideWhenUsed/>
    <w:qFormat/>
    <w:uiPriority w:val="99"/>
    <w:pPr>
      <w:spacing w:before="30" w:beforeLines="0" w:afterLines="0"/>
      <w:jc w:val="left"/>
      <w:outlineLvl w:val="5"/>
    </w:pPr>
    <w:rPr>
      <w:rFonts w:hint="default" w:ascii="Calibri Light" w:cs="Calibri Light"/>
      <w:color w:val="2F5496"/>
      <w:sz w:val="18"/>
      <w:szCs w:val="22"/>
    </w:rPr>
  </w:style>
  <w:style w:type="paragraph" w:customStyle="1" w:styleId="27">
    <w:name w:val=" annotation text"/>
    <w:basedOn w:val="20"/>
    <w:unhideWhenUsed/>
    <w:qFormat/>
    <w:uiPriority w:val="99"/>
    <w:pPr>
      <w:spacing w:beforeLines="0" w:afterLines="0"/>
      <w:jc w:val="left"/>
    </w:pPr>
    <w:rPr>
      <w:rFonts w:hint="default"/>
      <w:sz w:val="21"/>
      <w:szCs w:val="22"/>
    </w:rPr>
  </w:style>
  <w:style w:type="paragraph" w:customStyle="1" w:styleId="28">
    <w:name w:val=" Balloon Text"/>
    <w:basedOn w:val="20"/>
    <w:unhideWhenUsed/>
    <w:qFormat/>
    <w:uiPriority w:val="99"/>
    <w:pPr>
      <w:spacing w:beforeLines="0" w:afterLines="0"/>
    </w:pPr>
    <w:rPr>
      <w:rFonts w:hint="default"/>
      <w:sz w:val="18"/>
      <w:szCs w:val="18"/>
    </w:rPr>
  </w:style>
  <w:style w:type="paragraph" w:customStyle="1" w:styleId="29">
    <w:name w:val=" Footer"/>
    <w:basedOn w:val="20"/>
    <w:unhideWhenUsed/>
    <w:qFormat/>
    <w:uiPriority w:val="99"/>
    <w:pPr>
      <w:spacing w:beforeLines="0" w:afterLines="0"/>
      <w:jc w:val="left"/>
    </w:pPr>
    <w:rPr>
      <w:rFonts w:hint="default"/>
      <w:sz w:val="18"/>
      <w:szCs w:val="18"/>
    </w:rPr>
  </w:style>
  <w:style w:type="paragraph" w:customStyle="1" w:styleId="30">
    <w:name w:val=" Header"/>
    <w:basedOn w:val="20"/>
    <w:unhideWhenUsed/>
    <w:qFormat/>
    <w:uiPriority w:val="99"/>
    <w:pPr>
      <w:pBdr>
        <w:bottom w:val="single" w:color="000000" w:sz="6" w:space="1"/>
      </w:pBdr>
      <w:spacing w:beforeLines="0" w:afterLines="0"/>
      <w:jc w:val="center"/>
    </w:pPr>
    <w:rPr>
      <w:rFonts w:hint="default"/>
      <w:sz w:val="18"/>
      <w:szCs w:val="18"/>
    </w:rPr>
  </w:style>
  <w:style w:type="paragraph" w:customStyle="1" w:styleId="31">
    <w:name w:val=" Normal (Web)"/>
    <w:basedOn w:val="20"/>
    <w:unhideWhenUsed/>
    <w:qFormat/>
    <w:uiPriority w:val="99"/>
    <w:pPr>
      <w:spacing w:beforeLines="0" w:afterLines="0"/>
      <w:jc w:val="left"/>
    </w:pPr>
    <w:rPr>
      <w:rFonts w:hint="default"/>
      <w:sz w:val="24"/>
      <w:szCs w:val="22"/>
    </w:rPr>
  </w:style>
  <w:style w:type="paragraph" w:customStyle="1" w:styleId="32">
    <w:name w:val=" annotation subject"/>
    <w:basedOn w:val="27"/>
    <w:unhideWhenUsed/>
    <w:qFormat/>
    <w:uiPriority w:val="99"/>
    <w:pPr>
      <w:spacing w:beforeLines="0" w:afterLines="0"/>
    </w:pPr>
    <w:rPr>
      <w:rFonts w:hint="default"/>
      <w:b/>
      <w:sz w:val="21"/>
      <w:szCs w:val="22"/>
    </w:rPr>
  </w:style>
  <w:style w:type="paragraph" w:customStyle="1" w:styleId="33">
    <w:name w:val=" List Paragraph"/>
    <w:basedOn w:val="20"/>
    <w:unhideWhenUsed/>
    <w:qFormat/>
    <w:uiPriority w:val="99"/>
    <w:pPr>
      <w:spacing w:beforeLines="0" w:afterLines="0"/>
      <w:ind w:firstLine="420"/>
    </w:pPr>
    <w:rPr>
      <w:rFonts w:hint="default"/>
      <w:sz w:val="21"/>
      <w:szCs w:val="22"/>
    </w:rPr>
  </w:style>
  <w:style w:type="character" w:customStyle="1" w:styleId="34">
    <w:name w:val=" Default Paragraph Font"/>
    <w:unhideWhenUsed/>
    <w:qFormat/>
    <w:uiPriority w:val="99"/>
    <w:rPr>
      <w:rFonts w:hint="default" w:ascii="Times New Roman" w:cs="Times New Roman"/>
      <w:sz w:val="24"/>
      <w:szCs w:val="24"/>
      <w:lang w:val="en-US"/>
    </w:rPr>
  </w:style>
  <w:style w:type="character" w:customStyle="1" w:styleId="35">
    <w:name w:val=" Heading 1 Char"/>
    <w:basedOn w:val="34"/>
    <w:link w:val="21"/>
    <w:unhideWhenUsed/>
    <w:qFormat/>
    <w:uiPriority w:val="99"/>
    <w:rPr>
      <w:rFonts w:hint="default" w:ascii="Calibri Light" w:cs="Calibri Light"/>
      <w:color w:val="2F5496"/>
      <w:sz w:val="24"/>
      <w:szCs w:val="20"/>
    </w:rPr>
  </w:style>
  <w:style w:type="character" w:customStyle="1" w:styleId="36">
    <w:name w:val=" Heading 2 Char"/>
    <w:basedOn w:val="34"/>
    <w:link w:val="22"/>
    <w:unhideWhenUsed/>
    <w:qFormat/>
    <w:uiPriority w:val="99"/>
    <w:rPr>
      <w:rFonts w:hint="default" w:ascii="Calibri Light" w:cs="Calibri Light"/>
      <w:color w:val="2F5496"/>
      <w:sz w:val="20"/>
      <w:szCs w:val="20"/>
    </w:rPr>
  </w:style>
  <w:style w:type="character" w:customStyle="1" w:styleId="37">
    <w:name w:val=" Heading 3 Char"/>
    <w:basedOn w:val="34"/>
    <w:link w:val="23"/>
    <w:unhideWhenUsed/>
    <w:qFormat/>
    <w:uiPriority w:val="99"/>
    <w:rPr>
      <w:rFonts w:hint="default" w:ascii="Calibri Light" w:cs="Calibri Light"/>
      <w:color w:val="1F3763"/>
      <w:sz w:val="18"/>
      <w:szCs w:val="20"/>
    </w:rPr>
  </w:style>
  <w:style w:type="character" w:customStyle="1" w:styleId="38">
    <w:name w:val=" Heading 4 Char"/>
    <w:basedOn w:val="34"/>
    <w:link w:val="24"/>
    <w:unhideWhenUsed/>
    <w:qFormat/>
    <w:uiPriority w:val="99"/>
    <w:rPr>
      <w:rFonts w:hint="default" w:ascii="Calibri Light" w:cs="Calibri Light"/>
      <w:i/>
      <w:color w:val="2F5496"/>
      <w:sz w:val="18"/>
      <w:szCs w:val="20"/>
    </w:rPr>
  </w:style>
  <w:style w:type="character" w:customStyle="1" w:styleId="39">
    <w:name w:val=" Heading 5 Char"/>
    <w:basedOn w:val="34"/>
    <w:link w:val="25"/>
    <w:unhideWhenUsed/>
    <w:qFormat/>
    <w:uiPriority w:val="99"/>
    <w:rPr>
      <w:rFonts w:hint="default" w:ascii="Calibri Light" w:cs="Calibri Light"/>
      <w:color w:val="2F5496"/>
      <w:sz w:val="18"/>
      <w:szCs w:val="20"/>
    </w:rPr>
  </w:style>
  <w:style w:type="character" w:customStyle="1" w:styleId="40">
    <w:name w:val=" Heading 6 Char"/>
    <w:basedOn w:val="34"/>
    <w:link w:val="26"/>
    <w:unhideWhenUsed/>
    <w:qFormat/>
    <w:uiPriority w:val="99"/>
    <w:rPr>
      <w:rFonts w:hint="default" w:ascii="Calibri Light" w:cs="Calibri Light"/>
      <w:color w:val="1F3763"/>
      <w:sz w:val="18"/>
      <w:szCs w:val="20"/>
    </w:rPr>
  </w:style>
  <w:style w:type="character" w:customStyle="1" w:styleId="41">
    <w:name w:val=" Hyperlink"/>
    <w:basedOn w:val="34"/>
    <w:unhideWhenUsed/>
    <w:qFormat/>
    <w:uiPriority w:val="99"/>
    <w:rPr>
      <w:rFonts w:hint="default"/>
      <w:color w:val="0000FF"/>
      <w:sz w:val="24"/>
      <w:szCs w:val="24"/>
      <w:u w:val="single"/>
    </w:rPr>
  </w:style>
  <w:style w:type="character" w:customStyle="1" w:styleId="42">
    <w:name w:val=" annotation reference"/>
    <w:basedOn w:val="34"/>
    <w:unhideWhenUsed/>
    <w:qFormat/>
    <w:uiPriority w:val="99"/>
    <w:rPr>
      <w:rFonts w:hint="default"/>
      <w:sz w:val="21"/>
      <w:szCs w:val="21"/>
    </w:rPr>
  </w:style>
  <w:style w:type="character" w:customStyle="1" w:styleId="43">
    <w:name w:val=" 页眉 Char"/>
    <w:basedOn w:val="34"/>
    <w:unhideWhenUsed/>
    <w:qFormat/>
    <w:uiPriority w:val="99"/>
    <w:rPr>
      <w:rFonts w:hint="default"/>
      <w:sz w:val="18"/>
      <w:szCs w:val="18"/>
    </w:rPr>
  </w:style>
  <w:style w:type="character" w:customStyle="1" w:styleId="44">
    <w:name w:val=" 页脚 Char"/>
    <w:basedOn w:val="34"/>
    <w:unhideWhenUsed/>
    <w:qFormat/>
    <w:uiPriority w:val="99"/>
    <w:rPr>
      <w:rFonts w:hint="default"/>
      <w:sz w:val="18"/>
      <w:szCs w:val="18"/>
    </w:rPr>
  </w:style>
  <w:style w:type="character" w:customStyle="1" w:styleId="45">
    <w:name w:val=" 批注文字 Char"/>
    <w:basedOn w:val="34"/>
    <w:unhideWhenUsed/>
    <w:qFormat/>
    <w:uiPriority w:val="99"/>
    <w:rPr>
      <w:rFonts w:hint="default" w:ascii="Calibri" w:cs="Calibri"/>
      <w:sz w:val="21"/>
      <w:szCs w:val="22"/>
    </w:rPr>
  </w:style>
  <w:style w:type="character" w:customStyle="1" w:styleId="46">
    <w:name w:val=" 批注主题 Char"/>
    <w:basedOn w:val="45"/>
    <w:unhideWhenUsed/>
    <w:qFormat/>
    <w:uiPriority w:val="99"/>
    <w:rPr>
      <w:rFonts w:hint="default"/>
      <w:b/>
      <w:sz w:val="21"/>
      <w:szCs w:val="22"/>
    </w:rPr>
  </w:style>
  <w:style w:type="character" w:customStyle="1" w:styleId="47">
    <w:name w:val=" 批注框文本 Char"/>
    <w:basedOn w:val="34"/>
    <w:unhideWhenUsed/>
    <w:qFormat/>
    <w:uiPriority w:val="99"/>
    <w:rPr>
      <w:rFonts w:hint="default" w:ascii="Calibri"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1015</Words>
  <Characters>1057</Characters>
  <Lines>1</Lines>
  <Paragraphs>1</Paragraphs>
  <TotalTime>4</TotalTime>
  <ScaleCrop>false</ScaleCrop>
  <LinksUpToDate>false</LinksUpToDate>
  <CharactersWithSpaces>1116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2025-09-08T10:25:00Z</dcterms:created>
  <dc:creator>Administrator</dc:creator>
  <cp:lastModifiedBy>蔡伟</cp:lastModifiedBy>
  <cp:lastPrinted>2025-11-12T08:28:00Z</cp:lastPrinted>
  <dcterms:modified xsi:type="dcterms:W3CDTF">2026-08-04T09:29:17Z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F4DCA255AC284858A63C2241C8CF4509_13</vt:lpwstr>
  </property>
  <property fmtid="{D5CDD505-2E9C-101B-9397-08002B2CF9AE}" pid="4" name="KSOTemplateDocerSaveRecord">
    <vt:lpwstr>eyJoZGlkIjoiZWE4MTNhOWMzNDU2ZDRiYzlmNTg1NGE5NWE0ZmE2ZDEiLCJ1c2VySWQiOiI0NDE3MDI2NzcifQ==</vt:lpwstr>
  </property>
</Properties>
</file>