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r>
        <w:t>标题：关于江西联创光电科技股份有限公司及实际控制人涉嫌非经营性资金往来等事项的监管工作函</w:t>
      </w:r>
    </w:p>
    <w:p>
      <w:r>
        <w:t>证券代码：600363</w:t>
      </w:r>
    </w:p>
    <w:p>
      <w:r>
        <w:t>证券简称：联创光电</w:t>
      </w:r>
    </w:p>
    <w:p>
      <w:r>
        <w:t>监管类型：监管工作函</w:t>
      </w:r>
    </w:p>
    <w:p>
      <w:r>
        <w:t>涉及对象：上市公司,董事,高级管理人员,控股股东及实际控制人,中介机构及其相关人员</w:t>
      </w:r>
    </w:p>
    <w:p>
      <w:r>
        <w:t>处分日期：2026-08-04</w:t>
      </w:r>
    </w:p>
    <w:p>
      <w:r>
        <w:t>处理事由：就公司及实际控制人涉嫌非经营性资金往来等事项明确监管要求</w:t>
      </w:r>
    </w:p>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2026-08-04T14:40:00Z</dcterms:created>
  <dc:creator>Apache POI</dc:creator>
</cp:coreProperties>
</file>