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0825E" w14:textId="77777777" w:rsidR="004C435E" w:rsidRDefault="004E1B97">
      <w:pPr>
        <w:pStyle w:val="1"/>
        <w:tabs>
          <w:tab w:val="left" w:pos="7353"/>
        </w:tabs>
        <w:spacing w:before="0" w:line="418" w:lineRule="exact"/>
        <w:ind w:left="0" w:right="204"/>
        <w:jc w:val="center"/>
        <w:rPr>
          <w:rFonts w:ascii="Calibri" w:eastAsia="Calibri"/>
        </w:rPr>
      </w:pPr>
      <w:r>
        <w:t>证券简称：今世</w:t>
      </w:r>
      <w:r>
        <w:rPr>
          <w:spacing w:val="-10"/>
        </w:rPr>
        <w:t>缘</w:t>
      </w:r>
      <w:r>
        <w:tab/>
      </w:r>
      <w:r>
        <w:t>证券代码</w:t>
      </w:r>
      <w:r>
        <w:rPr>
          <w:spacing w:val="-2"/>
        </w:rPr>
        <w:t>：</w:t>
      </w:r>
      <w:r>
        <w:rPr>
          <w:rFonts w:ascii="Calibri" w:eastAsia="Calibri"/>
          <w:spacing w:val="-2"/>
        </w:rPr>
        <w:t>603369</w:t>
      </w:r>
    </w:p>
    <w:p w14:paraId="62462FFB" w14:textId="77777777" w:rsidR="004C435E" w:rsidRDefault="004E1B97">
      <w:pPr>
        <w:pStyle w:val="ac"/>
        <w:spacing w:line="328" w:lineRule="auto"/>
      </w:pPr>
      <w:r>
        <w:rPr>
          <w:spacing w:val="-2"/>
        </w:rPr>
        <w:t>江苏今世缘酒业股份有限公司投资者来访接待记录表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3417"/>
        <w:gridCol w:w="1140"/>
        <w:gridCol w:w="3395"/>
      </w:tblGrid>
      <w:tr w:rsidR="004C435E" w14:paraId="1EE4AEC5" w14:textId="77777777">
        <w:trPr>
          <w:cantSplit/>
          <w:trHeight w:val="1815"/>
        </w:trPr>
        <w:tc>
          <w:tcPr>
            <w:tcW w:w="1392" w:type="dxa"/>
          </w:tcPr>
          <w:p w14:paraId="39AB963D" w14:textId="77777777" w:rsidR="004C435E" w:rsidRDefault="004C435E">
            <w:pPr>
              <w:pStyle w:val="TableParagraph"/>
              <w:spacing w:before="215" w:line="240" w:lineRule="auto"/>
              <w:ind w:left="0"/>
              <w:rPr>
                <w:rFonts w:ascii="Microsoft JhengHei"/>
                <w:b/>
                <w:sz w:val="28"/>
              </w:rPr>
            </w:pPr>
          </w:p>
          <w:p w14:paraId="06AF64C6" w14:textId="77777777" w:rsidR="004C435E" w:rsidRDefault="004E1B97">
            <w:pPr>
              <w:pStyle w:val="TableParagraph"/>
              <w:spacing w:before="0" w:line="240" w:lineRule="auto"/>
              <w:ind w:left="10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来访单位</w:t>
            </w:r>
          </w:p>
        </w:tc>
        <w:tc>
          <w:tcPr>
            <w:tcW w:w="7952" w:type="dxa"/>
            <w:gridSpan w:val="3"/>
          </w:tcPr>
          <w:p w14:paraId="11B9C5C4" w14:textId="77777777" w:rsidR="004C435E" w:rsidRDefault="004E1B97">
            <w:pPr>
              <w:pStyle w:val="TableParagraph"/>
              <w:spacing w:line="360" w:lineRule="atLeast"/>
              <w:ind w:right="273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富国基金、中欧基金、兴全基金、华宝基金、</w:t>
            </w:r>
            <w:proofErr w:type="gramStart"/>
            <w:r>
              <w:rPr>
                <w:rFonts w:hint="eastAsia"/>
                <w:sz w:val="28"/>
              </w:rPr>
              <w:t>华夏久盈</w:t>
            </w:r>
            <w:r>
              <w:rPr>
                <w:sz w:val="28"/>
              </w:rPr>
              <w:t>基金</w:t>
            </w:r>
            <w:proofErr w:type="gramEnd"/>
            <w:r>
              <w:rPr>
                <w:rFonts w:hint="eastAsia"/>
                <w:sz w:val="28"/>
              </w:rPr>
              <w:t>、</w:t>
            </w:r>
            <w:proofErr w:type="gramStart"/>
            <w:r>
              <w:rPr>
                <w:rFonts w:hint="eastAsia"/>
                <w:sz w:val="28"/>
              </w:rPr>
              <w:t>永盈基金</w:t>
            </w:r>
            <w:proofErr w:type="gramEnd"/>
            <w:r>
              <w:rPr>
                <w:rFonts w:hint="eastAsia"/>
                <w:sz w:val="28"/>
              </w:rPr>
              <w:t>、诺德基金、太保资产、人保资产、农银汇理、国联安基金、国金基金、</w:t>
            </w:r>
            <w:proofErr w:type="gramStart"/>
            <w:r>
              <w:rPr>
                <w:rFonts w:hint="eastAsia"/>
                <w:sz w:val="28"/>
              </w:rPr>
              <w:t>浦银安</w:t>
            </w:r>
            <w:proofErr w:type="gramEnd"/>
            <w:r>
              <w:rPr>
                <w:rFonts w:hint="eastAsia"/>
                <w:sz w:val="28"/>
              </w:rPr>
              <w:t>盛、博道基金、上银基金、中加基金、</w:t>
            </w:r>
            <w:proofErr w:type="gramStart"/>
            <w:r>
              <w:rPr>
                <w:rFonts w:hint="eastAsia"/>
                <w:sz w:val="28"/>
              </w:rPr>
              <w:t>聚鸣投资</w:t>
            </w:r>
            <w:proofErr w:type="gramEnd"/>
            <w:r>
              <w:rPr>
                <w:rFonts w:hint="eastAsia"/>
                <w:sz w:val="28"/>
              </w:rPr>
              <w:t>、重阳投资、星石投资、</w:t>
            </w:r>
            <w:proofErr w:type="gramStart"/>
            <w:r>
              <w:rPr>
                <w:rFonts w:hint="eastAsia"/>
                <w:sz w:val="28"/>
              </w:rPr>
              <w:t>鑫</w:t>
            </w:r>
            <w:proofErr w:type="gramEnd"/>
            <w:r>
              <w:rPr>
                <w:rFonts w:hint="eastAsia"/>
                <w:sz w:val="28"/>
              </w:rPr>
              <w:t>巢资本、里成资产、兴银理财、国泰海通证券、长江证券等</w:t>
            </w:r>
            <w:r>
              <w:rPr>
                <w:sz w:val="28"/>
              </w:rPr>
              <w:t>24</w:t>
            </w:r>
            <w:r>
              <w:rPr>
                <w:rFonts w:hint="eastAsia"/>
                <w:sz w:val="28"/>
              </w:rPr>
              <w:t>家机构</w:t>
            </w:r>
          </w:p>
        </w:tc>
      </w:tr>
      <w:tr w:rsidR="004C435E" w14:paraId="4895745D" w14:textId="77777777">
        <w:trPr>
          <w:cantSplit/>
          <w:trHeight w:val="726"/>
        </w:trPr>
        <w:tc>
          <w:tcPr>
            <w:tcW w:w="1392" w:type="dxa"/>
          </w:tcPr>
          <w:p w14:paraId="461188BE" w14:textId="77777777" w:rsidR="004C435E" w:rsidRDefault="004E1B97">
            <w:pPr>
              <w:pStyle w:val="TableParagraph"/>
              <w:spacing w:before="0" w:line="360" w:lineRule="atLeast"/>
              <w:ind w:left="555" w:right="125" w:hanging="420"/>
              <w:rPr>
                <w:sz w:val="28"/>
              </w:rPr>
            </w:pPr>
            <w:r>
              <w:rPr>
                <w:spacing w:val="-4"/>
                <w:sz w:val="28"/>
              </w:rPr>
              <w:t>投资者类</w:t>
            </w:r>
            <w:r>
              <w:rPr>
                <w:spacing w:val="-10"/>
                <w:sz w:val="28"/>
              </w:rPr>
              <w:t>型</w:t>
            </w:r>
          </w:p>
        </w:tc>
        <w:tc>
          <w:tcPr>
            <w:tcW w:w="7952" w:type="dxa"/>
            <w:gridSpan w:val="3"/>
          </w:tcPr>
          <w:p w14:paraId="29B7BE50" w14:textId="77777777" w:rsidR="004C435E" w:rsidRDefault="004E1B97">
            <w:pPr>
              <w:pStyle w:val="TableParagraph"/>
              <w:tabs>
                <w:tab w:val="left" w:pos="3049"/>
                <w:tab w:val="left" w:pos="5150"/>
              </w:tabs>
              <w:spacing w:before="0" w:line="397" w:lineRule="exact"/>
              <w:ind w:left="668"/>
              <w:rPr>
                <w:sz w:val="28"/>
              </w:rPr>
            </w:pPr>
            <w:r>
              <w:rPr>
                <w:rFonts w:ascii="Microsoft JhengHei" w:eastAsia="Microsoft JhengHei" w:hAnsi="Microsoft JhengHei"/>
                <w:b/>
                <w:w w:val="110"/>
                <w:sz w:val="28"/>
              </w:rPr>
              <w:t>√</w:t>
            </w:r>
            <w:r>
              <w:rPr>
                <w:w w:val="105"/>
                <w:sz w:val="28"/>
              </w:rPr>
              <w:t>机构投资</w:t>
            </w:r>
            <w:r>
              <w:rPr>
                <w:spacing w:val="-10"/>
                <w:w w:val="105"/>
                <w:sz w:val="28"/>
              </w:rPr>
              <w:t>者</w:t>
            </w:r>
            <w:r>
              <w:rPr>
                <w:sz w:val="28"/>
              </w:rPr>
              <w:tab/>
            </w:r>
            <w:r>
              <w:rPr>
                <w:rFonts w:ascii="Microsoft JhengHei" w:eastAsia="Microsoft JhengHei" w:hAnsi="Microsoft JhengHei"/>
                <w:b/>
                <w:w w:val="120"/>
                <w:sz w:val="28"/>
              </w:rPr>
              <w:t>√</w:t>
            </w:r>
            <w:r>
              <w:rPr>
                <w:w w:val="105"/>
                <w:sz w:val="28"/>
              </w:rPr>
              <w:t>证券公</w:t>
            </w:r>
            <w:r>
              <w:rPr>
                <w:spacing w:val="-10"/>
                <w:w w:val="105"/>
                <w:sz w:val="28"/>
              </w:rPr>
              <w:t>司</w:t>
            </w:r>
            <w:r>
              <w:rPr>
                <w:sz w:val="28"/>
              </w:rPr>
              <w:tab/>
              <w:t>□</w:t>
            </w:r>
            <w:r>
              <w:rPr>
                <w:sz w:val="28"/>
              </w:rPr>
              <w:t>媒</w:t>
            </w:r>
            <w:r>
              <w:rPr>
                <w:spacing w:val="-10"/>
                <w:sz w:val="28"/>
              </w:rPr>
              <w:t>体</w:t>
            </w:r>
          </w:p>
          <w:p w14:paraId="090CBC03" w14:textId="77777777" w:rsidR="004C435E" w:rsidRDefault="004E1B97">
            <w:pPr>
              <w:pStyle w:val="TableParagraph"/>
              <w:tabs>
                <w:tab w:val="left" w:pos="3047"/>
              </w:tabs>
              <w:spacing w:before="0" w:line="309" w:lineRule="exact"/>
              <w:ind w:left="668"/>
              <w:rPr>
                <w:sz w:val="28"/>
              </w:rPr>
            </w:pPr>
            <w:r>
              <w:rPr>
                <w:sz w:val="28"/>
              </w:rPr>
              <w:t>□</w:t>
            </w:r>
            <w:r>
              <w:rPr>
                <w:sz w:val="28"/>
              </w:rPr>
              <w:t>个人投资</w:t>
            </w:r>
            <w:r>
              <w:rPr>
                <w:spacing w:val="-10"/>
                <w:sz w:val="28"/>
              </w:rPr>
              <w:t>者</w:t>
            </w:r>
            <w:r>
              <w:rPr>
                <w:sz w:val="28"/>
              </w:rPr>
              <w:tab/>
              <w:t>□</w:t>
            </w:r>
            <w:r>
              <w:rPr>
                <w:sz w:val="28"/>
              </w:rPr>
              <w:t>其</w:t>
            </w:r>
            <w:r>
              <w:rPr>
                <w:spacing w:val="-10"/>
                <w:sz w:val="28"/>
              </w:rPr>
              <w:t>他</w:t>
            </w:r>
          </w:p>
        </w:tc>
      </w:tr>
      <w:tr w:rsidR="004C435E" w14:paraId="0B44454D" w14:textId="77777777">
        <w:trPr>
          <w:cantSplit/>
          <w:trHeight w:val="363"/>
        </w:trPr>
        <w:tc>
          <w:tcPr>
            <w:tcW w:w="1392" w:type="dxa"/>
          </w:tcPr>
          <w:p w14:paraId="289DF33F" w14:textId="77777777" w:rsidR="004C435E" w:rsidRDefault="004E1B9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会议形式</w:t>
            </w:r>
          </w:p>
        </w:tc>
        <w:tc>
          <w:tcPr>
            <w:tcW w:w="7952" w:type="dxa"/>
            <w:gridSpan w:val="3"/>
          </w:tcPr>
          <w:p w14:paraId="4E897B19" w14:textId="77777777" w:rsidR="004C435E" w:rsidRDefault="004E1B97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现场接待</w:t>
            </w:r>
          </w:p>
        </w:tc>
      </w:tr>
      <w:tr w:rsidR="004C435E" w14:paraId="58D0B4C3" w14:textId="77777777">
        <w:trPr>
          <w:cantSplit/>
          <w:trHeight w:val="363"/>
        </w:trPr>
        <w:tc>
          <w:tcPr>
            <w:tcW w:w="1392" w:type="dxa"/>
          </w:tcPr>
          <w:p w14:paraId="55235EEF" w14:textId="77777777" w:rsidR="004C435E" w:rsidRDefault="004E1B9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时间</w:t>
            </w:r>
          </w:p>
        </w:tc>
        <w:tc>
          <w:tcPr>
            <w:tcW w:w="3417" w:type="dxa"/>
          </w:tcPr>
          <w:p w14:paraId="48FDC6FF" w14:textId="77777777" w:rsidR="004C435E" w:rsidRDefault="004E1B97">
            <w:pPr>
              <w:pStyle w:val="TableParagraph"/>
              <w:ind w:left="965"/>
              <w:rPr>
                <w:sz w:val="28"/>
              </w:rPr>
            </w:pPr>
            <w:r>
              <w:rPr>
                <w:rFonts w:ascii="Calibri" w:eastAsia="Calibri"/>
                <w:sz w:val="28"/>
              </w:rPr>
              <w:t>2026</w:t>
            </w:r>
            <w:r>
              <w:rPr>
                <w:spacing w:val="-35"/>
                <w:sz w:val="28"/>
              </w:rPr>
              <w:t>年</w:t>
            </w:r>
            <w:r>
              <w:rPr>
                <w:rFonts w:ascii="Calibri" w:eastAsiaTheme="minorEastAsia"/>
                <w:sz w:val="28"/>
              </w:rPr>
              <w:t>7</w:t>
            </w:r>
            <w:r>
              <w:rPr>
                <w:spacing w:val="-10"/>
                <w:sz w:val="28"/>
              </w:rPr>
              <w:t>月</w:t>
            </w:r>
          </w:p>
        </w:tc>
        <w:tc>
          <w:tcPr>
            <w:tcW w:w="1140" w:type="dxa"/>
          </w:tcPr>
          <w:p w14:paraId="4AC80C1D" w14:textId="77777777" w:rsidR="004C435E" w:rsidRDefault="004E1B97">
            <w:pPr>
              <w:pStyle w:val="TableParagraph"/>
              <w:ind w:left="289"/>
              <w:rPr>
                <w:sz w:val="28"/>
              </w:rPr>
            </w:pPr>
            <w:r>
              <w:rPr>
                <w:spacing w:val="-5"/>
                <w:sz w:val="28"/>
              </w:rPr>
              <w:t>地点</w:t>
            </w:r>
          </w:p>
        </w:tc>
        <w:tc>
          <w:tcPr>
            <w:tcW w:w="3395" w:type="dxa"/>
          </w:tcPr>
          <w:p w14:paraId="77858874" w14:textId="77777777" w:rsidR="004C435E" w:rsidRDefault="004E1B97">
            <w:pPr>
              <w:pStyle w:val="TableParagraph"/>
              <w:ind w:left="128"/>
              <w:rPr>
                <w:sz w:val="28"/>
              </w:rPr>
            </w:pPr>
            <w:r>
              <w:rPr>
                <w:rFonts w:hint="eastAsia"/>
                <w:spacing w:val="-2"/>
                <w:sz w:val="28"/>
              </w:rPr>
              <w:t>上海、公司会议室</w:t>
            </w:r>
          </w:p>
        </w:tc>
      </w:tr>
      <w:tr w:rsidR="004C435E" w14:paraId="5EA57AC9" w14:textId="77777777">
        <w:trPr>
          <w:trHeight w:val="1452"/>
        </w:trPr>
        <w:tc>
          <w:tcPr>
            <w:tcW w:w="1392" w:type="dxa"/>
          </w:tcPr>
          <w:p w14:paraId="59B388F6" w14:textId="77777777" w:rsidR="004C435E" w:rsidRDefault="004E1B97">
            <w:pPr>
              <w:pStyle w:val="TableParagraph"/>
              <w:spacing w:before="367" w:line="242" w:lineRule="auto"/>
              <w:ind w:left="136" w:right="125"/>
              <w:rPr>
                <w:sz w:val="28"/>
              </w:rPr>
            </w:pPr>
            <w:r>
              <w:rPr>
                <w:spacing w:val="-4"/>
                <w:sz w:val="28"/>
              </w:rPr>
              <w:t>上市公司</w:t>
            </w:r>
            <w:r>
              <w:rPr>
                <w:spacing w:val="-3"/>
                <w:sz w:val="28"/>
              </w:rPr>
              <w:t>出席人员</w:t>
            </w:r>
          </w:p>
        </w:tc>
        <w:tc>
          <w:tcPr>
            <w:tcW w:w="7952" w:type="dxa"/>
            <w:gridSpan w:val="3"/>
            <w:vAlign w:val="center"/>
          </w:tcPr>
          <w:p w14:paraId="579A2353" w14:textId="77777777" w:rsidR="004C435E" w:rsidRDefault="004E1B97">
            <w:pPr>
              <w:pStyle w:val="TableParagraph"/>
              <w:spacing w:line="242" w:lineRule="auto"/>
              <w:ind w:left="1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董事、副总经理、总会计师、董事会秘书</w:t>
            </w:r>
            <w:r>
              <w:rPr>
                <w:rFonts w:hint="eastAsia"/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王卫东</w:t>
            </w:r>
          </w:p>
          <w:p w14:paraId="4F4A1ED0" w14:textId="77777777" w:rsidR="004C435E" w:rsidRDefault="004E1B97">
            <w:pPr>
              <w:pStyle w:val="TableParagraph"/>
              <w:spacing w:line="242" w:lineRule="auto"/>
              <w:ind w:left="13" w:right="140"/>
              <w:rPr>
                <w:spacing w:val="-2"/>
                <w:sz w:val="28"/>
              </w:rPr>
            </w:pPr>
            <w:r>
              <w:rPr>
                <w:rFonts w:hint="eastAsia"/>
                <w:spacing w:val="-2"/>
                <w:sz w:val="28"/>
              </w:rPr>
              <w:t>副总监，证券事务代表</w:t>
            </w:r>
            <w:r>
              <w:rPr>
                <w:rFonts w:hint="eastAsia"/>
                <w:spacing w:val="-2"/>
                <w:sz w:val="28"/>
              </w:rPr>
              <w:t xml:space="preserve"> </w:t>
            </w:r>
            <w:r>
              <w:rPr>
                <w:rFonts w:hint="eastAsia"/>
                <w:spacing w:val="-2"/>
                <w:sz w:val="28"/>
              </w:rPr>
              <w:t>夏东保</w:t>
            </w:r>
          </w:p>
          <w:p w14:paraId="698CEE79" w14:textId="77777777" w:rsidR="004C435E" w:rsidRDefault="004E1B97">
            <w:pPr>
              <w:pStyle w:val="TableParagraph"/>
              <w:spacing w:line="242" w:lineRule="auto"/>
              <w:ind w:left="13" w:right="140"/>
              <w:rPr>
                <w:spacing w:val="-2"/>
                <w:sz w:val="28"/>
              </w:rPr>
            </w:pPr>
            <w:r>
              <w:rPr>
                <w:rFonts w:hint="eastAsia"/>
                <w:spacing w:val="-2"/>
                <w:sz w:val="28"/>
              </w:rPr>
              <w:t>证券部副经理</w:t>
            </w:r>
            <w:r>
              <w:rPr>
                <w:rFonts w:hint="eastAsia"/>
                <w:spacing w:val="-2"/>
                <w:sz w:val="28"/>
              </w:rPr>
              <w:t xml:space="preserve"> </w:t>
            </w:r>
            <w:r>
              <w:rPr>
                <w:rFonts w:hint="eastAsia"/>
                <w:spacing w:val="-2"/>
                <w:sz w:val="28"/>
              </w:rPr>
              <w:t>徐青</w:t>
            </w:r>
          </w:p>
        </w:tc>
      </w:tr>
      <w:tr w:rsidR="004C435E" w14:paraId="6C7899E7" w14:textId="77777777">
        <w:trPr>
          <w:trHeight w:val="1933"/>
        </w:trPr>
        <w:tc>
          <w:tcPr>
            <w:tcW w:w="9344" w:type="dxa"/>
            <w:gridSpan w:val="4"/>
          </w:tcPr>
          <w:p w14:paraId="0D646144" w14:textId="77777777" w:rsidR="004C435E" w:rsidRDefault="004E1B97">
            <w:pPr>
              <w:spacing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：二季度经营情况如何？</w:t>
            </w:r>
          </w:p>
          <w:p w14:paraId="5EF424EC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公司二季度经营总体符合预期。结合渠道反馈和终端动销情况看，二季度动销、出货匹配度总体正常，同比去年有所改善。具体经营数据请以公司后续披露的定期报告为准。</w:t>
            </w:r>
          </w:p>
          <w:p w14:paraId="57396CEA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公司将继续坚持稳健经营，不</w:t>
            </w:r>
            <w:r>
              <w:rPr>
                <w:rFonts w:hint="eastAsia"/>
                <w:sz w:val="24"/>
                <w:szCs w:val="24"/>
              </w:rPr>
              <w:t>会</w:t>
            </w:r>
            <w:r>
              <w:rPr>
                <w:sz w:val="24"/>
                <w:szCs w:val="24"/>
              </w:rPr>
              <w:t>为</w:t>
            </w:r>
            <w:r>
              <w:rPr>
                <w:rFonts w:hint="eastAsia"/>
                <w:sz w:val="24"/>
                <w:szCs w:val="24"/>
              </w:rPr>
              <w:t>了</w:t>
            </w:r>
            <w:r>
              <w:rPr>
                <w:sz w:val="24"/>
                <w:szCs w:val="24"/>
              </w:rPr>
              <w:t>追求短期报表表现</w:t>
            </w:r>
            <w:r>
              <w:rPr>
                <w:rFonts w:hint="eastAsia"/>
                <w:sz w:val="24"/>
                <w:szCs w:val="24"/>
              </w:rPr>
              <w:t>再给</w:t>
            </w:r>
            <w:r>
              <w:rPr>
                <w:sz w:val="24"/>
                <w:szCs w:val="24"/>
              </w:rPr>
              <w:t>渠道</w:t>
            </w:r>
            <w:r>
              <w:rPr>
                <w:rFonts w:hint="eastAsia"/>
                <w:sz w:val="24"/>
                <w:szCs w:val="24"/>
              </w:rPr>
              <w:t>压货</w:t>
            </w:r>
            <w:r>
              <w:rPr>
                <w:sz w:val="24"/>
                <w:szCs w:val="24"/>
              </w:rPr>
              <w:t>。</w:t>
            </w:r>
          </w:p>
          <w:p w14:paraId="51143E86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10AF7BA4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：如何看待全年经营节奏和经营目标？</w:t>
            </w:r>
          </w:p>
          <w:p w14:paraId="3726F7B4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上半年公司经营整体符合预期。下半年仍需结合中秋、国庆等旺季表现以及外部消费环境综合判断。公司将坚持以真实动销、渠道承接能力和价格体系稳定为基础，稳步推进全年经营工作。</w:t>
            </w:r>
          </w:p>
          <w:p w14:paraId="6CF985E9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在行业环境相对平稳的情况下，公司将努力保持经营稳健，争取实现年度经营目标。上述表述为基于当前经营情况的分析和展望，不构成业绩承诺。</w:t>
            </w:r>
          </w:p>
          <w:p w14:paraId="3B932D76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1843DE6A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：目前渠道库存情况如何？</w:t>
            </w:r>
          </w:p>
          <w:p w14:paraId="7EB8341D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渠道库存需要结合季节、</w:t>
            </w:r>
            <w:r>
              <w:rPr>
                <w:rFonts w:hint="eastAsia"/>
                <w:sz w:val="24"/>
                <w:szCs w:val="24"/>
              </w:rPr>
              <w:t>农历节日</w:t>
            </w:r>
            <w:r>
              <w:rPr>
                <w:sz w:val="24"/>
                <w:szCs w:val="24"/>
              </w:rPr>
              <w:t>和同比情况综合观察，单纯用</w:t>
            </w:r>
            <w:r>
              <w:rPr>
                <w:rFonts w:hint="eastAsia"/>
                <w:sz w:val="24"/>
                <w:szCs w:val="24"/>
              </w:rPr>
              <w:t>分析</w:t>
            </w:r>
            <w:r>
              <w:rPr>
                <w:sz w:val="24"/>
                <w:szCs w:val="24"/>
              </w:rPr>
              <w:t>某一时点库存意义有限。春节</w:t>
            </w:r>
            <w:r>
              <w:rPr>
                <w:rFonts w:hint="eastAsia"/>
                <w:sz w:val="24"/>
                <w:szCs w:val="24"/>
              </w:rPr>
              <w:t>等传统重大节日</w:t>
            </w:r>
            <w:proofErr w:type="gramStart"/>
            <w:r>
              <w:rPr>
                <w:rFonts w:hint="eastAsia"/>
                <w:sz w:val="24"/>
                <w:szCs w:val="24"/>
              </w:rPr>
              <w:t>前</w:t>
            </w:r>
            <w:r>
              <w:rPr>
                <w:sz w:val="24"/>
                <w:szCs w:val="24"/>
              </w:rPr>
              <w:t>渠道</w:t>
            </w:r>
            <w:proofErr w:type="gramEnd"/>
            <w:r>
              <w:rPr>
                <w:sz w:val="24"/>
                <w:szCs w:val="24"/>
              </w:rPr>
              <w:t>会有一定备货，</w:t>
            </w:r>
            <w:r>
              <w:rPr>
                <w:rFonts w:hint="eastAsia"/>
                <w:sz w:val="24"/>
                <w:szCs w:val="24"/>
              </w:rPr>
              <w:t>节后淡季渠道库存通常处于低点</w:t>
            </w:r>
            <w:r>
              <w:rPr>
                <w:sz w:val="24"/>
                <w:szCs w:val="24"/>
              </w:rPr>
              <w:t>。</w:t>
            </w:r>
          </w:p>
          <w:p w14:paraId="7BB431CB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当前公司坚持出货与动</w:t>
            </w:r>
            <w:r>
              <w:rPr>
                <w:sz w:val="24"/>
                <w:szCs w:val="24"/>
              </w:rPr>
              <w:t>销匹配，未采取渠道刺激政策，库存总体处于可控状态。</w:t>
            </w:r>
          </w:p>
          <w:p w14:paraId="4AE7434A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250D422E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：公司如何看待</w:t>
            </w:r>
            <w:proofErr w:type="gramStart"/>
            <w:r>
              <w:rPr>
                <w:b/>
                <w:sz w:val="24"/>
                <w:szCs w:val="24"/>
              </w:rPr>
              <w:t>当前价盘表现</w:t>
            </w:r>
            <w:proofErr w:type="gramEnd"/>
            <w:r>
              <w:rPr>
                <w:b/>
                <w:sz w:val="24"/>
                <w:szCs w:val="24"/>
              </w:rPr>
              <w:t>？</w:t>
            </w:r>
          </w:p>
          <w:p w14:paraId="08B09F74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目前公司主力产品价格整体保持平稳。公司</w:t>
            </w:r>
            <w:proofErr w:type="gramStart"/>
            <w:r>
              <w:rPr>
                <w:sz w:val="24"/>
                <w:szCs w:val="24"/>
              </w:rPr>
              <w:t>日常会</w:t>
            </w:r>
            <w:proofErr w:type="gramEnd"/>
            <w:r>
              <w:rPr>
                <w:sz w:val="24"/>
                <w:szCs w:val="24"/>
              </w:rPr>
              <w:t>关注渠道、终端和线上平台反馈，虽然外部价格信息未必能完全精</w:t>
            </w:r>
            <w:r>
              <w:rPr>
                <w:rFonts w:hint="eastAsia"/>
                <w:sz w:val="24"/>
                <w:szCs w:val="24"/>
              </w:rPr>
              <w:t>准</w:t>
            </w:r>
            <w:r>
              <w:rPr>
                <w:sz w:val="24"/>
                <w:szCs w:val="24"/>
              </w:rPr>
              <w:t>反映真实成交，但</w:t>
            </w:r>
            <w:r>
              <w:rPr>
                <w:rFonts w:hint="eastAsia"/>
                <w:sz w:val="24"/>
                <w:szCs w:val="24"/>
              </w:rPr>
              <w:t>相</w:t>
            </w:r>
            <w:r>
              <w:rPr>
                <w:sz w:val="24"/>
                <w:szCs w:val="24"/>
              </w:rPr>
              <w:t>同</w:t>
            </w:r>
            <w:r>
              <w:rPr>
                <w:rFonts w:hint="eastAsia"/>
                <w:sz w:val="24"/>
                <w:szCs w:val="24"/>
              </w:rPr>
              <w:t>口径下</w:t>
            </w:r>
            <w:r>
              <w:rPr>
                <w:sz w:val="24"/>
                <w:szCs w:val="24"/>
              </w:rPr>
              <w:t>观察价格变化趋势</w:t>
            </w:r>
            <w:r>
              <w:rPr>
                <w:rFonts w:hint="eastAsia"/>
                <w:sz w:val="24"/>
                <w:szCs w:val="24"/>
              </w:rPr>
              <w:t>仍</w:t>
            </w:r>
            <w:r>
              <w:rPr>
                <w:sz w:val="24"/>
                <w:szCs w:val="24"/>
              </w:rPr>
              <w:t>具有</w:t>
            </w:r>
            <w:r>
              <w:rPr>
                <w:rFonts w:hint="eastAsia"/>
                <w:sz w:val="24"/>
                <w:szCs w:val="24"/>
              </w:rPr>
              <w:t>很强的参考</w:t>
            </w:r>
            <w:r>
              <w:rPr>
                <w:sz w:val="24"/>
                <w:szCs w:val="24"/>
              </w:rPr>
              <w:t>意义。</w:t>
            </w:r>
          </w:p>
          <w:p w14:paraId="7AE1D637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公司坚持稳价导向，不希望价格大起大落，也不会通过短期拉升或降价方式制造价</w:t>
            </w:r>
            <w:r>
              <w:rPr>
                <w:sz w:val="24"/>
                <w:szCs w:val="24"/>
              </w:rPr>
              <w:lastRenderedPageBreak/>
              <w:t>格波动。当前市场环境下，价格体系保持相对平稳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是较为健康的状态。</w:t>
            </w:r>
          </w:p>
          <w:p w14:paraId="44E3FB35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79290A93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：二季度开瓶率和终端动销情况如何？</w:t>
            </w:r>
          </w:p>
          <w:p w14:paraId="36879FF1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白酒消费具有明显季节性，一季度是春节旺季，二季度是传统淡季，环</w:t>
            </w:r>
            <w:proofErr w:type="gramStart"/>
            <w:r>
              <w:rPr>
                <w:sz w:val="24"/>
                <w:szCs w:val="24"/>
              </w:rPr>
              <w:t>比</w:t>
            </w:r>
            <w:r>
              <w:rPr>
                <w:rFonts w:hint="eastAsia"/>
                <w:sz w:val="24"/>
                <w:szCs w:val="24"/>
              </w:rPr>
              <w:t>分析</w:t>
            </w:r>
            <w:proofErr w:type="gramEnd"/>
            <w:r>
              <w:rPr>
                <w:rFonts w:hint="eastAsia"/>
                <w:sz w:val="24"/>
                <w:szCs w:val="24"/>
              </w:rPr>
              <w:t>意义不大</w:t>
            </w:r>
            <w:r>
              <w:rPr>
                <w:sz w:val="24"/>
                <w:szCs w:val="24"/>
              </w:rPr>
              <w:t>。公司更倾向于按季度、半年维度同比观察。</w:t>
            </w:r>
          </w:p>
          <w:p w14:paraId="0C0FA1D1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从整体情况看，二季度终端动销同比去年有所改善，出货和动销整体匹配。三季度中秋、国庆旺季表现仍需继续观察。</w:t>
            </w:r>
          </w:p>
          <w:p w14:paraId="4EBF8A6B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252E0D41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：产品结构和盈利能力是否发生明显变化？</w:t>
            </w:r>
          </w:p>
          <w:p w14:paraId="72BF3D0B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从已披露的一季度情况看，</w:t>
            </w:r>
            <w:r>
              <w:rPr>
                <w:rFonts w:hint="eastAsia"/>
                <w:sz w:val="24"/>
                <w:szCs w:val="24"/>
              </w:rPr>
              <w:t>虽然特</w:t>
            </w:r>
            <w:r>
              <w:rPr>
                <w:rFonts w:hint="eastAsia"/>
                <w:sz w:val="24"/>
                <w:szCs w:val="24"/>
              </w:rPr>
              <w:t>A+</w:t>
            </w:r>
            <w:r>
              <w:rPr>
                <w:rFonts w:hint="eastAsia"/>
                <w:sz w:val="24"/>
                <w:szCs w:val="24"/>
              </w:rPr>
              <w:t>类</w:t>
            </w:r>
            <w:r>
              <w:rPr>
                <w:sz w:val="24"/>
                <w:szCs w:val="24"/>
              </w:rPr>
              <w:t>产品</w:t>
            </w:r>
            <w:r>
              <w:rPr>
                <w:rFonts w:hint="eastAsia"/>
                <w:sz w:val="24"/>
                <w:szCs w:val="24"/>
              </w:rPr>
              <w:t>占比同比下降，但毛利率却有所上升</w:t>
            </w:r>
            <w:r>
              <w:rPr>
                <w:sz w:val="24"/>
                <w:szCs w:val="24"/>
              </w:rPr>
              <w:t>。评价产品盈利能力，不能只看表观价格或毛利率，还要结合费用投入、折扣政策、渠道利润和动销情况综合判断。</w:t>
            </w:r>
          </w:p>
          <w:p w14:paraId="2D95C54F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高端产品通常需要更高市场投入，部分大众价位产品虽然表观价格</w:t>
            </w:r>
            <w:r>
              <w:rPr>
                <w:sz w:val="24"/>
                <w:szCs w:val="24"/>
              </w:rPr>
              <w:t>较低，但</w:t>
            </w:r>
            <w:r>
              <w:rPr>
                <w:rFonts w:hint="eastAsia"/>
                <w:sz w:val="24"/>
                <w:szCs w:val="24"/>
              </w:rPr>
              <w:t>在给经销商让利后的实际毛利率并不低</w:t>
            </w:r>
            <w:r>
              <w:rPr>
                <w:sz w:val="24"/>
                <w:szCs w:val="24"/>
              </w:rPr>
              <w:t>。公司</w:t>
            </w:r>
            <w:r>
              <w:rPr>
                <w:rFonts w:hint="eastAsia"/>
                <w:sz w:val="24"/>
                <w:szCs w:val="24"/>
              </w:rPr>
              <w:t>二季度后的</w:t>
            </w:r>
            <w:r>
              <w:rPr>
                <w:sz w:val="24"/>
                <w:szCs w:val="24"/>
              </w:rPr>
              <w:t>产品结构</w:t>
            </w:r>
            <w:r>
              <w:rPr>
                <w:rFonts w:hint="eastAsia"/>
                <w:sz w:val="24"/>
                <w:szCs w:val="24"/>
              </w:rPr>
              <w:t>将更趋稳定，盈利能力也会相对稳定</w:t>
            </w:r>
            <w:r>
              <w:rPr>
                <w:sz w:val="24"/>
                <w:szCs w:val="24"/>
              </w:rPr>
              <w:t>。</w:t>
            </w:r>
          </w:p>
          <w:p w14:paraId="65BF3A58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742E2938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：四开、对开、淡雅等主力产品的渠道利润情况如何？</w:t>
            </w:r>
          </w:p>
          <w:p w14:paraId="29F02EB9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公司</w:t>
            </w:r>
            <w:r>
              <w:rPr>
                <w:rFonts w:hint="eastAsia"/>
                <w:sz w:val="24"/>
                <w:szCs w:val="24"/>
              </w:rPr>
              <w:t>难以获得精准的渠道利润情况，我们通常</w:t>
            </w:r>
            <w:r>
              <w:rPr>
                <w:sz w:val="24"/>
                <w:szCs w:val="24"/>
              </w:rPr>
              <w:t>通过</w:t>
            </w:r>
            <w:r>
              <w:rPr>
                <w:rFonts w:hint="eastAsia"/>
                <w:sz w:val="24"/>
                <w:szCs w:val="24"/>
              </w:rPr>
              <w:t>市场调研、政策测算和观察</w:t>
            </w:r>
            <w:r>
              <w:rPr>
                <w:sz w:val="24"/>
                <w:szCs w:val="24"/>
              </w:rPr>
              <w:t>经销商行为判断渠道利润状态。如果</w:t>
            </w:r>
            <w:r>
              <w:rPr>
                <w:rFonts w:hint="eastAsia"/>
                <w:sz w:val="24"/>
                <w:szCs w:val="24"/>
              </w:rPr>
              <w:t>没有核心</w:t>
            </w:r>
            <w:r>
              <w:rPr>
                <w:sz w:val="24"/>
                <w:szCs w:val="24"/>
              </w:rPr>
              <w:t>经销商</w:t>
            </w:r>
            <w:r>
              <w:rPr>
                <w:rFonts w:hint="eastAsia"/>
                <w:sz w:val="24"/>
                <w:szCs w:val="24"/>
              </w:rPr>
              <w:t>非特殊原因提出退出意向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且拟加盟的商家增多，</w:t>
            </w:r>
            <w:r>
              <w:rPr>
                <w:sz w:val="24"/>
                <w:szCs w:val="24"/>
              </w:rPr>
              <w:t>说明利润体系总体处于合理区间。</w:t>
            </w:r>
          </w:p>
          <w:p w14:paraId="7E3D3FE7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目前公司核心产品渠道运行整体稳定，</w:t>
            </w:r>
            <w:r>
              <w:rPr>
                <w:rFonts w:hint="eastAsia"/>
                <w:sz w:val="24"/>
                <w:szCs w:val="24"/>
              </w:rPr>
              <w:t>无</w:t>
            </w:r>
            <w:r>
              <w:rPr>
                <w:sz w:val="24"/>
                <w:szCs w:val="24"/>
              </w:rPr>
              <w:t>核心经销商流失。公司</w:t>
            </w:r>
            <w:r>
              <w:rPr>
                <w:rFonts w:hint="eastAsia"/>
                <w:sz w:val="24"/>
                <w:szCs w:val="24"/>
              </w:rPr>
              <w:t>也会</w:t>
            </w:r>
            <w:r>
              <w:rPr>
                <w:sz w:val="24"/>
                <w:szCs w:val="24"/>
              </w:rPr>
              <w:t>根据市场情况动态优化客户结构，</w:t>
            </w:r>
            <w:r>
              <w:rPr>
                <w:rFonts w:hint="eastAsia"/>
                <w:sz w:val="24"/>
                <w:szCs w:val="24"/>
              </w:rPr>
              <w:t>将</w:t>
            </w:r>
            <w:r>
              <w:rPr>
                <w:sz w:val="24"/>
                <w:szCs w:val="24"/>
              </w:rPr>
              <w:t>部分</w:t>
            </w:r>
            <w:r>
              <w:rPr>
                <w:rFonts w:hint="eastAsia"/>
                <w:sz w:val="24"/>
                <w:szCs w:val="24"/>
              </w:rPr>
              <w:t>理念提升难、</w:t>
            </w:r>
            <w:proofErr w:type="gramStart"/>
            <w:r>
              <w:rPr>
                <w:rFonts w:hint="eastAsia"/>
                <w:sz w:val="24"/>
                <w:szCs w:val="24"/>
              </w:rPr>
              <w:t>评级低</w:t>
            </w:r>
            <w:proofErr w:type="gramEnd"/>
            <w:r>
              <w:rPr>
                <w:rFonts w:hint="eastAsia"/>
                <w:sz w:val="24"/>
                <w:szCs w:val="24"/>
              </w:rPr>
              <w:t>的</w:t>
            </w:r>
            <w:r>
              <w:rPr>
                <w:sz w:val="24"/>
                <w:szCs w:val="24"/>
              </w:rPr>
              <w:t>小规模</w:t>
            </w:r>
            <w:r>
              <w:rPr>
                <w:rFonts w:hint="eastAsia"/>
                <w:sz w:val="24"/>
                <w:szCs w:val="24"/>
              </w:rPr>
              <w:t>商家转化为二级渠道商</w:t>
            </w:r>
            <w:r>
              <w:rPr>
                <w:sz w:val="24"/>
                <w:szCs w:val="24"/>
              </w:rPr>
              <w:t>。</w:t>
            </w:r>
          </w:p>
          <w:p w14:paraId="0EC972D0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61464CA2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：</w:t>
            </w:r>
            <w:r>
              <w:rPr>
                <w:b/>
                <w:sz w:val="24"/>
                <w:szCs w:val="24"/>
              </w:rPr>
              <w:t>省内经销商体系是否稳定？</w:t>
            </w:r>
          </w:p>
          <w:p w14:paraId="60F6D018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公司经销商体系总体稳定。很多经销商长期经营公司产品，伴随公司发展逐步成长，对品牌、产品和渠道体系有较强认同。</w:t>
            </w:r>
          </w:p>
          <w:p w14:paraId="779A2279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即使在行业调整</w:t>
            </w:r>
            <w:r>
              <w:rPr>
                <w:rFonts w:hint="eastAsia"/>
                <w:sz w:val="24"/>
                <w:szCs w:val="24"/>
              </w:rPr>
              <w:t>期</w:t>
            </w:r>
            <w:r>
              <w:rPr>
                <w:sz w:val="24"/>
                <w:szCs w:val="24"/>
              </w:rPr>
              <w:t>，公司经销商</w:t>
            </w:r>
            <w:r>
              <w:rPr>
                <w:rFonts w:hint="eastAsia"/>
                <w:sz w:val="24"/>
                <w:szCs w:val="24"/>
              </w:rPr>
              <w:t>绝大部分能够</w:t>
            </w:r>
            <w:r>
              <w:rPr>
                <w:sz w:val="24"/>
                <w:szCs w:val="24"/>
              </w:rPr>
              <w:t>保持盈利。稳定的渠道</w:t>
            </w:r>
            <w:r>
              <w:rPr>
                <w:rFonts w:hint="eastAsia"/>
                <w:sz w:val="24"/>
                <w:szCs w:val="24"/>
              </w:rPr>
              <w:t>利润</w:t>
            </w:r>
            <w:r>
              <w:rPr>
                <w:sz w:val="24"/>
                <w:szCs w:val="24"/>
              </w:rPr>
              <w:t>，是公司渠道体系</w:t>
            </w:r>
            <w:r>
              <w:rPr>
                <w:rFonts w:hint="eastAsia"/>
                <w:sz w:val="24"/>
                <w:szCs w:val="24"/>
              </w:rPr>
              <w:t>稳定</w:t>
            </w:r>
            <w:r>
              <w:rPr>
                <w:sz w:val="24"/>
                <w:szCs w:val="24"/>
              </w:rPr>
              <w:t>的重要基础。</w:t>
            </w:r>
          </w:p>
          <w:p w14:paraId="6F298287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26815793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：省外市场推进策略是否会因行业环境变化而调整？</w:t>
            </w:r>
          </w:p>
          <w:p w14:paraId="4B0976D9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省外市场不能简单复制省内经验，需要结合当地市场基础、经销商资源和消费者认知稳步培育。公司仍</w:t>
            </w:r>
            <w:r>
              <w:rPr>
                <w:rFonts w:hint="eastAsia"/>
                <w:sz w:val="24"/>
                <w:szCs w:val="24"/>
              </w:rPr>
              <w:t>将</w:t>
            </w:r>
            <w:proofErr w:type="gramStart"/>
            <w:r>
              <w:rPr>
                <w:sz w:val="24"/>
                <w:szCs w:val="24"/>
              </w:rPr>
              <w:t>按照长期</w:t>
            </w:r>
            <w:proofErr w:type="gramEnd"/>
            <w:r>
              <w:rPr>
                <w:sz w:val="24"/>
                <w:szCs w:val="24"/>
              </w:rPr>
              <w:t>战略推进，继续聚焦重点区域、重点客户和重点单品，寻找有发展潜力、有资源、有合作意愿的经销商，长期扶持、久久为功</w:t>
            </w:r>
            <w:r>
              <w:rPr>
                <w:sz w:val="24"/>
                <w:szCs w:val="24"/>
              </w:rPr>
              <w:t>。</w:t>
            </w:r>
          </w:p>
          <w:p w14:paraId="45213182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2575176D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：公司如何应对线上低价平台和价格管控问题？</w:t>
            </w:r>
          </w:p>
          <w:p w14:paraId="18108A37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公司会持续</w:t>
            </w:r>
            <w:proofErr w:type="gramStart"/>
            <w:r>
              <w:rPr>
                <w:sz w:val="24"/>
                <w:szCs w:val="24"/>
              </w:rPr>
              <w:t>关注线</w:t>
            </w:r>
            <w:proofErr w:type="gramEnd"/>
            <w:r>
              <w:rPr>
                <w:sz w:val="24"/>
                <w:szCs w:val="24"/>
              </w:rPr>
              <w:t>上平台价格表现，但不会简单将所有低价都认定为渠道乱价。部分低价可能来自平台补贴、短期引流、非主流产品或小规模交易。</w:t>
            </w:r>
          </w:p>
          <w:p w14:paraId="4D931CBF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如果低价行为持续存在且形成一定规模，公司会追</w:t>
            </w:r>
            <w:r>
              <w:rPr>
                <w:rFonts w:hint="eastAsia"/>
                <w:sz w:val="24"/>
                <w:szCs w:val="24"/>
              </w:rPr>
              <w:t>查</w:t>
            </w:r>
            <w:r>
              <w:rPr>
                <w:sz w:val="24"/>
                <w:szCs w:val="24"/>
              </w:rPr>
              <w:t>货源</w:t>
            </w:r>
            <w:r>
              <w:rPr>
                <w:rFonts w:hint="eastAsia"/>
                <w:sz w:val="24"/>
                <w:szCs w:val="24"/>
              </w:rPr>
              <w:t>是否正宗、政策是否存在漏洞</w:t>
            </w:r>
            <w:r>
              <w:rPr>
                <w:sz w:val="24"/>
                <w:szCs w:val="24"/>
              </w:rPr>
              <w:t>并采取相应措施。公司不会为了短期流量配合</w:t>
            </w:r>
            <w:r>
              <w:rPr>
                <w:rFonts w:hint="eastAsia"/>
                <w:sz w:val="24"/>
                <w:szCs w:val="24"/>
              </w:rPr>
              <w:t>平台低价而扰乱市场秩序</w:t>
            </w:r>
            <w:r>
              <w:rPr>
                <w:sz w:val="24"/>
                <w:szCs w:val="24"/>
              </w:rPr>
              <w:t>。</w:t>
            </w:r>
          </w:p>
          <w:p w14:paraId="1FC2B124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0B127F2F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</w:rPr>
              <w:t>：当前政商务消费和宴请场景变化对公司有何影响？</w:t>
            </w:r>
          </w:p>
          <w:p w14:paraId="5FA5DE07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当前消费场景并非完全消失，真正受影响较大的是存在利益关联或不合</w:t>
            </w:r>
            <w:proofErr w:type="gramStart"/>
            <w:r>
              <w:rPr>
                <w:sz w:val="24"/>
                <w:szCs w:val="24"/>
              </w:rPr>
              <w:t>规</w:t>
            </w:r>
            <w:proofErr w:type="gramEnd"/>
            <w:r>
              <w:rPr>
                <w:sz w:val="24"/>
                <w:szCs w:val="24"/>
              </w:rPr>
              <w:t>风险的宴请、送礼场景，亲友聚会、正常社交和合</w:t>
            </w:r>
            <w:proofErr w:type="gramStart"/>
            <w:r>
              <w:rPr>
                <w:sz w:val="24"/>
                <w:szCs w:val="24"/>
              </w:rPr>
              <w:t>规</w:t>
            </w:r>
            <w:proofErr w:type="gramEnd"/>
            <w:r>
              <w:rPr>
                <w:sz w:val="24"/>
                <w:szCs w:val="24"/>
              </w:rPr>
              <w:t>商务往来仍然存在。</w:t>
            </w:r>
            <w:r>
              <w:rPr>
                <w:rFonts w:hint="eastAsia"/>
                <w:sz w:val="24"/>
                <w:szCs w:val="24"/>
              </w:rPr>
              <w:t>我们认为社会已进入新常态，这个因素对企业的影响会越来越小。</w:t>
            </w:r>
          </w:p>
          <w:p w14:paraId="794395F8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公司将在新常态下围绕</w:t>
            </w:r>
            <w:r>
              <w:rPr>
                <w:sz w:val="24"/>
                <w:szCs w:val="24"/>
              </w:rPr>
              <w:t>真实、合</w:t>
            </w:r>
            <w:proofErr w:type="gramStart"/>
            <w:r>
              <w:rPr>
                <w:sz w:val="24"/>
                <w:szCs w:val="24"/>
              </w:rPr>
              <w:t>规</w:t>
            </w:r>
            <w:proofErr w:type="gramEnd"/>
            <w:r>
              <w:rPr>
                <w:sz w:val="24"/>
                <w:szCs w:val="24"/>
              </w:rPr>
              <w:t>的消费需求</w:t>
            </w:r>
            <w:r>
              <w:rPr>
                <w:rFonts w:hint="eastAsia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>做好产品</w:t>
            </w:r>
            <w:r>
              <w:rPr>
                <w:rFonts w:hint="eastAsia"/>
                <w:sz w:val="24"/>
                <w:szCs w:val="24"/>
              </w:rPr>
              <w:t>的宣传和推广工作</w:t>
            </w:r>
            <w:r>
              <w:rPr>
                <w:sz w:val="24"/>
                <w:szCs w:val="24"/>
              </w:rPr>
              <w:t>。</w:t>
            </w:r>
          </w:p>
          <w:p w14:paraId="30DD4CB9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34D511FA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>：如何</w:t>
            </w:r>
            <w:proofErr w:type="gramStart"/>
            <w:r>
              <w:rPr>
                <w:b/>
                <w:sz w:val="24"/>
                <w:szCs w:val="24"/>
              </w:rPr>
              <w:t>看待国缘</w:t>
            </w:r>
            <w:proofErr w:type="gramEnd"/>
            <w:r>
              <w:rPr>
                <w:b/>
                <w:sz w:val="24"/>
                <w:szCs w:val="24"/>
              </w:rPr>
              <w:t>淡雅和价格带变化？</w:t>
            </w:r>
          </w:p>
          <w:p w14:paraId="6D1F6335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proofErr w:type="gramStart"/>
            <w:r>
              <w:rPr>
                <w:sz w:val="24"/>
                <w:szCs w:val="24"/>
              </w:rPr>
              <w:t>国缘淡雅</w:t>
            </w:r>
            <w:proofErr w:type="gramEnd"/>
            <w:r>
              <w:rPr>
                <w:sz w:val="24"/>
                <w:szCs w:val="24"/>
              </w:rPr>
              <w:t>近年来表现稳健，受益于品牌下沉、渠道覆盖和消费结构变化。过去几年行业结构升级较快，当前市场回调后，</w:t>
            </w:r>
            <w:proofErr w:type="gramStart"/>
            <w:r>
              <w:rPr>
                <w:sz w:val="24"/>
                <w:szCs w:val="24"/>
              </w:rPr>
              <w:t>各价格带会</w:t>
            </w:r>
            <w:proofErr w:type="gramEnd"/>
            <w:r>
              <w:rPr>
                <w:sz w:val="24"/>
                <w:szCs w:val="24"/>
              </w:rPr>
              <w:t>逐步回到更均衡、更合理的状态。</w:t>
            </w:r>
          </w:p>
          <w:p w14:paraId="682DDBB7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未来消费升级仍会存在，但节奏不会像前几年那样快速。消费者会更加重视品牌、品质、性价比和场景适配，价格带结构将更加稳定。</w:t>
            </w:r>
          </w:p>
          <w:p w14:paraId="4252F83C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040A0033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</w:rPr>
              <w:t>：低端</w:t>
            </w:r>
            <w:proofErr w:type="gramStart"/>
            <w:r>
              <w:rPr>
                <w:b/>
                <w:sz w:val="24"/>
                <w:szCs w:val="24"/>
              </w:rPr>
              <w:t>及光瓶酒</w:t>
            </w:r>
            <w:proofErr w:type="gramEnd"/>
            <w:r>
              <w:rPr>
                <w:b/>
                <w:sz w:val="24"/>
                <w:szCs w:val="24"/>
              </w:rPr>
              <w:t>市场是否会重新变得重要</w:t>
            </w:r>
            <w:r>
              <w:rPr>
                <w:b/>
                <w:sz w:val="24"/>
                <w:szCs w:val="24"/>
              </w:rPr>
              <w:t>？</w:t>
            </w:r>
          </w:p>
          <w:p w14:paraId="0EB6554F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低价位市场长期存在，但不能简单理解为只靠低价就能做大。低端</w:t>
            </w:r>
            <w:proofErr w:type="gramStart"/>
            <w:r>
              <w:rPr>
                <w:sz w:val="24"/>
                <w:szCs w:val="24"/>
              </w:rPr>
              <w:t>和光瓶酒</w:t>
            </w:r>
            <w:proofErr w:type="gramEnd"/>
            <w:r>
              <w:rPr>
                <w:sz w:val="24"/>
                <w:szCs w:val="24"/>
              </w:rPr>
              <w:t>产品也需要渠道效率、成本控制和稳定动销能力。</w:t>
            </w:r>
          </w:p>
          <w:p w14:paraId="03F374B2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公司认为，低价位产品可以通过性价比</w:t>
            </w:r>
            <w:r>
              <w:rPr>
                <w:rFonts w:hint="eastAsia"/>
                <w:sz w:val="24"/>
                <w:szCs w:val="24"/>
              </w:rPr>
              <w:t>和扎实的推广</w:t>
            </w:r>
            <w:r>
              <w:rPr>
                <w:sz w:val="24"/>
                <w:szCs w:val="24"/>
              </w:rPr>
              <w:t>满足部分消费需求，但如果要进入更高价格带并形成长期品牌价值，仍需依靠品牌特色、品质表达和消费者认同。</w:t>
            </w:r>
          </w:p>
          <w:p w14:paraId="2DD07E99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32957452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>：地方中小酒厂出清是否会带来并购机会？</w:t>
            </w:r>
          </w:p>
          <w:p w14:paraId="2A9C453B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公司认为，多数中小酒厂资产本身对</w:t>
            </w:r>
            <w:proofErr w:type="gramStart"/>
            <w:r>
              <w:rPr>
                <w:sz w:val="24"/>
                <w:szCs w:val="24"/>
              </w:rPr>
              <w:t>大型酒企吸引力</w:t>
            </w:r>
            <w:proofErr w:type="gramEnd"/>
            <w:r>
              <w:rPr>
                <w:sz w:val="24"/>
                <w:szCs w:val="24"/>
              </w:rPr>
              <w:t>有限。小酒厂通常规模较小、管理半径大、自动化水平和质量体系相对不足，整合后可能带来较高管理成本。</w:t>
            </w:r>
          </w:p>
          <w:p w14:paraId="4818C14C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大酒厂前几年普遍进行了产能建设，目前核心问</w:t>
            </w:r>
            <w:r>
              <w:rPr>
                <w:sz w:val="24"/>
                <w:szCs w:val="24"/>
              </w:rPr>
              <w:t>题不是产能不足，而是如何让产能、储备和真实需求相匹配。中小酒厂出清</w:t>
            </w:r>
            <w:r>
              <w:rPr>
                <w:rFonts w:hint="eastAsia"/>
                <w:sz w:val="24"/>
                <w:szCs w:val="24"/>
              </w:rPr>
              <w:t>会使</w:t>
            </w:r>
            <w:r>
              <w:rPr>
                <w:sz w:val="24"/>
                <w:szCs w:val="24"/>
              </w:rPr>
              <w:t>市场份额和消费者心智</w:t>
            </w:r>
            <w:r>
              <w:rPr>
                <w:rFonts w:hint="eastAsia"/>
                <w:sz w:val="24"/>
                <w:szCs w:val="24"/>
              </w:rPr>
              <w:t>进一步</w:t>
            </w:r>
            <w:r>
              <w:rPr>
                <w:sz w:val="24"/>
                <w:szCs w:val="24"/>
              </w:rPr>
              <w:t>向优势品牌集中。</w:t>
            </w:r>
          </w:p>
          <w:p w14:paraId="78BC6AC8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6F596341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</w:rPr>
              <w:t>：怎么看省内竞争格局？</w:t>
            </w:r>
          </w:p>
          <w:p w14:paraId="5341A455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公司认为省内竞争格局总体稳定，竞争态势趋于理性。</w:t>
            </w:r>
            <w:r>
              <w:rPr>
                <w:rFonts w:hint="eastAsia"/>
                <w:sz w:val="24"/>
                <w:szCs w:val="24"/>
              </w:rPr>
              <w:t>近几年本地品牌总体市场占有率有所下滑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</w:rPr>
              <w:t>本地</w:t>
            </w:r>
            <w:proofErr w:type="gramStart"/>
            <w:r>
              <w:rPr>
                <w:rFonts w:hint="eastAsia"/>
                <w:sz w:val="24"/>
                <w:szCs w:val="24"/>
              </w:rPr>
              <w:t>酒企应</w:t>
            </w:r>
            <w:proofErr w:type="gramEnd"/>
            <w:r>
              <w:rPr>
                <w:rFonts w:hint="eastAsia"/>
                <w:sz w:val="24"/>
                <w:szCs w:val="24"/>
              </w:rPr>
              <w:t>以振兴苏酒为己任，更加重视</w:t>
            </w:r>
            <w:r>
              <w:rPr>
                <w:sz w:val="24"/>
                <w:szCs w:val="24"/>
              </w:rPr>
              <w:t>产品品质、渠道能力、品牌认知和消费者</w:t>
            </w:r>
            <w:r>
              <w:rPr>
                <w:rFonts w:hint="eastAsia"/>
                <w:sz w:val="24"/>
                <w:szCs w:val="24"/>
              </w:rPr>
              <w:t>喜好变迁，利用好地利、人和优势，提升本地品牌的竞争力</w:t>
            </w:r>
            <w:r>
              <w:rPr>
                <w:sz w:val="24"/>
                <w:szCs w:val="24"/>
              </w:rPr>
              <w:t>。</w:t>
            </w:r>
          </w:p>
          <w:p w14:paraId="184A2421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6F58B1E5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16</w:t>
            </w:r>
            <w:r>
              <w:rPr>
                <w:b/>
                <w:sz w:val="24"/>
                <w:szCs w:val="24"/>
              </w:rPr>
              <w:t>：公司在年轻化、低度化方面有哪些思考？</w:t>
            </w:r>
          </w:p>
          <w:p w14:paraId="38AD88F7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年轻化</w:t>
            </w:r>
            <w:r>
              <w:rPr>
                <w:rFonts w:hint="eastAsia"/>
                <w:sz w:val="24"/>
                <w:szCs w:val="24"/>
              </w:rPr>
              <w:t>、低度</w:t>
            </w:r>
            <w:proofErr w:type="gramStart"/>
            <w:r>
              <w:rPr>
                <w:rFonts w:hint="eastAsia"/>
                <w:sz w:val="24"/>
                <w:szCs w:val="24"/>
              </w:rPr>
              <w:t>化</w:t>
            </w:r>
            <w:r>
              <w:rPr>
                <w:sz w:val="24"/>
                <w:szCs w:val="24"/>
              </w:rPr>
              <w:t>不能</w:t>
            </w:r>
            <w:proofErr w:type="gramEnd"/>
            <w:r>
              <w:rPr>
                <w:sz w:val="24"/>
                <w:szCs w:val="24"/>
              </w:rPr>
              <w:t>简单理解为传统白酒直接降度。传统白酒如果降到较低度数，长期储存、品质稳定和口感保持都面临更高要求。</w:t>
            </w:r>
          </w:p>
          <w:p w14:paraId="746C3F6C" w14:textId="77777777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面向年轻消费者的产品可以采用更接近</w:t>
            </w:r>
            <w:proofErr w:type="gramStart"/>
            <w:r>
              <w:rPr>
                <w:sz w:val="24"/>
                <w:szCs w:val="24"/>
              </w:rPr>
              <w:t>快消品</w:t>
            </w:r>
            <w:proofErr w:type="gramEnd"/>
            <w:r>
              <w:rPr>
                <w:sz w:val="24"/>
                <w:szCs w:val="24"/>
              </w:rPr>
              <w:t>的逻辑，</w:t>
            </w:r>
            <w:proofErr w:type="gramStart"/>
            <w:r>
              <w:rPr>
                <w:sz w:val="24"/>
                <w:szCs w:val="24"/>
              </w:rPr>
              <w:t>围绕低</w:t>
            </w:r>
            <w:r>
              <w:rPr>
                <w:rFonts w:hint="eastAsia"/>
                <w:sz w:val="24"/>
                <w:szCs w:val="24"/>
              </w:rPr>
              <w:t>酒</w:t>
            </w:r>
            <w:proofErr w:type="gramEnd"/>
            <w:r>
              <w:rPr>
                <w:sz w:val="24"/>
                <w:szCs w:val="24"/>
              </w:rPr>
              <w:t>度、</w:t>
            </w:r>
            <w:r>
              <w:rPr>
                <w:rFonts w:hint="eastAsia"/>
                <w:sz w:val="24"/>
                <w:szCs w:val="24"/>
              </w:rPr>
              <w:t>舒爽适</w:t>
            </w:r>
            <w:r>
              <w:rPr>
                <w:sz w:val="24"/>
                <w:szCs w:val="24"/>
              </w:rPr>
              <w:t>口、便捷饮用和社交场景进行探索。公司会根据市场反馈，在合适范围内进行产品尝试。</w:t>
            </w:r>
          </w:p>
          <w:p w14:paraId="77CA0E50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1D940B7A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</w:rPr>
              <w:t>：功能酒、保健</w:t>
            </w:r>
            <w:proofErr w:type="gramStart"/>
            <w:r>
              <w:rPr>
                <w:b/>
                <w:sz w:val="24"/>
                <w:szCs w:val="24"/>
              </w:rPr>
              <w:t>酒方向</w:t>
            </w:r>
            <w:proofErr w:type="gramEnd"/>
            <w:r>
              <w:rPr>
                <w:b/>
                <w:sz w:val="24"/>
                <w:szCs w:val="24"/>
              </w:rPr>
              <w:t>是否有机会？</w:t>
            </w:r>
          </w:p>
          <w:p w14:paraId="5388F6E6" w14:textId="77777777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功能酒、保健</w:t>
            </w:r>
            <w:proofErr w:type="gramStart"/>
            <w:r>
              <w:rPr>
                <w:sz w:val="24"/>
                <w:szCs w:val="24"/>
              </w:rPr>
              <w:t>酒方向</w:t>
            </w:r>
            <w:proofErr w:type="gramEnd"/>
            <w:r>
              <w:rPr>
                <w:sz w:val="24"/>
                <w:szCs w:val="24"/>
              </w:rPr>
              <w:t>具备一定市场空间，但真正做</w:t>
            </w:r>
            <w:r>
              <w:rPr>
                <w:rFonts w:hint="eastAsia"/>
                <w:sz w:val="24"/>
                <w:szCs w:val="24"/>
              </w:rPr>
              <w:t>大</w:t>
            </w:r>
            <w:r>
              <w:rPr>
                <w:sz w:val="24"/>
                <w:szCs w:val="24"/>
              </w:rPr>
              <w:t>并不容易。相关产品不仅需要概念表达，更需要功能成分、口感、研发、生产、合</w:t>
            </w:r>
            <w:proofErr w:type="gramStart"/>
            <w:r>
              <w:rPr>
                <w:sz w:val="24"/>
                <w:szCs w:val="24"/>
              </w:rPr>
              <w:t>规</w:t>
            </w:r>
            <w:proofErr w:type="gramEnd"/>
            <w:r>
              <w:rPr>
                <w:sz w:val="24"/>
                <w:szCs w:val="24"/>
              </w:rPr>
              <w:t>和品牌表达的系统能力</w:t>
            </w:r>
            <w:r>
              <w:rPr>
                <w:rFonts w:hint="eastAsia"/>
                <w:sz w:val="24"/>
                <w:szCs w:val="24"/>
              </w:rPr>
              <w:t>，且当前市场容量并不大。</w:t>
            </w:r>
            <w:r>
              <w:rPr>
                <w:sz w:val="24"/>
                <w:szCs w:val="24"/>
              </w:rPr>
              <w:t>公司会关注相关趋势，但会坚持审慎</w:t>
            </w:r>
            <w:r>
              <w:rPr>
                <w:rFonts w:hint="eastAsia"/>
                <w:sz w:val="24"/>
                <w:szCs w:val="24"/>
              </w:rPr>
              <w:t>决策</w:t>
            </w:r>
            <w:r>
              <w:rPr>
                <w:sz w:val="24"/>
                <w:szCs w:val="24"/>
              </w:rPr>
              <w:t>。</w:t>
            </w:r>
          </w:p>
          <w:p w14:paraId="4874BC82" w14:textId="77777777" w:rsidR="004C435E" w:rsidRDefault="004C435E">
            <w:pPr>
              <w:spacing w:before="80" w:after="80"/>
              <w:ind w:firstLineChars="200" w:firstLine="482"/>
              <w:rPr>
                <w:b/>
                <w:sz w:val="24"/>
                <w:szCs w:val="24"/>
              </w:rPr>
            </w:pPr>
          </w:p>
          <w:p w14:paraId="417090BB" w14:textId="77777777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</w:rPr>
              <w:t>：分红和资本开支方面有何考虑？</w:t>
            </w:r>
          </w:p>
          <w:p w14:paraId="166D370B" w14:textId="18BB9F96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sz w:val="24"/>
                <w:szCs w:val="24"/>
              </w:rPr>
              <w:t>公司近几年分红比例已经处于较高水平。未来若利润水平不出现大幅下降，分红绝对金额具备保持相对稳定的基础，但最终仍需结合利润水平、经营环境、资本开支及股东</w:t>
            </w:r>
            <w:r w:rsidR="004D2590">
              <w:rPr>
                <w:rFonts w:hint="eastAsia"/>
                <w:sz w:val="24"/>
                <w:szCs w:val="24"/>
              </w:rPr>
              <w:t>意见</w:t>
            </w:r>
            <w:r>
              <w:rPr>
                <w:sz w:val="24"/>
                <w:szCs w:val="24"/>
              </w:rPr>
              <w:t>确定。</w:t>
            </w:r>
          </w:p>
          <w:p w14:paraId="76E5640E" w14:textId="6A4BEC5D" w:rsidR="004C435E" w:rsidRDefault="004E1B97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白酒企业现金流相对较好，但公司仍需保留一定资金用于</w:t>
            </w:r>
            <w:r w:rsidR="004D2590">
              <w:rPr>
                <w:rFonts w:hint="eastAsia"/>
                <w:sz w:val="24"/>
                <w:szCs w:val="24"/>
              </w:rPr>
              <w:t>扩能技改收尾、陶坛采购、</w:t>
            </w:r>
            <w:r>
              <w:rPr>
                <w:sz w:val="24"/>
                <w:szCs w:val="24"/>
              </w:rPr>
              <w:t>基酒储备</w:t>
            </w:r>
            <w:r w:rsidR="004D2590">
              <w:rPr>
                <w:rFonts w:hint="eastAsia"/>
                <w:sz w:val="24"/>
                <w:szCs w:val="24"/>
              </w:rPr>
              <w:t>以及新增长点培育</w:t>
            </w:r>
            <w:r>
              <w:rPr>
                <w:sz w:val="24"/>
                <w:szCs w:val="24"/>
              </w:rPr>
              <w:t>。</w:t>
            </w:r>
          </w:p>
          <w:p w14:paraId="593C5CBA" w14:textId="77777777" w:rsidR="004C435E" w:rsidRDefault="004C435E">
            <w:pPr>
              <w:ind w:firstLineChars="200" w:firstLine="480"/>
              <w:rPr>
                <w:sz w:val="24"/>
                <w:szCs w:val="24"/>
              </w:rPr>
            </w:pPr>
          </w:p>
          <w:p w14:paraId="7BBE3E48" w14:textId="00147DCF" w:rsidR="004C435E" w:rsidRDefault="004E1B97">
            <w:pPr>
              <w:spacing w:before="80" w:after="80"/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：</w:t>
            </w:r>
            <w:r>
              <w:rPr>
                <w:rFonts w:hint="eastAsia"/>
                <w:b/>
                <w:sz w:val="24"/>
                <w:szCs w:val="24"/>
              </w:rPr>
              <w:t>现在行业都在渠道去库存，咱们</w:t>
            </w:r>
            <w:r w:rsidR="004D2590">
              <w:rPr>
                <w:rFonts w:hint="eastAsia"/>
                <w:b/>
                <w:sz w:val="24"/>
                <w:szCs w:val="24"/>
              </w:rPr>
              <w:t>对这一块</w:t>
            </w:r>
            <w:r>
              <w:rPr>
                <w:b/>
                <w:sz w:val="24"/>
                <w:szCs w:val="24"/>
              </w:rPr>
              <w:t>现状怎么看？</w:t>
            </w:r>
          </w:p>
          <w:p w14:paraId="4C6853E1" w14:textId="679E7AB0" w:rsidR="004C435E" w:rsidRDefault="004E1B97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回复：</w:t>
            </w:r>
            <w:r>
              <w:rPr>
                <w:rFonts w:hint="eastAsia"/>
                <w:sz w:val="24"/>
                <w:szCs w:val="24"/>
              </w:rPr>
              <w:t>从</w:t>
            </w:r>
            <w:r w:rsidR="004D2590">
              <w:rPr>
                <w:rFonts w:hint="eastAsia"/>
                <w:sz w:val="24"/>
                <w:szCs w:val="24"/>
              </w:rPr>
              <w:t>我了解的情况看，确实</w:t>
            </w:r>
            <w:r>
              <w:rPr>
                <w:rFonts w:hint="eastAsia"/>
                <w:sz w:val="24"/>
                <w:szCs w:val="24"/>
              </w:rPr>
              <w:t>全行业</w:t>
            </w:r>
            <w:r w:rsidR="004D2590">
              <w:rPr>
                <w:rFonts w:hint="eastAsia"/>
                <w:sz w:val="24"/>
                <w:szCs w:val="24"/>
              </w:rPr>
              <w:t>都在</w:t>
            </w:r>
            <w:proofErr w:type="gramStart"/>
            <w:r w:rsidR="000F2A00" w:rsidRPr="000F2A00">
              <w:rPr>
                <w:rFonts w:hint="eastAsia"/>
                <w:sz w:val="24"/>
                <w:szCs w:val="24"/>
              </w:rPr>
              <w:t>去</w:t>
            </w:r>
            <w:r w:rsidR="004D2590">
              <w:rPr>
                <w:rFonts w:hint="eastAsia"/>
                <w:sz w:val="24"/>
                <w:szCs w:val="24"/>
              </w:rPr>
              <w:t>渠道</w:t>
            </w:r>
            <w:proofErr w:type="gramEnd"/>
            <w:r w:rsidR="004D2590">
              <w:rPr>
                <w:rFonts w:hint="eastAsia"/>
                <w:sz w:val="24"/>
                <w:szCs w:val="24"/>
              </w:rPr>
              <w:t>库存，但各家压力明显不一样。公司</w:t>
            </w:r>
            <w:r w:rsidR="0019438F">
              <w:rPr>
                <w:rFonts w:hint="eastAsia"/>
                <w:sz w:val="24"/>
                <w:szCs w:val="24"/>
              </w:rPr>
              <w:t>现在发货和终端实际走量匹配度</w:t>
            </w:r>
            <w:bookmarkStart w:id="0" w:name="_GoBack"/>
            <w:bookmarkEnd w:id="0"/>
            <w:r w:rsidR="004D2590">
              <w:rPr>
                <w:rFonts w:hint="eastAsia"/>
                <w:sz w:val="24"/>
                <w:szCs w:val="24"/>
              </w:rPr>
              <w:t>较</w:t>
            </w:r>
            <w:r>
              <w:rPr>
                <w:rFonts w:hint="eastAsia"/>
                <w:sz w:val="24"/>
                <w:szCs w:val="24"/>
              </w:rPr>
              <w:t>高，</w:t>
            </w:r>
            <w:r w:rsidR="004D2590">
              <w:rPr>
                <w:rFonts w:hint="eastAsia"/>
                <w:sz w:val="24"/>
                <w:szCs w:val="24"/>
              </w:rPr>
              <w:t>当前的渠道库存是可接受的，我们现在发货、收款都很</w:t>
            </w:r>
            <w:r w:rsidR="000F2A00">
              <w:rPr>
                <w:rFonts w:hint="eastAsia"/>
                <w:sz w:val="24"/>
                <w:szCs w:val="24"/>
              </w:rPr>
              <w:t>顺畅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5966C52A" w14:textId="77777777" w:rsidR="004C435E" w:rsidRDefault="004C435E">
            <w:pPr>
              <w:ind w:firstLineChars="200" w:firstLine="480"/>
              <w:rPr>
                <w:sz w:val="24"/>
                <w:szCs w:val="24"/>
              </w:rPr>
            </w:pPr>
          </w:p>
          <w:p w14:paraId="19886525" w14:textId="79F5E786" w:rsidR="000F2A00" w:rsidRDefault="004E1B97" w:rsidP="000F2A00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问题</w:t>
            </w:r>
            <w:r>
              <w:rPr>
                <w:b/>
                <w:sz w:val="24"/>
                <w:szCs w:val="24"/>
              </w:rPr>
              <w:t>2</w:t>
            </w:r>
            <w:r w:rsidRPr="000F2A00">
              <w:rPr>
                <w:b/>
                <w:bCs/>
                <w:sz w:val="24"/>
                <w:szCs w:val="24"/>
              </w:rPr>
              <w:t>0</w:t>
            </w:r>
            <w:r w:rsidRPr="000F2A00">
              <w:rPr>
                <w:rFonts w:hint="eastAsia"/>
                <w:b/>
                <w:bCs/>
                <w:sz w:val="24"/>
                <w:szCs w:val="24"/>
              </w:rPr>
              <w:t>：</w:t>
            </w:r>
            <w:proofErr w:type="gramStart"/>
            <w:r w:rsidR="000F2A00" w:rsidRPr="000F2A00">
              <w:rPr>
                <w:rFonts w:hint="eastAsia"/>
                <w:b/>
                <w:bCs/>
                <w:sz w:val="24"/>
                <w:szCs w:val="24"/>
              </w:rPr>
              <w:t>国缘</w:t>
            </w:r>
            <w:r w:rsidR="000F2A00">
              <w:rPr>
                <w:rFonts w:hint="eastAsia"/>
                <w:b/>
                <w:bCs/>
                <w:sz w:val="24"/>
                <w:szCs w:val="24"/>
              </w:rPr>
              <w:t>淡雅</w:t>
            </w:r>
            <w:proofErr w:type="gramEnd"/>
            <w:r w:rsidR="000F2A00">
              <w:rPr>
                <w:rFonts w:hint="eastAsia"/>
                <w:b/>
                <w:bCs/>
                <w:sz w:val="24"/>
                <w:szCs w:val="24"/>
              </w:rPr>
              <w:t>后续产品定位会不会调整？日常动销场景、销售渠道和其他产品有什么区别？</w:t>
            </w:r>
          </w:p>
          <w:p w14:paraId="209D002E" w14:textId="1AEC6546" w:rsidR="000F2A00" w:rsidRDefault="000F2A00" w:rsidP="000F2A00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回复</w:t>
            </w:r>
            <w:r>
              <w:rPr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淡雅是渠道</w:t>
            </w:r>
            <w:proofErr w:type="gramStart"/>
            <w:r>
              <w:rPr>
                <w:rFonts w:hint="eastAsia"/>
                <w:sz w:val="24"/>
                <w:szCs w:val="24"/>
              </w:rPr>
              <w:t>走量核心款</w:t>
            </w:r>
            <w:proofErr w:type="gramEnd"/>
            <w:r>
              <w:rPr>
                <w:rFonts w:hint="eastAsia"/>
                <w:sz w:val="24"/>
                <w:szCs w:val="24"/>
              </w:rPr>
              <w:t>，虽然价位相对偏低，但综合利润贡献不差。消费场景主要是日常朋友小聚、城乡宴席；渠道以传统烟酒店、批发部等流通渠道为主。早年公司对</w:t>
            </w:r>
            <w:proofErr w:type="gramStart"/>
            <w:r>
              <w:rPr>
                <w:rFonts w:hint="eastAsia"/>
                <w:sz w:val="24"/>
                <w:szCs w:val="24"/>
              </w:rPr>
              <w:t>雅系放量</w:t>
            </w:r>
            <w:proofErr w:type="gramEnd"/>
            <w:r>
              <w:rPr>
                <w:rFonts w:hint="eastAsia"/>
                <w:sz w:val="24"/>
                <w:szCs w:val="24"/>
              </w:rPr>
              <w:t>有所控制，这几年随着</w:t>
            </w:r>
            <w:proofErr w:type="gramStart"/>
            <w:r>
              <w:rPr>
                <w:rFonts w:hint="eastAsia"/>
                <w:sz w:val="24"/>
                <w:szCs w:val="24"/>
              </w:rPr>
              <w:t>国缘品牌</w:t>
            </w:r>
            <w:proofErr w:type="gramEnd"/>
            <w:r>
              <w:rPr>
                <w:rFonts w:hint="eastAsia"/>
                <w:sz w:val="24"/>
                <w:szCs w:val="24"/>
              </w:rPr>
              <w:t>群众基础扎实，顺势有序放开放量。</w:t>
            </w:r>
          </w:p>
          <w:p w14:paraId="1173188F" w14:textId="421C9FFB" w:rsidR="004C435E" w:rsidRDefault="004C435E">
            <w:pPr>
              <w:ind w:firstLineChars="200" w:firstLine="480"/>
              <w:rPr>
                <w:sz w:val="24"/>
                <w:szCs w:val="24"/>
              </w:rPr>
            </w:pPr>
          </w:p>
          <w:p w14:paraId="55DE2D1E" w14:textId="77777777" w:rsidR="000F2A00" w:rsidRDefault="004E1B97" w:rsidP="000F2A00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问题</w:t>
            </w:r>
            <w:r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>：</w:t>
            </w:r>
            <w:r w:rsidR="000F2A00">
              <w:rPr>
                <w:rFonts w:hint="eastAsia"/>
                <w:b/>
                <w:bCs/>
                <w:sz w:val="24"/>
                <w:szCs w:val="24"/>
              </w:rPr>
              <w:t>只做V系列的经销商，这两年经营压力是不是普遍很大？</w:t>
            </w:r>
          </w:p>
          <w:p w14:paraId="4775AAFE" w14:textId="77777777" w:rsidR="000F2A00" w:rsidRDefault="000F2A00" w:rsidP="000F2A00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回复</w:t>
            </w:r>
            <w:r>
              <w:rPr>
                <w:rFonts w:hint="eastAsia"/>
                <w:sz w:val="24"/>
                <w:szCs w:val="24"/>
              </w:rPr>
              <w:t>：团</w:t>
            </w:r>
            <w:proofErr w:type="gramStart"/>
            <w:r>
              <w:rPr>
                <w:rFonts w:hint="eastAsia"/>
                <w:sz w:val="24"/>
                <w:szCs w:val="24"/>
              </w:rPr>
              <w:t>购渠道</w:t>
            </w:r>
            <w:proofErr w:type="gramEnd"/>
            <w:r>
              <w:rPr>
                <w:rFonts w:hint="eastAsia"/>
                <w:sz w:val="24"/>
                <w:szCs w:val="24"/>
              </w:rPr>
              <w:t>的经销商这两年波动确实比较明显，但传统做大流通的经销商整体经营稳定。</w:t>
            </w:r>
          </w:p>
          <w:p w14:paraId="775568A5" w14:textId="77777777" w:rsidR="004C435E" w:rsidRDefault="004C435E">
            <w:pPr>
              <w:ind w:firstLineChars="200" w:firstLine="480"/>
              <w:rPr>
                <w:sz w:val="24"/>
                <w:szCs w:val="24"/>
              </w:rPr>
            </w:pPr>
          </w:p>
          <w:p w14:paraId="2CDB56CE" w14:textId="77777777" w:rsidR="001968D9" w:rsidRDefault="004E1B97" w:rsidP="001968D9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问题</w:t>
            </w:r>
            <w:r>
              <w:rPr>
                <w:rFonts w:hint="eastAsia"/>
                <w:b/>
                <w:bCs/>
                <w:sz w:val="24"/>
                <w:szCs w:val="24"/>
              </w:rPr>
              <w:t>22</w:t>
            </w:r>
            <w:r>
              <w:rPr>
                <w:rFonts w:hint="eastAsia"/>
                <w:b/>
                <w:bCs/>
                <w:sz w:val="24"/>
                <w:szCs w:val="24"/>
              </w:rPr>
              <w:t>：</w:t>
            </w:r>
            <w:r w:rsidR="001968D9">
              <w:rPr>
                <w:rFonts w:hint="eastAsia"/>
                <w:b/>
                <w:bCs/>
                <w:sz w:val="24"/>
                <w:szCs w:val="24"/>
              </w:rPr>
              <w:t>今年经销商任务、终端管控有没有调整？</w:t>
            </w:r>
          </w:p>
          <w:p w14:paraId="759DE60A" w14:textId="77777777" w:rsidR="001968D9" w:rsidRDefault="001968D9" w:rsidP="001968D9">
            <w:pPr>
              <w:ind w:firstLineChars="200" w:firstLine="482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回复</w:t>
            </w:r>
            <w:r>
              <w:rPr>
                <w:b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经销商年度任务不会一刀切下达，都是和经销商沟通后协商确定，整体有调整。早年是厂家</w:t>
            </w:r>
            <w:r>
              <w:rPr>
                <w:sz w:val="24"/>
                <w:szCs w:val="24"/>
              </w:rPr>
              <w:t>+经销商协销模式，现在升级“1+1+N”厂商共同作战机制。终端门店现在也纳入评优考核体系，纳入统一培训。</w:t>
            </w:r>
          </w:p>
          <w:p w14:paraId="68ED2385" w14:textId="2B3F1E20" w:rsidR="004C435E" w:rsidRDefault="004C435E" w:rsidP="001968D9">
            <w:pPr>
              <w:rPr>
                <w:sz w:val="24"/>
                <w:szCs w:val="24"/>
              </w:rPr>
            </w:pPr>
          </w:p>
        </w:tc>
      </w:tr>
    </w:tbl>
    <w:p w14:paraId="69B52508" w14:textId="77777777" w:rsidR="004C435E" w:rsidRDefault="004C435E">
      <w:pPr>
        <w:pStyle w:val="a4"/>
        <w:spacing w:before="4"/>
        <w:ind w:left="0" w:right="0"/>
      </w:pPr>
    </w:p>
    <w:sectPr w:rsidR="004C435E">
      <w:headerReference w:type="default" r:id="rId7"/>
      <w:pgSz w:w="11910" w:h="16840"/>
      <w:pgMar w:top="1080" w:right="992" w:bottom="280" w:left="1417" w:header="6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3FE60" w14:textId="77777777" w:rsidR="004E1B97" w:rsidRDefault="004E1B97">
      <w:r>
        <w:separator/>
      </w:r>
    </w:p>
  </w:endnote>
  <w:endnote w:type="continuationSeparator" w:id="0">
    <w:p w14:paraId="1C82CC12" w14:textId="77777777" w:rsidR="004E1B97" w:rsidRDefault="004E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C8EDF" w14:textId="77777777" w:rsidR="004E1B97" w:rsidRDefault="004E1B97">
      <w:r>
        <w:separator/>
      </w:r>
    </w:p>
  </w:footnote>
  <w:footnote w:type="continuationSeparator" w:id="0">
    <w:p w14:paraId="69AEA57F" w14:textId="77777777" w:rsidR="004E1B97" w:rsidRDefault="004E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A1EE0" w14:textId="77777777" w:rsidR="004C435E" w:rsidRDefault="004E1B97">
    <w:pPr>
      <w:pStyle w:val="a4"/>
      <w:spacing w:line="14" w:lineRule="auto"/>
      <w:ind w:left="0" w:righ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3B38F2" wp14:editId="42049DD7">
              <wp:simplePos x="0" y="0"/>
              <wp:positionH relativeFrom="page">
                <wp:posOffset>882015</wp:posOffset>
              </wp:positionH>
              <wp:positionV relativeFrom="page">
                <wp:posOffset>563245</wp:posOffset>
              </wp:positionV>
              <wp:extent cx="5976620" cy="127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766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6620">
                            <a:moveTo>
                              <a:pt x="0" y="0"/>
                            </a:moveTo>
                            <a:lnTo>
                              <a:pt x="597661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Graphic 1" o:spid="_x0000_s1026" o:spt="100" style="position:absolute;left:0pt;margin-left:69.45pt;margin-top:44.35pt;height:0.1pt;width:470.6pt;mso-position-horizontal-relative:page;mso-position-vertical-relative:page;z-index:-251657216;mso-width-relative:page;mso-height-relative:page;" filled="f" stroked="t" coordsize="5976620,1" o:gfxdata="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Mgi1x1QAAAAoBAAAPAAAAAAAAAAEA&#10;IAAAACIAAABkcnMvZG93bnJldi54bWxQSwECFAAUAAAACACHTuJAOlqxqhICAAB6BAAADgAAAAAA&#10;AAABACAAAAAkAQAAZHJzL2Uyb0RvYy54bWxQSwUGAAAAAAYABgBZAQAAqAUAAAAA&#10;" path="m0,0l5976619,0e">
              <v:fill on="f" focussize="0,0"/>
              <v:stroke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jNjU1MzZiOThmMjFlOWNhN2UxZDIyZDFmYjc4NTEifQ=="/>
  </w:docVars>
  <w:rsids>
    <w:rsidRoot w:val="00F341C8"/>
    <w:rsid w:val="FF9D8246"/>
    <w:rsid w:val="000007A1"/>
    <w:rsid w:val="00006319"/>
    <w:rsid w:val="0002027B"/>
    <w:rsid w:val="00086CF0"/>
    <w:rsid w:val="000F2A00"/>
    <w:rsid w:val="000F2EDD"/>
    <w:rsid w:val="00152EC3"/>
    <w:rsid w:val="0019438F"/>
    <w:rsid w:val="001968D9"/>
    <w:rsid w:val="00196E13"/>
    <w:rsid w:val="001A6E49"/>
    <w:rsid w:val="001A7753"/>
    <w:rsid w:val="001E6806"/>
    <w:rsid w:val="00267F55"/>
    <w:rsid w:val="002E082A"/>
    <w:rsid w:val="002F0F2C"/>
    <w:rsid w:val="002F5574"/>
    <w:rsid w:val="003922FA"/>
    <w:rsid w:val="003B5DB0"/>
    <w:rsid w:val="003D02EE"/>
    <w:rsid w:val="003D61B1"/>
    <w:rsid w:val="00400C18"/>
    <w:rsid w:val="00426229"/>
    <w:rsid w:val="004715EA"/>
    <w:rsid w:val="00471787"/>
    <w:rsid w:val="0049406D"/>
    <w:rsid w:val="004B4BB9"/>
    <w:rsid w:val="004C435E"/>
    <w:rsid w:val="004C7EAE"/>
    <w:rsid w:val="004D2590"/>
    <w:rsid w:val="004D553F"/>
    <w:rsid w:val="004E1B97"/>
    <w:rsid w:val="004E5CBE"/>
    <w:rsid w:val="004F1190"/>
    <w:rsid w:val="004F2C1C"/>
    <w:rsid w:val="004F4EFE"/>
    <w:rsid w:val="00501736"/>
    <w:rsid w:val="005037FC"/>
    <w:rsid w:val="00557486"/>
    <w:rsid w:val="005D1934"/>
    <w:rsid w:val="005E3C42"/>
    <w:rsid w:val="005E64FB"/>
    <w:rsid w:val="00630815"/>
    <w:rsid w:val="00672D78"/>
    <w:rsid w:val="006763AD"/>
    <w:rsid w:val="0069242F"/>
    <w:rsid w:val="006A256C"/>
    <w:rsid w:val="006A7154"/>
    <w:rsid w:val="006C27B2"/>
    <w:rsid w:val="006C4D89"/>
    <w:rsid w:val="006D13A1"/>
    <w:rsid w:val="0073401A"/>
    <w:rsid w:val="007801DE"/>
    <w:rsid w:val="008007C5"/>
    <w:rsid w:val="0083671C"/>
    <w:rsid w:val="00837CCE"/>
    <w:rsid w:val="00897D3A"/>
    <w:rsid w:val="008A3D41"/>
    <w:rsid w:val="008B58A9"/>
    <w:rsid w:val="00940137"/>
    <w:rsid w:val="0094536C"/>
    <w:rsid w:val="00947253"/>
    <w:rsid w:val="00993D50"/>
    <w:rsid w:val="009D5E4B"/>
    <w:rsid w:val="009F1CF8"/>
    <w:rsid w:val="00A07EB0"/>
    <w:rsid w:val="00A67A53"/>
    <w:rsid w:val="00B21E33"/>
    <w:rsid w:val="00B22D61"/>
    <w:rsid w:val="00B31C6D"/>
    <w:rsid w:val="00B86E9A"/>
    <w:rsid w:val="00B91BDB"/>
    <w:rsid w:val="00BB38AB"/>
    <w:rsid w:val="00BD4DF9"/>
    <w:rsid w:val="00BF455B"/>
    <w:rsid w:val="00C53845"/>
    <w:rsid w:val="00C64CD7"/>
    <w:rsid w:val="00C740F2"/>
    <w:rsid w:val="00CC36F6"/>
    <w:rsid w:val="00CE1FBB"/>
    <w:rsid w:val="00CE320D"/>
    <w:rsid w:val="00D4448F"/>
    <w:rsid w:val="00D444A5"/>
    <w:rsid w:val="00D52960"/>
    <w:rsid w:val="00D60CD4"/>
    <w:rsid w:val="00D84E72"/>
    <w:rsid w:val="00DA4118"/>
    <w:rsid w:val="00DD2A49"/>
    <w:rsid w:val="00DE0338"/>
    <w:rsid w:val="00E05E15"/>
    <w:rsid w:val="00E20F5D"/>
    <w:rsid w:val="00E46DB7"/>
    <w:rsid w:val="00E86FF5"/>
    <w:rsid w:val="00EA2D10"/>
    <w:rsid w:val="00F1103D"/>
    <w:rsid w:val="00F24DB3"/>
    <w:rsid w:val="00F341C8"/>
    <w:rsid w:val="00F61EFB"/>
    <w:rsid w:val="00F64D8E"/>
    <w:rsid w:val="00F8575B"/>
    <w:rsid w:val="00FE3BE7"/>
    <w:rsid w:val="01E813FA"/>
    <w:rsid w:val="02344912"/>
    <w:rsid w:val="02934EC9"/>
    <w:rsid w:val="035618EA"/>
    <w:rsid w:val="0508204E"/>
    <w:rsid w:val="05140A38"/>
    <w:rsid w:val="06024D67"/>
    <w:rsid w:val="065564A8"/>
    <w:rsid w:val="068218BB"/>
    <w:rsid w:val="08A2174C"/>
    <w:rsid w:val="0920065A"/>
    <w:rsid w:val="0C1D7822"/>
    <w:rsid w:val="0C281202"/>
    <w:rsid w:val="0CC46A1A"/>
    <w:rsid w:val="11840272"/>
    <w:rsid w:val="1239330E"/>
    <w:rsid w:val="12724FA6"/>
    <w:rsid w:val="134A6B98"/>
    <w:rsid w:val="13CC6064"/>
    <w:rsid w:val="1464466E"/>
    <w:rsid w:val="18CF0B6F"/>
    <w:rsid w:val="1A42081B"/>
    <w:rsid w:val="1BA049BE"/>
    <w:rsid w:val="1BFD529F"/>
    <w:rsid w:val="1D5F0140"/>
    <w:rsid w:val="1D765438"/>
    <w:rsid w:val="1EA73DB5"/>
    <w:rsid w:val="211D3841"/>
    <w:rsid w:val="22E07847"/>
    <w:rsid w:val="234E4D5F"/>
    <w:rsid w:val="24341478"/>
    <w:rsid w:val="26D558A5"/>
    <w:rsid w:val="26DC5ACE"/>
    <w:rsid w:val="271D4D8D"/>
    <w:rsid w:val="276D516D"/>
    <w:rsid w:val="27FE2FDF"/>
    <w:rsid w:val="28E30421"/>
    <w:rsid w:val="2D703A18"/>
    <w:rsid w:val="30C2321A"/>
    <w:rsid w:val="32B7644F"/>
    <w:rsid w:val="35711EBA"/>
    <w:rsid w:val="38250630"/>
    <w:rsid w:val="38CA6739"/>
    <w:rsid w:val="3941547E"/>
    <w:rsid w:val="3A1033DC"/>
    <w:rsid w:val="3A8B419B"/>
    <w:rsid w:val="3AED6500"/>
    <w:rsid w:val="3EB32F2C"/>
    <w:rsid w:val="40F651D2"/>
    <w:rsid w:val="41CF4659"/>
    <w:rsid w:val="44421112"/>
    <w:rsid w:val="44F155B0"/>
    <w:rsid w:val="46B74BA0"/>
    <w:rsid w:val="48452CF3"/>
    <w:rsid w:val="48A62ACD"/>
    <w:rsid w:val="49D2497F"/>
    <w:rsid w:val="4C161994"/>
    <w:rsid w:val="4DA263F4"/>
    <w:rsid w:val="558B0235"/>
    <w:rsid w:val="58CF09EC"/>
    <w:rsid w:val="597D6A47"/>
    <w:rsid w:val="59F36B5D"/>
    <w:rsid w:val="5ABE7E1B"/>
    <w:rsid w:val="5C7F2AAC"/>
    <w:rsid w:val="5F3E3D50"/>
    <w:rsid w:val="5F5E4D05"/>
    <w:rsid w:val="5FEA48E9"/>
    <w:rsid w:val="6093187E"/>
    <w:rsid w:val="609B79A5"/>
    <w:rsid w:val="60AA7762"/>
    <w:rsid w:val="61082B42"/>
    <w:rsid w:val="624F75D6"/>
    <w:rsid w:val="64860DFB"/>
    <w:rsid w:val="65AF2802"/>
    <w:rsid w:val="673A6B3D"/>
    <w:rsid w:val="691D4401"/>
    <w:rsid w:val="6C9C30BE"/>
    <w:rsid w:val="6D704099"/>
    <w:rsid w:val="6F2F0E79"/>
    <w:rsid w:val="72121263"/>
    <w:rsid w:val="742F0F2B"/>
    <w:rsid w:val="757F7FF2"/>
    <w:rsid w:val="75D92DD5"/>
    <w:rsid w:val="768371E5"/>
    <w:rsid w:val="769A1438"/>
    <w:rsid w:val="77656C79"/>
    <w:rsid w:val="783F2201"/>
    <w:rsid w:val="79C16FDE"/>
    <w:rsid w:val="7CBD4A32"/>
    <w:rsid w:val="7D49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089A9"/>
  <w15:docId w15:val="{C4FB234F-BAB4-4569-89D8-7609D9E7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uiPriority w:val="9"/>
    <w:qFormat/>
    <w:pPr>
      <w:spacing w:before="235" w:line="376" w:lineRule="exact"/>
      <w:ind w:left="594"/>
      <w:outlineLvl w:val="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</w:style>
  <w:style w:type="paragraph" w:styleId="a4">
    <w:name w:val="Body Text"/>
    <w:basedOn w:val="a"/>
    <w:uiPriority w:val="1"/>
    <w:qFormat/>
    <w:pPr>
      <w:ind w:left="114" w:right="253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autoSpaceDE/>
      <w:autoSpaceDN/>
      <w:spacing w:beforeAutospacing="1" w:afterAutospacing="1"/>
    </w:pPr>
    <w:rPr>
      <w:rFonts w:asciiTheme="minorHAnsi" w:eastAsiaTheme="minorEastAsia" w:hAnsiTheme="minorHAnsi" w:cs="Times New Roman"/>
      <w:sz w:val="24"/>
    </w:rPr>
  </w:style>
  <w:style w:type="paragraph" w:styleId="ac">
    <w:name w:val="Title"/>
    <w:basedOn w:val="a"/>
    <w:uiPriority w:val="10"/>
    <w:qFormat/>
    <w:pPr>
      <w:spacing w:before="191" w:after="29"/>
      <w:ind w:left="2328" w:right="2469"/>
      <w:jc w:val="center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 w:line="339" w:lineRule="exact"/>
      <w:ind w:left="107"/>
    </w:pPr>
  </w:style>
  <w:style w:type="character" w:customStyle="1" w:styleId="aa">
    <w:name w:val="页眉 字符"/>
    <w:basedOn w:val="a0"/>
    <w:link w:val="a9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wdm</dc:creator>
  <cp:lastModifiedBy>pc-250512002</cp:lastModifiedBy>
  <cp:revision>4</cp:revision>
  <cp:lastPrinted>2026-06-05T00:13:00Z</cp:lastPrinted>
  <dcterms:created xsi:type="dcterms:W3CDTF">2026-08-06T12:47:00Z</dcterms:created>
  <dcterms:modified xsi:type="dcterms:W3CDTF">2026-08-07T05:59:00Z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2026-03-11T00:00:00Z</vt:filetime>
  </property>
  <property fmtid="{D5CDD505-2E9C-101B-9397-08002B2CF9AE}" pid="5" name="Producer">
    <vt:lpwstr>Aspose.Words for Java 19.1</vt:lpwstr>
  </property>
  <property fmtid="{D5CDD505-2E9C-101B-9397-08002B2CF9AE}" pid="6" name="KSOTemplateDocerSaveRecord">
    <vt:lpwstr>eyJoZGlkIjoiOGNlOGJlNmM1MGIwZmQ3NjI2ZjFiNjg0NDQ4YmU3N2UiLCJ1c2VySWQiOiIxNjc5Mjk5MzcyIn0=</vt:lpwstr>
  </property>
  <property fmtid="{D5CDD505-2E9C-101B-9397-08002B2CF9AE}" pid="7" name="KSOProductBuildVer">
    <vt:lpwstr>2052-12.1.0.28043</vt:lpwstr>
  </property>
  <property fmtid="{D5CDD505-2E9C-101B-9397-08002B2CF9AE}" pid="8" name="ICV">
    <vt:lpwstr>7F35D57A034D4BE7BC48FCC5C77072EA_13</vt:lpwstr>
  </property>
</Properties>
</file>