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E8588">
      <w:pPr>
        <w:spacing w:line="360" w:lineRule="auto"/>
        <w:jc w:val="center"/>
        <w:rPr>
          <w:rFonts w:ascii="Times New Roman" w:hAnsi="Times New Roman" w:eastAsia="黑体"/>
          <w:bCs/>
          <w:sz w:val="24"/>
        </w:rPr>
      </w:pPr>
      <w:bookmarkStart w:id="0" w:name="OLE_LINK7"/>
      <w:bookmarkStart w:id="1" w:name="OLE_LINK5"/>
      <w:bookmarkStart w:id="2" w:name="OLE_LINK8"/>
      <w:r>
        <w:rPr>
          <w:rFonts w:hint="eastAsia" w:ascii="Times New Roman" w:hAnsi="Times New Roman" w:eastAsia="黑体"/>
          <w:bCs/>
          <w:sz w:val="24"/>
        </w:rPr>
        <w:t>证券代码：</w:t>
      </w:r>
      <w:r>
        <w:rPr>
          <w:rFonts w:ascii="Times New Roman" w:hAnsi="Times New Roman" w:eastAsia="黑体"/>
          <w:bCs/>
          <w:sz w:val="24"/>
        </w:rPr>
        <w:t xml:space="preserve">601187                                  </w:t>
      </w:r>
      <w:r>
        <w:rPr>
          <w:rFonts w:hint="eastAsia" w:ascii="Times New Roman" w:hAnsi="Times New Roman" w:eastAsia="黑体"/>
          <w:bCs/>
          <w:sz w:val="24"/>
        </w:rPr>
        <w:t>证券简称：厦门银行</w:t>
      </w:r>
    </w:p>
    <w:p w14:paraId="1DB04AD0">
      <w:pPr>
        <w:spacing w:line="360" w:lineRule="auto"/>
        <w:jc w:val="center"/>
        <w:rPr>
          <w:rFonts w:ascii="Times New Roman" w:hAnsi="Times New Roman" w:eastAsia="黑体"/>
          <w:b/>
          <w:sz w:val="32"/>
          <w:szCs w:val="32"/>
        </w:rPr>
      </w:pPr>
      <w:bookmarkStart w:id="3" w:name="OLE_LINK4"/>
      <w:r>
        <w:rPr>
          <w:rFonts w:hint="eastAsia" w:ascii="Times New Roman" w:hAnsi="Times New Roman" w:eastAsia="黑体"/>
          <w:b/>
          <w:sz w:val="32"/>
          <w:szCs w:val="32"/>
        </w:rPr>
        <w:t>厦门银行股份有限公司</w:t>
      </w:r>
    </w:p>
    <w:p w14:paraId="3CD2BD0D">
      <w:pPr>
        <w:spacing w:line="360" w:lineRule="auto"/>
        <w:jc w:val="center"/>
        <w:rPr>
          <w:rFonts w:ascii="Times New Roman" w:hAnsi="Times New Roman" w:eastAsia="黑体"/>
          <w:b/>
          <w:bCs/>
          <w:iCs/>
          <w:color w:val="000000"/>
          <w:sz w:val="32"/>
          <w:szCs w:val="32"/>
        </w:rPr>
      </w:pPr>
      <w:bookmarkStart w:id="4" w:name="OLE_LINK6"/>
      <w:bookmarkStart w:id="5" w:name="OLE_LINK3"/>
      <w:r>
        <w:rPr>
          <w:rFonts w:hint="eastAsia" w:ascii="Times New Roman" w:hAnsi="Times New Roman" w:eastAsia="黑体"/>
          <w:b/>
          <w:bCs/>
          <w:iCs/>
          <w:color w:val="000000"/>
          <w:sz w:val="32"/>
          <w:szCs w:val="32"/>
        </w:rPr>
        <w:t>投资者关系</w:t>
      </w:r>
      <w:bookmarkStart w:id="6" w:name="OLE_LINK2"/>
      <w:bookmarkStart w:id="7" w:name="OLE_LINK1"/>
      <w:r>
        <w:rPr>
          <w:rFonts w:hint="eastAsia" w:ascii="Times New Roman" w:hAnsi="Times New Roman" w:eastAsia="黑体"/>
          <w:b/>
          <w:bCs/>
          <w:iCs/>
          <w:color w:val="000000"/>
          <w:sz w:val="32"/>
          <w:szCs w:val="32"/>
        </w:rPr>
        <w:t>活动</w:t>
      </w:r>
      <w:bookmarkEnd w:id="4"/>
      <w:r>
        <w:rPr>
          <w:rFonts w:hint="eastAsia" w:ascii="Times New Roman" w:hAnsi="Times New Roman" w:eastAsia="黑体"/>
          <w:b/>
          <w:bCs/>
          <w:iCs/>
          <w:color w:val="000000"/>
          <w:sz w:val="32"/>
          <w:szCs w:val="32"/>
        </w:rPr>
        <w:t>记录表</w:t>
      </w:r>
      <w:bookmarkEnd w:id="5"/>
      <w:bookmarkEnd w:id="6"/>
      <w:bookmarkEnd w:id="7"/>
    </w:p>
    <w:bookmarkEnd w:id="3"/>
    <w:p w14:paraId="107226A4">
      <w:pPr>
        <w:spacing w:line="400" w:lineRule="exact"/>
        <w:jc w:val="right"/>
        <w:rPr>
          <w:rFonts w:ascii="Times New Roman" w:hAnsi="Times New Roman" w:eastAsia="宋体"/>
          <w:bCs/>
          <w:iCs/>
          <w:color w:val="000000"/>
          <w:sz w:val="24"/>
        </w:rPr>
      </w:pPr>
      <w:r>
        <w:rPr>
          <w:rFonts w:ascii="Times New Roman" w:hAnsi="Times New Roman" w:eastAsia="宋体"/>
          <w:bCs/>
          <w:iCs/>
          <w:color w:val="000000"/>
          <w:sz w:val="24"/>
        </w:rPr>
        <w:t xml:space="preserve">                                               </w:t>
      </w:r>
      <w:r>
        <w:rPr>
          <w:rFonts w:hint="eastAsia" w:ascii="Times New Roman" w:hAnsi="Times New Roman" w:eastAsia="宋体"/>
          <w:bCs/>
          <w:iCs/>
          <w:color w:val="000000"/>
          <w:sz w:val="24"/>
        </w:rPr>
        <w:t>编号：</w:t>
      </w:r>
      <w:r>
        <w:rPr>
          <w:rFonts w:ascii="Times New Roman" w:hAnsi="Times New Roman" w:eastAsia="宋体"/>
          <w:bCs/>
          <w:iCs/>
          <w:color w:val="000000"/>
          <w:sz w:val="24"/>
        </w:rPr>
        <w:t>2026-</w:t>
      </w:r>
      <w:r>
        <w:rPr>
          <w:rFonts w:hint="eastAsia" w:ascii="Times New Roman" w:hAnsi="Times New Roman" w:eastAsia="宋体"/>
          <w:bCs/>
          <w:iCs/>
          <w:color w:val="000000"/>
          <w:sz w:val="24"/>
        </w:rPr>
        <w:t>07</w:t>
      </w:r>
      <w:r>
        <w:rPr>
          <w:rFonts w:ascii="Times New Roman" w:hAnsi="Times New Roman" w:eastAsia="宋体"/>
          <w:bCs/>
          <w:iCs/>
          <w:color w:val="000000"/>
          <w:sz w:val="24"/>
        </w:rPr>
        <w:t xml:space="preserve">                                                     </w:t>
      </w:r>
    </w:p>
    <w:tbl>
      <w:tblPr>
        <w:tblStyle w:val="12"/>
        <w:tblW w:w="89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288"/>
      </w:tblGrid>
      <w:tr w14:paraId="4DCC0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C0611">
            <w:pPr>
              <w:spacing w:line="360" w:lineRule="auto"/>
              <w:rPr>
                <w:rFonts w:ascii="Times New Roman" w:hAnsi="Times New Roman" w:eastAsia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iCs/>
                <w:color w:val="000000"/>
                <w:sz w:val="24"/>
              </w:rPr>
              <w:t>投资者关系活动类别</w:t>
            </w:r>
          </w:p>
          <w:p w14:paraId="68892E11">
            <w:pPr>
              <w:spacing w:line="360" w:lineRule="auto"/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9EC90">
            <w:pPr>
              <w:spacing w:line="360" w:lineRule="auto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  <w:sym w:font="Wingdings 2" w:char="0052"/>
            </w:r>
            <w:r>
              <w:rPr>
                <w:rFonts w:hint="eastAsia" w:ascii="Times New Roman" w:hAnsi="Times New Roman" w:eastAsia="宋体"/>
                <w:sz w:val="24"/>
              </w:rPr>
              <w:t>特定对象调研</w:t>
            </w:r>
            <w:r>
              <w:rPr>
                <w:rFonts w:ascii="Times New Roman" w:hAnsi="Times New Roman" w:eastAsia="宋体"/>
                <w:sz w:val="24"/>
              </w:rPr>
              <w:t xml:space="preserve">      </w:t>
            </w: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宋体"/>
                <w:sz w:val="24"/>
              </w:rPr>
              <w:t>分析师会议</w:t>
            </w:r>
            <w: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  <w:t xml:space="preserve">        </w:t>
            </w: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宋体"/>
                <w:sz w:val="24"/>
              </w:rPr>
              <w:t>媒体采访</w:t>
            </w:r>
          </w:p>
          <w:p w14:paraId="0A7E384F">
            <w:pPr>
              <w:spacing w:line="360" w:lineRule="auto"/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sz w:val="24"/>
              </w:rPr>
              <w:t>业绩说明会</w:t>
            </w:r>
            <w: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  <w:t xml:space="preserve">        </w:t>
            </w: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宋体"/>
                <w:sz w:val="24"/>
              </w:rPr>
              <w:t>新闻发布会</w:t>
            </w:r>
            <w:r>
              <w:rPr>
                <w:rFonts w:ascii="Times New Roman" w:hAnsi="Times New Roman" w:eastAsia="宋体"/>
                <w:sz w:val="24"/>
              </w:rPr>
              <w:t xml:space="preserve">        </w:t>
            </w: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宋体"/>
                <w:sz w:val="24"/>
              </w:rPr>
              <w:t>路演活动</w:t>
            </w:r>
          </w:p>
          <w:p w14:paraId="53768D9D">
            <w:pPr>
              <w:tabs>
                <w:tab w:val="left" w:pos="3045"/>
                <w:tab w:val="center" w:pos="3199"/>
              </w:tabs>
              <w:spacing w:line="360" w:lineRule="auto"/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宋体"/>
                <w:sz w:val="24"/>
              </w:rPr>
              <w:t>现场参观</w:t>
            </w:r>
            <w:r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  <w:t xml:space="preserve">          </w:t>
            </w: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宋体"/>
                <w:sz w:val="24"/>
              </w:rPr>
              <w:t>其他</w:t>
            </w:r>
            <w:r>
              <w:rPr>
                <w:rFonts w:ascii="Times New Roman" w:hAnsi="Times New Roman" w:eastAsia="宋体"/>
                <w:sz w:val="24"/>
              </w:rPr>
              <w:t xml:space="preserve"> </w:t>
            </w:r>
          </w:p>
        </w:tc>
      </w:tr>
      <w:tr w14:paraId="6577B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EA5FE">
            <w:pPr>
              <w:spacing w:line="360" w:lineRule="auto"/>
              <w:rPr>
                <w:rFonts w:ascii="Times New Roman" w:hAnsi="Times New Roman" w:eastAsia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iCs/>
                <w:color w:val="000000"/>
                <w:sz w:val="24"/>
              </w:rPr>
              <w:t>时间及参与单位名称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6FBF9">
            <w:pPr>
              <w:spacing w:line="360" w:lineRule="auto"/>
              <w:rPr>
                <w:rFonts w:ascii="Times New Roman" w:hAnsi="Times New Roman" w:eastAsia="宋体"/>
                <w:bCs/>
                <w:iCs/>
                <w:kern w:val="0"/>
                <w:sz w:val="24"/>
              </w:rPr>
            </w:pPr>
            <w:r>
              <w:rPr>
                <w:rFonts w:ascii="Times New Roman" w:hAnsi="Times New Roman" w:eastAsia="宋体"/>
                <w:b/>
                <w:iCs/>
                <w:kern w:val="0"/>
                <w:sz w:val="24"/>
              </w:rPr>
              <w:t>2026</w:t>
            </w:r>
            <w:r>
              <w:rPr>
                <w:rFonts w:hint="eastAsia" w:ascii="Times New Roman" w:hAnsi="Times New Roman" w:eastAsia="宋体"/>
                <w:b/>
                <w:iCs/>
                <w:kern w:val="0"/>
                <w:sz w:val="24"/>
              </w:rPr>
              <w:t>年7月</w:t>
            </w:r>
            <w:r>
              <w:rPr>
                <w:rFonts w:ascii="Times New Roman" w:hAnsi="Times New Roman" w:eastAsia="宋体"/>
                <w:b/>
                <w:iCs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eastAsia="宋体"/>
                <w:b/>
                <w:iCs/>
                <w:kern w:val="0"/>
                <w:sz w:val="24"/>
              </w:rPr>
              <w:t>6日</w:t>
            </w:r>
            <w:r>
              <w:rPr>
                <w:rFonts w:ascii="Times New Roman" w:hAnsi="Times New Roman" w:eastAsia="宋体"/>
                <w:b/>
                <w:iCs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iCs/>
                <w:kern w:val="0"/>
                <w:sz w:val="24"/>
              </w:rPr>
              <w:t>线上会议</w:t>
            </w:r>
            <w:r>
              <w:rPr>
                <w:rFonts w:ascii="Times New Roman" w:hAnsi="Times New Roman" w:eastAsia="宋体"/>
                <w:b/>
                <w:iCs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宋体"/>
                <w:bCs/>
                <w:iCs/>
                <w:kern w:val="0"/>
                <w:sz w:val="24"/>
              </w:rPr>
              <w:t>国联民生、博时基金、Point 72、光大证券、广发基金、国金基金、上海康盛私募基金、汇添富基金、嘉实基金、摩根基金、山证（上海）资管、上海白犀私募基金、上海东方证券资产管理、太保资产、万家基金、银河基金、圆信永丰基金、招商证券自营、浙江益恒资产管理</w:t>
            </w:r>
            <w:bookmarkStart w:id="8" w:name="_GoBack"/>
            <w:bookmarkEnd w:id="8"/>
          </w:p>
        </w:tc>
      </w:tr>
      <w:tr w14:paraId="7FCD0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D4494">
            <w:pPr>
              <w:spacing w:line="360" w:lineRule="auto"/>
              <w:rPr>
                <w:rFonts w:ascii="Times New Roman" w:hAnsi="Times New Roman" w:eastAsia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7C381">
            <w:pPr>
              <w:spacing w:line="360" w:lineRule="auto"/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kern w:val="0"/>
                <w:sz w:val="24"/>
              </w:rPr>
              <w:t>厦门</w:t>
            </w:r>
          </w:p>
        </w:tc>
      </w:tr>
      <w:tr w14:paraId="4C890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D0410">
            <w:pPr>
              <w:spacing w:line="360" w:lineRule="auto"/>
              <w:rPr>
                <w:rFonts w:ascii="Times New Roman" w:hAnsi="Times New Roman" w:eastAsia="宋体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iCs/>
                <w:color w:val="000000"/>
                <w:sz w:val="24"/>
              </w:rPr>
              <w:t>公司接待人员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1A035">
            <w:pPr>
              <w:spacing w:line="360" w:lineRule="auto"/>
              <w:rPr>
                <w:rFonts w:ascii="Times New Roman" w:hAnsi="Times New Roman" w:eastAsia="宋体"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/>
                <w:bCs/>
                <w:iCs/>
                <w:color w:val="000000"/>
                <w:sz w:val="24"/>
              </w:rPr>
              <w:t>董事会秘书、董事会办公室等相关部门负责人</w:t>
            </w:r>
          </w:p>
        </w:tc>
      </w:tr>
      <w:tr w14:paraId="51CAF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1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A0FBF">
            <w:pPr>
              <w:spacing w:line="360" w:lineRule="auto"/>
              <w:rPr>
                <w:rFonts w:ascii="Times New Roman" w:hAnsi="Times New Roman" w:eastAsiaTheme="minorEastAsia"/>
                <w:b/>
                <w:bCs/>
                <w:iCs/>
                <w:sz w:val="24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iCs/>
                <w:sz w:val="24"/>
              </w:rPr>
              <w:t>投资者关系活动主要内容介绍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EFFC3">
            <w:pPr>
              <w:pStyle w:val="22"/>
              <w:numPr>
                <w:ilvl w:val="0"/>
                <w:numId w:val="1"/>
              </w:numPr>
              <w:spacing w:line="460" w:lineRule="exact"/>
              <w:ind w:left="150" w:firstLine="480" w:firstLineChars="0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iCs/>
                <w:color w:val="000000"/>
                <w:sz w:val="24"/>
              </w:rPr>
              <w:t>贵行应对息差收窄的举措？</w:t>
            </w:r>
          </w:p>
          <w:p w14:paraId="0FA0C2A1">
            <w:pPr>
              <w:pStyle w:val="22"/>
              <w:spacing w:line="460" w:lineRule="exact"/>
              <w:ind w:firstLine="480" w:firstLineChars="0"/>
              <w:rPr>
                <w:rFonts w:ascii="Times New Roman" w:hAnsi="Times New Roman"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iCs/>
                <w:color w:val="000000"/>
                <w:sz w:val="24"/>
              </w:rPr>
              <w:t>在LPR持续下行、同业竞争加剧的压力下，公司积极优化资负结构，一方面，有节奏地发力对公一般贷款增量提质，有效减缓资产端收益率下行程度，另一方面，加强低成本存款吸纳、推动存款久期缩短，2025年活期存款日均占比提升2.38个百分点，负债成本率实现压降。“双足并行”推动公司净利差保持去年同期水平，净息差降幅较去年同期改善11BP。</w:t>
            </w:r>
          </w:p>
          <w:p w14:paraId="6431FFAD">
            <w:pPr>
              <w:pStyle w:val="22"/>
              <w:numPr>
                <w:ilvl w:val="0"/>
                <w:numId w:val="1"/>
              </w:numPr>
              <w:spacing w:line="460" w:lineRule="exact"/>
              <w:ind w:left="150" w:firstLine="480" w:firstLineChars="0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iCs/>
                <w:color w:val="000000"/>
                <w:sz w:val="24"/>
              </w:rPr>
              <w:t>贵行对公贷款投放力度加大，请介绍一下对公贷款整体表现？</w:t>
            </w:r>
          </w:p>
          <w:p w14:paraId="18DD391A">
            <w:pPr>
              <w:pStyle w:val="22"/>
              <w:spacing w:line="460" w:lineRule="exact"/>
              <w:ind w:firstLine="480"/>
              <w:rPr>
                <w:rFonts w:ascii="Times New Roman" w:hAnsi="Times New Roman"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iCs/>
                <w:color w:val="000000"/>
                <w:sz w:val="24"/>
              </w:rPr>
              <w:t>公司</w:t>
            </w:r>
            <w:r>
              <w:rPr>
                <w:rFonts w:ascii="Times New Roman" w:hAnsi="Times New Roman"/>
                <w:iCs/>
                <w:color w:val="000000"/>
                <w:sz w:val="24"/>
              </w:rPr>
              <w:t>立足自身资源禀赋，坚守服务实体经济初心，聚焦地方及省级重点项目建设、制造业转型升级、普惠金融提质增效、科创金融赋能、绿色金融发展等关键领域精准发力。在提升资产总量的同时，持续优化资产结构，推动规模稳健增长与结构动态优化协同共进。截至</w:t>
            </w:r>
            <w:r>
              <w:rPr>
                <w:rFonts w:hint="eastAsia" w:ascii="Times New Roman" w:hAnsi="Times New Roman"/>
                <w:iCs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iCs/>
                <w:color w:val="000000"/>
                <w:sz w:val="24"/>
              </w:rPr>
              <w:t>025年年末，企业贷款及垫款（不含票据贴现）余额 1,658.59 亿元，较上年末增幅 35.85%，对公贷款（不含票据贴现）的不良率为 0.60%，继续保持较低水平。重点领域信贷资源配置质效持续提升，其中绿色金融、科技金融、中长期制造业贷款余额较上年末的增幅分别为 68.55%、44.55%、26.27%。2026年一季度末，贷款及垫款总额进一步增至2,591.04亿元，较2025年末增长6.52%</w:t>
            </w:r>
            <w:r>
              <w:rPr>
                <w:rFonts w:hint="eastAsia" w:ascii="Times New Roman" w:hAnsi="Times New Roman"/>
                <w:iCs/>
                <w:color w:val="000000"/>
                <w:sz w:val="24"/>
              </w:rPr>
              <w:t>。</w:t>
            </w:r>
          </w:p>
          <w:p w14:paraId="36DEB334">
            <w:pPr>
              <w:pStyle w:val="22"/>
              <w:numPr>
                <w:ilvl w:val="0"/>
                <w:numId w:val="1"/>
              </w:numPr>
              <w:spacing w:line="460" w:lineRule="exact"/>
              <w:ind w:left="150" w:firstLine="480" w:firstLineChars="0"/>
              <w:rPr>
                <w:rFonts w:ascii="Times New Roman" w:hAnsi="Times New Roman"/>
                <w:b/>
                <w:bCs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iCs/>
                <w:color w:val="000000"/>
                <w:sz w:val="24"/>
              </w:rPr>
              <w:t>贵行在科技金融领域的业务布局和落地成效如何？</w:t>
            </w:r>
          </w:p>
          <w:p w14:paraId="542E9768">
            <w:pPr>
              <w:pStyle w:val="22"/>
              <w:spacing w:line="460" w:lineRule="exact"/>
              <w:ind w:firstLine="480"/>
              <w:rPr>
                <w:rFonts w:ascii="Times New Roman" w:hAnsi="Times New Roman"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iCs/>
                <w:color w:val="000000"/>
                <w:sz w:val="24"/>
              </w:rPr>
              <w:t>2025年以来，公司持续深耕提质赋能，促进产业融合提速增效，通过健全科技金融考核机制、提升科技特色支行专业化服务水平、高效运用内外部惠企政策等措施，切实提升科技型企业融资效率，降低企业融资成本。2025年科技贷款余额261.91亿元，较上年末增长44.55%；科技有贷户数同比增长20.85%，服务覆盖面持续扩大。公司设立22家科技特色支行/团队，建立绿色审批通道，推出“高新贷”“科信贷”“技改贷”等专属产品，精准服务专精特新、高新技术企业。</w:t>
            </w:r>
          </w:p>
        </w:tc>
      </w:tr>
    </w:tbl>
    <w:p w14:paraId="596158D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bookmarkEnd w:id="0"/>
      <w:bookmarkEnd w:id="1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B1C325"/>
    <w:multiLevelType w:val="singleLevel"/>
    <w:tmpl w:val="5EB1C325"/>
    <w:lvl w:ilvl="0" w:tentative="0">
      <w:start w:val="1"/>
      <w:numFmt w:val="decimal"/>
      <w:suff w:val="nothing"/>
      <w:lvlText w:val="%1、"/>
      <w:lvlJc w:val="left"/>
      <w:pPr>
        <w:ind w:left="15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FA4"/>
    <w:rsid w:val="00010AF9"/>
    <w:rsid w:val="00012AB6"/>
    <w:rsid w:val="00017E52"/>
    <w:rsid w:val="0002662E"/>
    <w:rsid w:val="000374E5"/>
    <w:rsid w:val="00056E17"/>
    <w:rsid w:val="0007077E"/>
    <w:rsid w:val="00070E57"/>
    <w:rsid w:val="000865C3"/>
    <w:rsid w:val="000915CF"/>
    <w:rsid w:val="00094D1A"/>
    <w:rsid w:val="000960B9"/>
    <w:rsid w:val="000A2087"/>
    <w:rsid w:val="000D5CBE"/>
    <w:rsid w:val="000D76B7"/>
    <w:rsid w:val="00120083"/>
    <w:rsid w:val="00120AE8"/>
    <w:rsid w:val="0012483B"/>
    <w:rsid w:val="0012701E"/>
    <w:rsid w:val="00135452"/>
    <w:rsid w:val="001606FC"/>
    <w:rsid w:val="001670CA"/>
    <w:rsid w:val="00172A27"/>
    <w:rsid w:val="001747CA"/>
    <w:rsid w:val="00175514"/>
    <w:rsid w:val="0017609F"/>
    <w:rsid w:val="001B212A"/>
    <w:rsid w:val="001B2ABC"/>
    <w:rsid w:val="001B7179"/>
    <w:rsid w:val="001C6A12"/>
    <w:rsid w:val="001D437F"/>
    <w:rsid w:val="001D66F6"/>
    <w:rsid w:val="001E3243"/>
    <w:rsid w:val="00207436"/>
    <w:rsid w:val="00211682"/>
    <w:rsid w:val="00220E2F"/>
    <w:rsid w:val="00232311"/>
    <w:rsid w:val="00234EFD"/>
    <w:rsid w:val="00247B45"/>
    <w:rsid w:val="0026288C"/>
    <w:rsid w:val="002635DC"/>
    <w:rsid w:val="00267B38"/>
    <w:rsid w:val="00270456"/>
    <w:rsid w:val="0028137A"/>
    <w:rsid w:val="00290665"/>
    <w:rsid w:val="0029668A"/>
    <w:rsid w:val="002A5E7C"/>
    <w:rsid w:val="002B4940"/>
    <w:rsid w:val="002D2F6F"/>
    <w:rsid w:val="002E664F"/>
    <w:rsid w:val="002F3829"/>
    <w:rsid w:val="003001CA"/>
    <w:rsid w:val="00320B81"/>
    <w:rsid w:val="00320CDD"/>
    <w:rsid w:val="00321BD4"/>
    <w:rsid w:val="00326BE1"/>
    <w:rsid w:val="0036439D"/>
    <w:rsid w:val="003713F1"/>
    <w:rsid w:val="00373703"/>
    <w:rsid w:val="00382744"/>
    <w:rsid w:val="003837F6"/>
    <w:rsid w:val="003C07DD"/>
    <w:rsid w:val="003C3502"/>
    <w:rsid w:val="003C68AD"/>
    <w:rsid w:val="003D0F38"/>
    <w:rsid w:val="003E0254"/>
    <w:rsid w:val="003E10F6"/>
    <w:rsid w:val="00403237"/>
    <w:rsid w:val="004077D5"/>
    <w:rsid w:val="00416F59"/>
    <w:rsid w:val="00426705"/>
    <w:rsid w:val="00445BB0"/>
    <w:rsid w:val="00461E9B"/>
    <w:rsid w:val="004A317C"/>
    <w:rsid w:val="004A7354"/>
    <w:rsid w:val="004A7CA0"/>
    <w:rsid w:val="004B363C"/>
    <w:rsid w:val="004C3B70"/>
    <w:rsid w:val="004E4DA1"/>
    <w:rsid w:val="005063C5"/>
    <w:rsid w:val="0052204F"/>
    <w:rsid w:val="005275C2"/>
    <w:rsid w:val="00527972"/>
    <w:rsid w:val="00535FC0"/>
    <w:rsid w:val="005368E3"/>
    <w:rsid w:val="005448C7"/>
    <w:rsid w:val="00550E4B"/>
    <w:rsid w:val="00560778"/>
    <w:rsid w:val="00570264"/>
    <w:rsid w:val="005A5B76"/>
    <w:rsid w:val="005C6DB0"/>
    <w:rsid w:val="00603E82"/>
    <w:rsid w:val="00610104"/>
    <w:rsid w:val="006216D4"/>
    <w:rsid w:val="00633D6E"/>
    <w:rsid w:val="006460EF"/>
    <w:rsid w:val="00646111"/>
    <w:rsid w:val="006523D8"/>
    <w:rsid w:val="00664EE9"/>
    <w:rsid w:val="006818F9"/>
    <w:rsid w:val="00691943"/>
    <w:rsid w:val="006A3240"/>
    <w:rsid w:val="006A4D81"/>
    <w:rsid w:val="006C3B27"/>
    <w:rsid w:val="006E2B18"/>
    <w:rsid w:val="006E46D6"/>
    <w:rsid w:val="006F21D2"/>
    <w:rsid w:val="006F6419"/>
    <w:rsid w:val="00701E12"/>
    <w:rsid w:val="007021F0"/>
    <w:rsid w:val="007123BE"/>
    <w:rsid w:val="00712441"/>
    <w:rsid w:val="007416B9"/>
    <w:rsid w:val="00761EA7"/>
    <w:rsid w:val="00765A2E"/>
    <w:rsid w:val="00767A4B"/>
    <w:rsid w:val="007814C6"/>
    <w:rsid w:val="00786C57"/>
    <w:rsid w:val="007A1202"/>
    <w:rsid w:val="007E5C96"/>
    <w:rsid w:val="00803AFA"/>
    <w:rsid w:val="008048E1"/>
    <w:rsid w:val="008129A6"/>
    <w:rsid w:val="008168B4"/>
    <w:rsid w:val="00821EF4"/>
    <w:rsid w:val="00841136"/>
    <w:rsid w:val="008479D6"/>
    <w:rsid w:val="00862D39"/>
    <w:rsid w:val="00866811"/>
    <w:rsid w:val="00877250"/>
    <w:rsid w:val="00884803"/>
    <w:rsid w:val="00886535"/>
    <w:rsid w:val="00887E15"/>
    <w:rsid w:val="008979E4"/>
    <w:rsid w:val="008A62BB"/>
    <w:rsid w:val="008B5D1F"/>
    <w:rsid w:val="008C7D83"/>
    <w:rsid w:val="009076CD"/>
    <w:rsid w:val="00920724"/>
    <w:rsid w:val="00934C25"/>
    <w:rsid w:val="00935318"/>
    <w:rsid w:val="009611D4"/>
    <w:rsid w:val="00990948"/>
    <w:rsid w:val="00991DBA"/>
    <w:rsid w:val="009D7A16"/>
    <w:rsid w:val="009E4C86"/>
    <w:rsid w:val="009E6D7D"/>
    <w:rsid w:val="00A02869"/>
    <w:rsid w:val="00A10A28"/>
    <w:rsid w:val="00A5429A"/>
    <w:rsid w:val="00A6764C"/>
    <w:rsid w:val="00A80D1A"/>
    <w:rsid w:val="00A814F8"/>
    <w:rsid w:val="00A85DF0"/>
    <w:rsid w:val="00A97003"/>
    <w:rsid w:val="00AB2C92"/>
    <w:rsid w:val="00AC2442"/>
    <w:rsid w:val="00AC2FA0"/>
    <w:rsid w:val="00AD0D20"/>
    <w:rsid w:val="00AD226B"/>
    <w:rsid w:val="00AD6116"/>
    <w:rsid w:val="00AE1959"/>
    <w:rsid w:val="00AE6F23"/>
    <w:rsid w:val="00AF2302"/>
    <w:rsid w:val="00AF3539"/>
    <w:rsid w:val="00AF3C50"/>
    <w:rsid w:val="00AF42F3"/>
    <w:rsid w:val="00AF5FBE"/>
    <w:rsid w:val="00B07DAF"/>
    <w:rsid w:val="00B23959"/>
    <w:rsid w:val="00B24A2C"/>
    <w:rsid w:val="00B409BC"/>
    <w:rsid w:val="00B510FA"/>
    <w:rsid w:val="00B72D74"/>
    <w:rsid w:val="00B779CF"/>
    <w:rsid w:val="00B85459"/>
    <w:rsid w:val="00B95A2D"/>
    <w:rsid w:val="00BB1853"/>
    <w:rsid w:val="00BB4731"/>
    <w:rsid w:val="00BB6CDC"/>
    <w:rsid w:val="00BE4725"/>
    <w:rsid w:val="00BE6CF1"/>
    <w:rsid w:val="00BF547B"/>
    <w:rsid w:val="00BF707F"/>
    <w:rsid w:val="00C07040"/>
    <w:rsid w:val="00C21162"/>
    <w:rsid w:val="00C27C54"/>
    <w:rsid w:val="00C3197B"/>
    <w:rsid w:val="00C62E73"/>
    <w:rsid w:val="00C77883"/>
    <w:rsid w:val="00C832D3"/>
    <w:rsid w:val="00CB3778"/>
    <w:rsid w:val="00CC5C34"/>
    <w:rsid w:val="00CD6D89"/>
    <w:rsid w:val="00CE3CDE"/>
    <w:rsid w:val="00CE4580"/>
    <w:rsid w:val="00CF36D1"/>
    <w:rsid w:val="00D03944"/>
    <w:rsid w:val="00D078F3"/>
    <w:rsid w:val="00D227CE"/>
    <w:rsid w:val="00D2553B"/>
    <w:rsid w:val="00D260E1"/>
    <w:rsid w:val="00D46CC5"/>
    <w:rsid w:val="00D7022F"/>
    <w:rsid w:val="00D73204"/>
    <w:rsid w:val="00D837F5"/>
    <w:rsid w:val="00D860E0"/>
    <w:rsid w:val="00D9187D"/>
    <w:rsid w:val="00DA4FC7"/>
    <w:rsid w:val="00DB23D6"/>
    <w:rsid w:val="00DB4378"/>
    <w:rsid w:val="00DC21BF"/>
    <w:rsid w:val="00DC2245"/>
    <w:rsid w:val="00DC692F"/>
    <w:rsid w:val="00DE6B5E"/>
    <w:rsid w:val="00DE6B9C"/>
    <w:rsid w:val="00DF0553"/>
    <w:rsid w:val="00E3527B"/>
    <w:rsid w:val="00E65E57"/>
    <w:rsid w:val="00E73EC4"/>
    <w:rsid w:val="00E868EC"/>
    <w:rsid w:val="00EA2344"/>
    <w:rsid w:val="00ED1315"/>
    <w:rsid w:val="00EE18C5"/>
    <w:rsid w:val="00EE1BEE"/>
    <w:rsid w:val="00EE4F1A"/>
    <w:rsid w:val="00F026E0"/>
    <w:rsid w:val="00F10BB8"/>
    <w:rsid w:val="00F2226E"/>
    <w:rsid w:val="00F24494"/>
    <w:rsid w:val="00F413E1"/>
    <w:rsid w:val="00F430C2"/>
    <w:rsid w:val="00F74796"/>
    <w:rsid w:val="00F94AA0"/>
    <w:rsid w:val="00FA0123"/>
    <w:rsid w:val="00FA721E"/>
    <w:rsid w:val="00FC3B2D"/>
    <w:rsid w:val="00FE1F2C"/>
    <w:rsid w:val="01343C35"/>
    <w:rsid w:val="015441BC"/>
    <w:rsid w:val="01D812F0"/>
    <w:rsid w:val="01DF79C5"/>
    <w:rsid w:val="022F6C02"/>
    <w:rsid w:val="025B0BD4"/>
    <w:rsid w:val="02B62AFF"/>
    <w:rsid w:val="034D18B2"/>
    <w:rsid w:val="03E203E0"/>
    <w:rsid w:val="03EF7383"/>
    <w:rsid w:val="04844854"/>
    <w:rsid w:val="04CA4768"/>
    <w:rsid w:val="051340F3"/>
    <w:rsid w:val="05EC3946"/>
    <w:rsid w:val="06AC0501"/>
    <w:rsid w:val="073161DB"/>
    <w:rsid w:val="07504EC1"/>
    <w:rsid w:val="07736C45"/>
    <w:rsid w:val="07872210"/>
    <w:rsid w:val="07F05315"/>
    <w:rsid w:val="08E67AA9"/>
    <w:rsid w:val="09187348"/>
    <w:rsid w:val="09FF5075"/>
    <w:rsid w:val="0A1F7DCE"/>
    <w:rsid w:val="0A7375B2"/>
    <w:rsid w:val="0ACB7D6D"/>
    <w:rsid w:val="0C1E2070"/>
    <w:rsid w:val="0C275F3F"/>
    <w:rsid w:val="0C3B6B9E"/>
    <w:rsid w:val="0C922E30"/>
    <w:rsid w:val="0CD949B1"/>
    <w:rsid w:val="0D53094C"/>
    <w:rsid w:val="0DF748F5"/>
    <w:rsid w:val="0E4448F3"/>
    <w:rsid w:val="0E5E2860"/>
    <w:rsid w:val="0EBC43EC"/>
    <w:rsid w:val="0F231667"/>
    <w:rsid w:val="0FD56096"/>
    <w:rsid w:val="106172ED"/>
    <w:rsid w:val="11027246"/>
    <w:rsid w:val="11883E00"/>
    <w:rsid w:val="11B6183C"/>
    <w:rsid w:val="12460407"/>
    <w:rsid w:val="12E64FF5"/>
    <w:rsid w:val="12EE053A"/>
    <w:rsid w:val="131818EE"/>
    <w:rsid w:val="1381018F"/>
    <w:rsid w:val="13BB777D"/>
    <w:rsid w:val="13CE280D"/>
    <w:rsid w:val="141862B2"/>
    <w:rsid w:val="14322531"/>
    <w:rsid w:val="14D25167"/>
    <w:rsid w:val="14F055D6"/>
    <w:rsid w:val="14F212EA"/>
    <w:rsid w:val="15652DAA"/>
    <w:rsid w:val="16501227"/>
    <w:rsid w:val="175D17CA"/>
    <w:rsid w:val="17B473C2"/>
    <w:rsid w:val="17D271A5"/>
    <w:rsid w:val="17D77DA9"/>
    <w:rsid w:val="18006524"/>
    <w:rsid w:val="180A72FE"/>
    <w:rsid w:val="182868AE"/>
    <w:rsid w:val="18455E27"/>
    <w:rsid w:val="18831547"/>
    <w:rsid w:val="18893450"/>
    <w:rsid w:val="1979128B"/>
    <w:rsid w:val="19CA7222"/>
    <w:rsid w:val="1A8B0292"/>
    <w:rsid w:val="1B9F7CA6"/>
    <w:rsid w:val="1BE8708F"/>
    <w:rsid w:val="1C9054E9"/>
    <w:rsid w:val="1C9E2411"/>
    <w:rsid w:val="1D41310E"/>
    <w:rsid w:val="1D6B06CF"/>
    <w:rsid w:val="1D6D3BD2"/>
    <w:rsid w:val="1DE21613"/>
    <w:rsid w:val="1DF63666"/>
    <w:rsid w:val="1E0D0FBE"/>
    <w:rsid w:val="1E364920"/>
    <w:rsid w:val="1EC83421"/>
    <w:rsid w:val="1F330F55"/>
    <w:rsid w:val="1F6E6131"/>
    <w:rsid w:val="1FA228EE"/>
    <w:rsid w:val="201E1530"/>
    <w:rsid w:val="20F84124"/>
    <w:rsid w:val="21452025"/>
    <w:rsid w:val="21B76AE0"/>
    <w:rsid w:val="21D5653F"/>
    <w:rsid w:val="21E27DCE"/>
    <w:rsid w:val="221E0366"/>
    <w:rsid w:val="22D6753F"/>
    <w:rsid w:val="23110016"/>
    <w:rsid w:val="23620D1A"/>
    <w:rsid w:val="237B3E42"/>
    <w:rsid w:val="23A32E08"/>
    <w:rsid w:val="246C2851"/>
    <w:rsid w:val="247509BC"/>
    <w:rsid w:val="247C2AEC"/>
    <w:rsid w:val="249B0E74"/>
    <w:rsid w:val="24B1643E"/>
    <w:rsid w:val="24F87EB7"/>
    <w:rsid w:val="25CF4697"/>
    <w:rsid w:val="26407E4E"/>
    <w:rsid w:val="269D6920"/>
    <w:rsid w:val="26C40D95"/>
    <w:rsid w:val="272922EB"/>
    <w:rsid w:val="27424579"/>
    <w:rsid w:val="274E038B"/>
    <w:rsid w:val="27E078FA"/>
    <w:rsid w:val="283B0F0D"/>
    <w:rsid w:val="28660E58"/>
    <w:rsid w:val="28B50BD7"/>
    <w:rsid w:val="28E76302"/>
    <w:rsid w:val="29263821"/>
    <w:rsid w:val="294C43FF"/>
    <w:rsid w:val="298978D0"/>
    <w:rsid w:val="2A234631"/>
    <w:rsid w:val="2A3C0BEA"/>
    <w:rsid w:val="2AA9450A"/>
    <w:rsid w:val="2ACC1EE6"/>
    <w:rsid w:val="2C645E65"/>
    <w:rsid w:val="2ECC35BD"/>
    <w:rsid w:val="2F782E8B"/>
    <w:rsid w:val="2F874408"/>
    <w:rsid w:val="2FAB664D"/>
    <w:rsid w:val="2FCE2CA3"/>
    <w:rsid w:val="305A367F"/>
    <w:rsid w:val="30A45AD9"/>
    <w:rsid w:val="30ED1DF0"/>
    <w:rsid w:val="32181796"/>
    <w:rsid w:val="32927883"/>
    <w:rsid w:val="32E0414D"/>
    <w:rsid w:val="32FA4B9F"/>
    <w:rsid w:val="33637BDB"/>
    <w:rsid w:val="33C17F75"/>
    <w:rsid w:val="34741569"/>
    <w:rsid w:val="34C37DE1"/>
    <w:rsid w:val="35F1547D"/>
    <w:rsid w:val="373D66F1"/>
    <w:rsid w:val="374E17CB"/>
    <w:rsid w:val="37691FF5"/>
    <w:rsid w:val="3793297C"/>
    <w:rsid w:val="37A32ECD"/>
    <w:rsid w:val="37AB1B65"/>
    <w:rsid w:val="37C001F2"/>
    <w:rsid w:val="38161214"/>
    <w:rsid w:val="38192198"/>
    <w:rsid w:val="3831361A"/>
    <w:rsid w:val="3870436D"/>
    <w:rsid w:val="38FE3710"/>
    <w:rsid w:val="39123BB1"/>
    <w:rsid w:val="39324E64"/>
    <w:rsid w:val="398A41CF"/>
    <w:rsid w:val="39D8513B"/>
    <w:rsid w:val="3BB52984"/>
    <w:rsid w:val="3BCE0D76"/>
    <w:rsid w:val="3C2105FF"/>
    <w:rsid w:val="3C2B5E46"/>
    <w:rsid w:val="3C677B59"/>
    <w:rsid w:val="3C812767"/>
    <w:rsid w:val="3CFB3440"/>
    <w:rsid w:val="3D065366"/>
    <w:rsid w:val="3D734CA5"/>
    <w:rsid w:val="3DED5A53"/>
    <w:rsid w:val="3EAE3767"/>
    <w:rsid w:val="3F150D8C"/>
    <w:rsid w:val="40D35124"/>
    <w:rsid w:val="40E6578E"/>
    <w:rsid w:val="41064298"/>
    <w:rsid w:val="411C36E0"/>
    <w:rsid w:val="4176014F"/>
    <w:rsid w:val="42615CCA"/>
    <w:rsid w:val="42680F26"/>
    <w:rsid w:val="43CC374D"/>
    <w:rsid w:val="43F55B69"/>
    <w:rsid w:val="444631D1"/>
    <w:rsid w:val="44970113"/>
    <w:rsid w:val="44A57770"/>
    <w:rsid w:val="44B32884"/>
    <w:rsid w:val="44CA2EEC"/>
    <w:rsid w:val="44EC107E"/>
    <w:rsid w:val="452A1AEE"/>
    <w:rsid w:val="45726E6D"/>
    <w:rsid w:val="457345FE"/>
    <w:rsid w:val="45CA5863"/>
    <w:rsid w:val="465935F7"/>
    <w:rsid w:val="46B0341C"/>
    <w:rsid w:val="475A449F"/>
    <w:rsid w:val="47745049"/>
    <w:rsid w:val="478C4E3C"/>
    <w:rsid w:val="47A43767"/>
    <w:rsid w:val="47AE390E"/>
    <w:rsid w:val="485559BC"/>
    <w:rsid w:val="491856F9"/>
    <w:rsid w:val="493417A6"/>
    <w:rsid w:val="498C100B"/>
    <w:rsid w:val="49AB04EC"/>
    <w:rsid w:val="4A015677"/>
    <w:rsid w:val="4A416461"/>
    <w:rsid w:val="4A586086"/>
    <w:rsid w:val="4A7C1DA2"/>
    <w:rsid w:val="4A8A3CC5"/>
    <w:rsid w:val="4AC2736B"/>
    <w:rsid w:val="4B702179"/>
    <w:rsid w:val="4BB46342"/>
    <w:rsid w:val="4BF623B7"/>
    <w:rsid w:val="4C0A34CE"/>
    <w:rsid w:val="4C243DC7"/>
    <w:rsid w:val="4C794E06"/>
    <w:rsid w:val="4D144D0B"/>
    <w:rsid w:val="4D377BF5"/>
    <w:rsid w:val="4D5153DD"/>
    <w:rsid w:val="4D570F71"/>
    <w:rsid w:val="4D572B44"/>
    <w:rsid w:val="4D67120C"/>
    <w:rsid w:val="4DF34673"/>
    <w:rsid w:val="4E080D95"/>
    <w:rsid w:val="4E326C84"/>
    <w:rsid w:val="4E3C24E9"/>
    <w:rsid w:val="4E4E2408"/>
    <w:rsid w:val="4F1C538E"/>
    <w:rsid w:val="4F2B7952"/>
    <w:rsid w:val="4F5A77A5"/>
    <w:rsid w:val="4F5F1347"/>
    <w:rsid w:val="4FD00101"/>
    <w:rsid w:val="503C7AAB"/>
    <w:rsid w:val="50840506"/>
    <w:rsid w:val="50F413DD"/>
    <w:rsid w:val="51E909F0"/>
    <w:rsid w:val="51F55A16"/>
    <w:rsid w:val="51FB77C6"/>
    <w:rsid w:val="527D1264"/>
    <w:rsid w:val="53404825"/>
    <w:rsid w:val="5354435E"/>
    <w:rsid w:val="53813090"/>
    <w:rsid w:val="53D22156"/>
    <w:rsid w:val="54281796"/>
    <w:rsid w:val="54422AC8"/>
    <w:rsid w:val="548B3542"/>
    <w:rsid w:val="55583378"/>
    <w:rsid w:val="557575CC"/>
    <w:rsid w:val="55802B56"/>
    <w:rsid w:val="55B347D2"/>
    <w:rsid w:val="56162CC9"/>
    <w:rsid w:val="56827DFA"/>
    <w:rsid w:val="569A4429"/>
    <w:rsid w:val="56D16FAA"/>
    <w:rsid w:val="571D387C"/>
    <w:rsid w:val="57593233"/>
    <w:rsid w:val="57EA769F"/>
    <w:rsid w:val="58234804"/>
    <w:rsid w:val="583E0E16"/>
    <w:rsid w:val="587B59B6"/>
    <w:rsid w:val="58C46118"/>
    <w:rsid w:val="58F70910"/>
    <w:rsid w:val="5957661E"/>
    <w:rsid w:val="59BB6342"/>
    <w:rsid w:val="59DB4679"/>
    <w:rsid w:val="5A2D0246"/>
    <w:rsid w:val="5A2F4103"/>
    <w:rsid w:val="5A87311A"/>
    <w:rsid w:val="5AF53A87"/>
    <w:rsid w:val="5B327C0A"/>
    <w:rsid w:val="5B6372BA"/>
    <w:rsid w:val="5BAB1071"/>
    <w:rsid w:val="5BCB6169"/>
    <w:rsid w:val="5BE34A4E"/>
    <w:rsid w:val="5C7E26CE"/>
    <w:rsid w:val="5CE9292E"/>
    <w:rsid w:val="5D3959B1"/>
    <w:rsid w:val="5DCA5FA9"/>
    <w:rsid w:val="5E521D73"/>
    <w:rsid w:val="5F3E2C00"/>
    <w:rsid w:val="5FA2737C"/>
    <w:rsid w:val="5FE96E67"/>
    <w:rsid w:val="606D714B"/>
    <w:rsid w:val="60732927"/>
    <w:rsid w:val="608D2FCC"/>
    <w:rsid w:val="60C110C9"/>
    <w:rsid w:val="60E21846"/>
    <w:rsid w:val="60F46C91"/>
    <w:rsid w:val="60FE69AF"/>
    <w:rsid w:val="6131159B"/>
    <w:rsid w:val="61657B33"/>
    <w:rsid w:val="61A067CD"/>
    <w:rsid w:val="62026F36"/>
    <w:rsid w:val="6345240D"/>
    <w:rsid w:val="63467514"/>
    <w:rsid w:val="644D0143"/>
    <w:rsid w:val="64860031"/>
    <w:rsid w:val="64973A5A"/>
    <w:rsid w:val="64C44A96"/>
    <w:rsid w:val="64E1366E"/>
    <w:rsid w:val="65C22480"/>
    <w:rsid w:val="66007D67"/>
    <w:rsid w:val="66295856"/>
    <w:rsid w:val="66726157"/>
    <w:rsid w:val="67C21B9B"/>
    <w:rsid w:val="67D9593F"/>
    <w:rsid w:val="67E54704"/>
    <w:rsid w:val="682A60F2"/>
    <w:rsid w:val="682D4AF8"/>
    <w:rsid w:val="68E36708"/>
    <w:rsid w:val="69405A1D"/>
    <w:rsid w:val="695D4175"/>
    <w:rsid w:val="6A057CE5"/>
    <w:rsid w:val="6A190E9F"/>
    <w:rsid w:val="6A8504D0"/>
    <w:rsid w:val="6AD05952"/>
    <w:rsid w:val="6B065C4D"/>
    <w:rsid w:val="6B344DF0"/>
    <w:rsid w:val="6B391278"/>
    <w:rsid w:val="6B922F60"/>
    <w:rsid w:val="6BA32EA6"/>
    <w:rsid w:val="6C117390"/>
    <w:rsid w:val="6C313EC9"/>
    <w:rsid w:val="6CD824B2"/>
    <w:rsid w:val="6D1945D1"/>
    <w:rsid w:val="6DA951F4"/>
    <w:rsid w:val="6E0A58FC"/>
    <w:rsid w:val="6E2476C2"/>
    <w:rsid w:val="6F9A0528"/>
    <w:rsid w:val="6F9F49B0"/>
    <w:rsid w:val="6FD54E8A"/>
    <w:rsid w:val="70206657"/>
    <w:rsid w:val="7022012B"/>
    <w:rsid w:val="70562CE7"/>
    <w:rsid w:val="711A1C9E"/>
    <w:rsid w:val="71411B5D"/>
    <w:rsid w:val="715C2428"/>
    <w:rsid w:val="715F6CDB"/>
    <w:rsid w:val="71C6563A"/>
    <w:rsid w:val="71CA0EB0"/>
    <w:rsid w:val="720D141A"/>
    <w:rsid w:val="7255784F"/>
    <w:rsid w:val="72A204A0"/>
    <w:rsid w:val="72C26316"/>
    <w:rsid w:val="73177E6E"/>
    <w:rsid w:val="73326919"/>
    <w:rsid w:val="73892D1C"/>
    <w:rsid w:val="744318F3"/>
    <w:rsid w:val="749331CE"/>
    <w:rsid w:val="74D44721"/>
    <w:rsid w:val="75AB309B"/>
    <w:rsid w:val="761558C9"/>
    <w:rsid w:val="768C460E"/>
    <w:rsid w:val="76BB1740"/>
    <w:rsid w:val="76CF1C1E"/>
    <w:rsid w:val="773B56AB"/>
    <w:rsid w:val="774D5922"/>
    <w:rsid w:val="77726C62"/>
    <w:rsid w:val="77C2468B"/>
    <w:rsid w:val="77C71871"/>
    <w:rsid w:val="77CF011D"/>
    <w:rsid w:val="78160D2B"/>
    <w:rsid w:val="782A4D5D"/>
    <w:rsid w:val="782D2F68"/>
    <w:rsid w:val="788F4CD8"/>
    <w:rsid w:val="79194C3C"/>
    <w:rsid w:val="797265CF"/>
    <w:rsid w:val="79E92285"/>
    <w:rsid w:val="79EF26F4"/>
    <w:rsid w:val="7A0A5919"/>
    <w:rsid w:val="7A2465E9"/>
    <w:rsid w:val="7A5A51A5"/>
    <w:rsid w:val="7A8F5AA2"/>
    <w:rsid w:val="7B0E3DF2"/>
    <w:rsid w:val="7B4B2CFB"/>
    <w:rsid w:val="7BD44AB5"/>
    <w:rsid w:val="7C0C4D1D"/>
    <w:rsid w:val="7C282F2D"/>
    <w:rsid w:val="7C6A62AD"/>
    <w:rsid w:val="7C7236B9"/>
    <w:rsid w:val="7C7C44BA"/>
    <w:rsid w:val="7D4B7DB3"/>
    <w:rsid w:val="7D5676DD"/>
    <w:rsid w:val="7E32042F"/>
    <w:rsid w:val="7E6D0694"/>
    <w:rsid w:val="7E75126E"/>
    <w:rsid w:val="7E9B37B2"/>
    <w:rsid w:val="7EB10D15"/>
    <w:rsid w:val="7EF377C6"/>
    <w:rsid w:val="7F0B342C"/>
    <w:rsid w:val="7F370E72"/>
    <w:rsid w:val="7F5A30FD"/>
    <w:rsid w:val="7F6310E9"/>
    <w:rsid w:val="7F9E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0" w:firstLineChars="200"/>
      <w:outlineLvl w:val="3"/>
    </w:pPr>
    <w:rPr>
      <w:rFonts w:ascii="宋体" w:hAnsi="宋体"/>
      <w:bCs/>
      <w:kern w:val="0"/>
      <w:sz w:val="20"/>
      <w:szCs w:val="20"/>
      <w:lang w:val="en-GB"/>
    </w:rPr>
  </w:style>
  <w:style w:type="paragraph" w:styleId="3">
    <w:name w:val="Body Text First Indent 2"/>
    <w:basedOn w:val="2"/>
    <w:next w:val="4"/>
    <w:qFormat/>
    <w:uiPriority w:val="0"/>
  </w:style>
  <w:style w:type="paragraph" w:styleId="4">
    <w:name w:val="Body Text"/>
    <w:basedOn w:val="1"/>
    <w:next w:val="2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5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6">
    <w:name w:val="Block Text"/>
    <w:basedOn w:val="1"/>
    <w:next w:val="1"/>
    <w:qFormat/>
    <w:uiPriority w:val="0"/>
    <w:pPr>
      <w:snapToGrid w:val="0"/>
      <w:spacing w:after="160" w:line="360" w:lineRule="auto"/>
      <w:ind w:left="-15" w:right="103" w:firstLine="447"/>
      <w:jc w:val="left"/>
    </w:pPr>
    <w:rPr>
      <w:rFonts w:ascii="宋体" w:hAnsi="宋体" w:eastAsiaTheme="minorEastAsia" w:cstheme="minorBidi"/>
      <w:spacing w:val="-2"/>
      <w:sz w:val="24"/>
      <w:szCs w:val="20"/>
      <w14:ligatures w14:val="standardContextual"/>
    </w:rPr>
  </w:style>
  <w:style w:type="paragraph" w:styleId="7">
    <w:name w:val="Plain Text"/>
    <w:basedOn w:val="1"/>
    <w:unhideWhenUsed/>
    <w:qFormat/>
    <w:uiPriority w:val="99"/>
    <w:rPr>
      <w:rFonts w:hAnsi="Courier New" w:cs="Courier New" w:asciiTheme="minorEastAsia"/>
    </w:rPr>
  </w:style>
  <w:style w:type="paragraph" w:styleId="8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annotation subject"/>
    <w:basedOn w:val="5"/>
    <w:next w:val="5"/>
    <w:link w:val="20"/>
    <w:semiHidden/>
    <w:unhideWhenUsed/>
    <w:qFormat/>
    <w:uiPriority w:val="99"/>
    <w:rPr>
      <w:b/>
      <w:bCs/>
    </w:r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6">
    <w:name w:val="页眉 Char"/>
    <w:basedOn w:val="13"/>
    <w:link w:val="10"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9"/>
    <w:qFormat/>
    <w:uiPriority w:val="99"/>
    <w:rPr>
      <w:sz w:val="18"/>
      <w:szCs w:val="18"/>
    </w:rPr>
  </w:style>
  <w:style w:type="paragraph" w:styleId="18">
    <w:name w:val="No Spacing"/>
    <w:qFormat/>
    <w:uiPriority w:val="1"/>
    <w:pPr>
      <w:widowControl w:val="0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19">
    <w:name w:val="批注文字 Char"/>
    <w:basedOn w:val="13"/>
    <w:link w:val="5"/>
    <w:semiHidden/>
    <w:qFormat/>
    <w:uiPriority w:val="99"/>
    <w:rPr>
      <w:rFonts w:ascii="Calibri" w:hAnsi="Calibri" w:eastAsia="微软雅黑" w:cs="Times New Roman"/>
      <w:szCs w:val="24"/>
    </w:rPr>
  </w:style>
  <w:style w:type="character" w:customStyle="1" w:styleId="20">
    <w:name w:val="批注主题 Char"/>
    <w:basedOn w:val="19"/>
    <w:link w:val="11"/>
    <w:semiHidden/>
    <w:qFormat/>
    <w:uiPriority w:val="99"/>
    <w:rPr>
      <w:rFonts w:ascii="Calibri" w:hAnsi="Calibri" w:eastAsia="微软雅黑" w:cs="Times New Roman"/>
      <w:b/>
      <w:bCs/>
      <w:szCs w:val="24"/>
    </w:rPr>
  </w:style>
  <w:style w:type="character" w:customStyle="1" w:styleId="21">
    <w:name w:val="批注框文本 Char"/>
    <w:basedOn w:val="13"/>
    <w:link w:val="8"/>
    <w:semiHidden/>
    <w:qFormat/>
    <w:uiPriority w:val="99"/>
    <w:rPr>
      <w:rFonts w:ascii="Calibri" w:hAnsi="Calibri" w:eastAsia="微软雅黑" w:cs="Times New Roman"/>
      <w:sz w:val="18"/>
      <w:szCs w:val="18"/>
    </w:rPr>
  </w:style>
  <w:style w:type="paragraph" w:customStyle="1" w:styleId="22">
    <w:name w:val="_Style 6"/>
    <w:basedOn w:val="1"/>
    <w:qFormat/>
    <w:uiPriority w:val="34"/>
    <w:pPr>
      <w:ind w:firstLine="420" w:firstLineChars="200"/>
    </w:pPr>
    <w:rPr>
      <w:rFonts w:eastAsia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1C058-826A-4CBE-8278-F9F6C1C3C4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AB</Company>
  <Pages>2</Pages>
  <Words>951</Words>
  <Characters>1055</Characters>
  <Lines>9</Lines>
  <Paragraphs>2</Paragraphs>
  <TotalTime>186</TotalTime>
  <ScaleCrop>false</ScaleCrop>
  <LinksUpToDate>false</LinksUpToDate>
  <CharactersWithSpaces>1239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2026-06-01T09:56:00Z</dcterms:created>
  <dc:creator>邱素萍</dc:creator>
  <cp:lastModifiedBy>xmb-user</cp:lastModifiedBy>
  <cp:lastPrinted>2025-09-01T05:49:00Z</cp:lastPrinted>
  <dcterms:modified xsi:type="dcterms:W3CDTF">2026-08-07T06:53:40Z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47D723898BA344AEB7FA019A9F3E0AC4</vt:lpwstr>
  </property>
  <property fmtid="{D5CDD505-2E9C-101B-9397-08002B2CF9AE}" pid="4" name="KSOTemplateDocerSaveRecord">
    <vt:lpwstr>eyJoZGlkIjoiNDViOGQ4MWVkMTZhZjk0MDNhZTM3YWI5ZDYwZWZmMTIifQ==</vt:lpwstr>
  </property>
</Properties>
</file>