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84031">
      <w:pPr>
        <w:overflowPunct w:val="0"/>
        <w:adjustRightInd w:val="0"/>
        <w:spacing w:line="360" w:lineRule="auto"/>
        <w:jc w:val="left"/>
        <w:rPr>
          <w:rFonts w:hint="eastAsia" w:ascii="宋体" w:hAnsi="宋体"/>
          <w:b/>
          <w:bCs/>
          <w:sz w:val="24"/>
          <w:szCs w:val="24"/>
        </w:rPr>
      </w:pPr>
      <w:r>
        <w:rPr>
          <w:rFonts w:hint="eastAsia" w:ascii="宋体" w:hAnsi="宋体"/>
          <w:b/>
          <w:bCs/>
          <w:sz w:val="24"/>
          <w:szCs w:val="24"/>
        </w:rPr>
        <w:t>证券代码：</w:t>
      </w:r>
      <w:r>
        <w:rPr>
          <w:rFonts w:ascii="宋体" w:hAnsi="宋体"/>
          <w:b/>
          <w:bCs/>
          <w:sz w:val="24"/>
          <w:szCs w:val="24"/>
        </w:rPr>
        <w:t>603685</w:t>
      </w:r>
      <w:r>
        <w:rPr>
          <w:rFonts w:hint="eastAsia" w:ascii="宋体" w:hAnsi="宋体"/>
          <w:b/>
          <w:bCs/>
          <w:sz w:val="24"/>
          <w:szCs w:val="24"/>
        </w:rPr>
        <w:t xml:space="preserve">                              </w:t>
      </w:r>
      <w:r>
        <w:rPr>
          <w:rFonts w:ascii="宋体" w:hAnsi="宋体"/>
          <w:b/>
          <w:bCs/>
          <w:sz w:val="24"/>
          <w:szCs w:val="24"/>
        </w:rPr>
        <w:t xml:space="preserve">     </w:t>
      </w:r>
      <w:r>
        <w:rPr>
          <w:rFonts w:hint="eastAsia" w:ascii="宋体" w:hAnsi="宋体"/>
          <w:b/>
          <w:bCs/>
          <w:sz w:val="24"/>
          <w:szCs w:val="24"/>
        </w:rPr>
        <w:t>公司简称：</w:t>
      </w:r>
      <w:r>
        <w:rPr>
          <w:rFonts w:ascii="宋体" w:hAnsi="宋体"/>
          <w:b/>
          <w:bCs/>
          <w:sz w:val="24"/>
          <w:szCs w:val="24"/>
        </w:rPr>
        <w:t>晨丰科技</w:t>
      </w:r>
    </w:p>
    <w:p w14:paraId="51D396D4">
      <w:pPr>
        <w:overflowPunct w:val="0"/>
        <w:adjustRightInd w:val="0"/>
        <w:spacing w:line="360" w:lineRule="auto"/>
        <w:jc w:val="left"/>
        <w:rPr>
          <w:rFonts w:hint="eastAsia" w:ascii="宋体" w:hAnsi="宋体"/>
          <w:b/>
          <w:bCs/>
          <w:sz w:val="24"/>
          <w:szCs w:val="24"/>
        </w:rPr>
      </w:pPr>
    </w:p>
    <w:p w14:paraId="02EE0F11">
      <w:pPr>
        <w:jc w:val="center"/>
        <w:rPr>
          <w:rFonts w:hint="eastAsia" w:ascii="黑体" w:hAnsi="黑体" w:eastAsia="黑体"/>
          <w:b/>
          <w:bCs/>
          <w:sz w:val="36"/>
          <w:szCs w:val="36"/>
        </w:rPr>
      </w:pPr>
      <w:r>
        <w:rPr>
          <w:rFonts w:hint="eastAsia" w:ascii="黑体" w:hAnsi="黑体" w:eastAsia="黑体"/>
          <w:b/>
          <w:bCs/>
          <w:sz w:val="36"/>
          <w:szCs w:val="36"/>
        </w:rPr>
        <w:t>浙江晨丰科技股份有限公司</w:t>
      </w:r>
    </w:p>
    <w:p w14:paraId="3A66A72E">
      <w:pPr>
        <w:jc w:val="center"/>
        <w:rPr>
          <w:rFonts w:hint="eastAsia" w:ascii="黑体" w:hAnsi="黑体" w:eastAsia="黑体"/>
          <w:b/>
          <w:bCs/>
          <w:sz w:val="36"/>
          <w:szCs w:val="36"/>
        </w:rPr>
      </w:pPr>
      <w:r>
        <w:rPr>
          <w:rFonts w:hint="eastAsia" w:ascii="黑体" w:hAnsi="黑体" w:eastAsia="黑体"/>
          <w:b/>
          <w:bCs/>
          <w:sz w:val="36"/>
          <w:szCs w:val="36"/>
        </w:rPr>
        <w:t>投资者关系活动记录表</w:t>
      </w:r>
    </w:p>
    <w:p w14:paraId="00A0C48F">
      <w:pPr>
        <w:jc w:val="center"/>
        <w:rPr>
          <w:rFonts w:hint="eastAsia" w:ascii="黑体" w:hAnsi="黑体" w:eastAsia="黑体"/>
          <w:sz w:val="24"/>
          <w:szCs w:val="24"/>
        </w:rPr>
      </w:pPr>
    </w:p>
    <w:p w14:paraId="06E26618">
      <w:pPr>
        <w:ind w:right="-94"/>
        <w:jc w:val="right"/>
        <w:rPr>
          <w:rFonts w:hint="eastAsia" w:ascii="宋体" w:hAnsi="宋体" w:cs="宋体"/>
          <w:sz w:val="24"/>
          <w:szCs w:val="24"/>
        </w:rPr>
      </w:pPr>
      <w:r>
        <w:rPr>
          <w:rFonts w:hint="eastAsia" w:ascii="宋体" w:hAnsi="宋体" w:cs="宋体"/>
          <w:sz w:val="24"/>
          <w:szCs w:val="24"/>
        </w:rPr>
        <w:t>编号：2026-002</w:t>
      </w:r>
    </w:p>
    <w:tbl>
      <w:tblPr>
        <w:tblStyle w:val="6"/>
        <w:tblW w:w="87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9"/>
        <w:gridCol w:w="7238"/>
      </w:tblGrid>
      <w:tr w14:paraId="04D47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79" w:type="dxa"/>
            <w:vAlign w:val="center"/>
          </w:tcPr>
          <w:p w14:paraId="34455030">
            <w:pPr>
              <w:rPr>
                <w:sz w:val="24"/>
                <w:szCs w:val="24"/>
              </w:rPr>
            </w:pPr>
            <w:r>
              <w:rPr>
                <w:rFonts w:hint="eastAsia"/>
                <w:sz w:val="24"/>
                <w:szCs w:val="24"/>
              </w:rPr>
              <w:t>投资者关系活动类别</w:t>
            </w:r>
          </w:p>
        </w:tc>
        <w:tc>
          <w:tcPr>
            <w:tcW w:w="7238" w:type="dxa"/>
            <w:vAlign w:val="center"/>
          </w:tcPr>
          <w:p w14:paraId="3B119264">
            <w:pPr>
              <w:spacing w:line="360" w:lineRule="auto"/>
              <w:rPr>
                <w:sz w:val="24"/>
                <w:szCs w:val="24"/>
              </w:rPr>
            </w:pPr>
            <w:r>
              <w:rPr>
                <w:sz w:val="24"/>
                <w:szCs w:val="24"/>
              </w:rPr>
              <w:t>特定对象调研</w:t>
            </w:r>
          </w:p>
        </w:tc>
      </w:tr>
      <w:tr w14:paraId="4D6A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479" w:type="dxa"/>
            <w:vAlign w:val="center"/>
          </w:tcPr>
          <w:p w14:paraId="1C5AE4EA">
            <w:pPr>
              <w:overflowPunct w:val="0"/>
              <w:adjustRightInd w:val="0"/>
              <w:spacing w:line="360" w:lineRule="auto"/>
              <w:rPr>
                <w:sz w:val="24"/>
                <w:szCs w:val="24"/>
              </w:rPr>
            </w:pPr>
            <w:r>
              <w:rPr>
                <w:rFonts w:hint="eastAsia"/>
                <w:sz w:val="24"/>
                <w:szCs w:val="24"/>
              </w:rPr>
              <w:t>活动主题</w:t>
            </w:r>
          </w:p>
        </w:tc>
        <w:tc>
          <w:tcPr>
            <w:tcW w:w="7238" w:type="dxa"/>
            <w:vAlign w:val="center"/>
          </w:tcPr>
          <w:p w14:paraId="13379B6C">
            <w:pPr>
              <w:rPr>
                <w:sz w:val="24"/>
                <w:szCs w:val="24"/>
              </w:rPr>
            </w:pPr>
            <w:r>
              <w:rPr>
                <w:rFonts w:hint="eastAsia"/>
                <w:sz w:val="24"/>
              </w:rPr>
              <w:t>特定对象调研交流</w:t>
            </w:r>
          </w:p>
        </w:tc>
      </w:tr>
      <w:tr w14:paraId="4AE3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 w:hRule="atLeast"/>
        </w:trPr>
        <w:tc>
          <w:tcPr>
            <w:tcW w:w="1479" w:type="dxa"/>
            <w:vAlign w:val="center"/>
          </w:tcPr>
          <w:p w14:paraId="62CAC5A6">
            <w:pPr>
              <w:overflowPunct w:val="0"/>
              <w:adjustRightInd w:val="0"/>
              <w:spacing w:line="360" w:lineRule="auto"/>
              <w:rPr>
                <w:sz w:val="24"/>
                <w:szCs w:val="24"/>
              </w:rPr>
            </w:pPr>
            <w:r>
              <w:rPr>
                <w:rFonts w:hint="eastAsia"/>
                <w:sz w:val="24"/>
                <w:szCs w:val="24"/>
              </w:rPr>
              <w:t>时间</w:t>
            </w:r>
          </w:p>
        </w:tc>
        <w:tc>
          <w:tcPr>
            <w:tcW w:w="7238" w:type="dxa"/>
            <w:vAlign w:val="center"/>
          </w:tcPr>
          <w:p w14:paraId="7769EB3A">
            <w:pPr>
              <w:rPr>
                <w:sz w:val="24"/>
                <w:szCs w:val="24"/>
              </w:rPr>
            </w:pPr>
            <w:r>
              <w:rPr>
                <w:rFonts w:hint="eastAsia" w:ascii="宋体" w:hAnsi="宋体" w:cs="宋体"/>
                <w:bCs/>
                <w:iCs/>
                <w:color w:val="000000"/>
                <w:sz w:val="24"/>
              </w:rPr>
              <w:t>2026年8月3日13:30-15:00</w:t>
            </w:r>
          </w:p>
        </w:tc>
      </w:tr>
      <w:tr w14:paraId="01432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trPr>
        <w:tc>
          <w:tcPr>
            <w:tcW w:w="1479" w:type="dxa"/>
            <w:vAlign w:val="center"/>
          </w:tcPr>
          <w:p w14:paraId="07389A78">
            <w:pPr>
              <w:overflowPunct w:val="0"/>
              <w:adjustRightInd w:val="0"/>
              <w:spacing w:line="360" w:lineRule="auto"/>
              <w:rPr>
                <w:sz w:val="24"/>
                <w:szCs w:val="24"/>
              </w:rPr>
            </w:pPr>
            <w:r>
              <w:rPr>
                <w:rFonts w:hint="eastAsia"/>
                <w:sz w:val="24"/>
                <w:szCs w:val="24"/>
              </w:rPr>
              <w:t>地点</w:t>
            </w:r>
            <w:r>
              <w:rPr>
                <w:rFonts w:hint="eastAsia" w:ascii="宋体" w:hAnsi="宋体"/>
                <w:sz w:val="24"/>
                <w:szCs w:val="24"/>
              </w:rPr>
              <w:t>/</w:t>
            </w:r>
            <w:r>
              <w:rPr>
                <w:rFonts w:hint="eastAsia"/>
                <w:sz w:val="24"/>
                <w:szCs w:val="24"/>
              </w:rPr>
              <w:t>方式</w:t>
            </w:r>
          </w:p>
        </w:tc>
        <w:tc>
          <w:tcPr>
            <w:tcW w:w="7238" w:type="dxa"/>
            <w:vAlign w:val="center"/>
          </w:tcPr>
          <w:p w14:paraId="3C4C6F72">
            <w:pPr>
              <w:overflowPunct w:val="0"/>
              <w:adjustRightInd w:val="0"/>
              <w:spacing w:line="360" w:lineRule="auto"/>
              <w:rPr>
                <w:sz w:val="24"/>
                <w:szCs w:val="24"/>
              </w:rPr>
            </w:pPr>
            <w:r>
              <w:rPr>
                <w:rFonts w:hint="eastAsia" w:ascii="宋体" w:hAnsi="宋体"/>
                <w:bCs/>
                <w:sz w:val="24"/>
              </w:rPr>
              <w:t>公司会议室</w:t>
            </w:r>
          </w:p>
        </w:tc>
      </w:tr>
      <w:tr w14:paraId="183FE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79" w:type="dxa"/>
            <w:vAlign w:val="center"/>
          </w:tcPr>
          <w:p w14:paraId="45EAD2F8">
            <w:pPr>
              <w:overflowPunct w:val="0"/>
              <w:adjustRightInd w:val="0"/>
              <w:spacing w:line="360" w:lineRule="auto"/>
              <w:rPr>
                <w:sz w:val="24"/>
                <w:szCs w:val="24"/>
              </w:rPr>
            </w:pPr>
            <w:r>
              <w:rPr>
                <w:rFonts w:hint="eastAsia"/>
                <w:sz w:val="24"/>
                <w:szCs w:val="24"/>
              </w:rPr>
              <w:t>参会人员</w:t>
            </w:r>
          </w:p>
        </w:tc>
        <w:tc>
          <w:tcPr>
            <w:tcW w:w="7238" w:type="dxa"/>
            <w:vAlign w:val="center"/>
          </w:tcPr>
          <w:p w14:paraId="4C664F2F">
            <w:pPr>
              <w:spacing w:line="360" w:lineRule="auto"/>
              <w:rPr>
                <w:rFonts w:hint="eastAsia" w:ascii="宋体" w:hAnsi="宋体" w:cs="宋体"/>
                <w:sz w:val="24"/>
                <w:szCs w:val="24"/>
              </w:rPr>
            </w:pPr>
            <w:r>
              <w:rPr>
                <w:rFonts w:hint="eastAsia" w:ascii="宋体" w:hAnsi="宋体" w:cs="宋体"/>
                <w:sz w:val="24"/>
                <w:szCs w:val="24"/>
              </w:rPr>
              <w:t>董事会秘书 洪莎；华夏久盈 张嵛斌；博裕资本 周博文；广发证券 陈龙</w:t>
            </w:r>
          </w:p>
        </w:tc>
      </w:tr>
      <w:tr w14:paraId="18EE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7" w:hRule="atLeast"/>
        </w:trPr>
        <w:tc>
          <w:tcPr>
            <w:tcW w:w="1479" w:type="dxa"/>
            <w:vAlign w:val="center"/>
          </w:tcPr>
          <w:p w14:paraId="3AB864E0">
            <w:pPr>
              <w:rPr>
                <w:sz w:val="24"/>
                <w:szCs w:val="24"/>
              </w:rPr>
            </w:pPr>
            <w:r>
              <w:rPr>
                <w:rFonts w:hint="eastAsia"/>
                <w:sz w:val="24"/>
                <w:szCs w:val="24"/>
              </w:rPr>
              <w:t>投资者关系活动主要内容介绍</w:t>
            </w:r>
          </w:p>
        </w:tc>
        <w:tc>
          <w:tcPr>
            <w:tcW w:w="7238" w:type="dxa"/>
          </w:tcPr>
          <w:p w14:paraId="7FA49798">
            <w:pPr>
              <w:overflowPunct w:val="0"/>
              <w:adjustRightInd w:val="0"/>
              <w:spacing w:line="360" w:lineRule="auto"/>
              <w:ind w:firstLine="480" w:firstLineChars="200"/>
              <w:rPr>
                <w:rFonts w:ascii="宋体"/>
                <w:sz w:val="24"/>
              </w:rPr>
            </w:pPr>
            <w:r>
              <w:rPr>
                <w:rFonts w:hint="eastAsia" w:ascii="宋体"/>
                <w:sz w:val="24"/>
              </w:rPr>
              <w:t>公司董事会秘书介绍了公司基本情况、主营业务、竞争优势、以及未来发展战略等。现场交流情况如下：</w:t>
            </w:r>
          </w:p>
          <w:p w14:paraId="732B077E">
            <w:pPr>
              <w:overflowPunct w:val="0"/>
              <w:adjustRightInd w:val="0"/>
              <w:spacing w:line="360" w:lineRule="auto"/>
              <w:ind w:firstLine="482" w:firstLineChars="200"/>
              <w:rPr>
                <w:rFonts w:ascii="宋体"/>
                <w:b/>
                <w:bCs/>
                <w:sz w:val="24"/>
              </w:rPr>
            </w:pPr>
            <w:r>
              <w:rPr>
                <w:rFonts w:hint="eastAsia" w:ascii="宋体"/>
                <w:b/>
                <w:bCs/>
                <w:sz w:val="24"/>
              </w:rPr>
              <w:t>问题1：请</w:t>
            </w:r>
            <w:r>
              <w:rPr>
                <w:rFonts w:hint="eastAsia" w:ascii="宋体"/>
                <w:b/>
                <w:bCs/>
                <w:sz w:val="24"/>
                <w:lang w:val="en-US" w:eastAsia="zh-CN"/>
              </w:rPr>
              <w:t>介绍一下公司</w:t>
            </w:r>
            <w:r>
              <w:rPr>
                <w:rFonts w:hint="eastAsia" w:ascii="宋体"/>
                <w:b/>
                <w:bCs/>
                <w:sz w:val="24"/>
              </w:rPr>
              <w:t>增量配电网“发配售一体化”业务模式？</w:t>
            </w:r>
          </w:p>
          <w:p w14:paraId="13058785">
            <w:pPr>
              <w:overflowPunct w:val="0"/>
              <w:spacing w:line="360" w:lineRule="auto"/>
              <w:ind w:firstLine="482" w:firstLineChars="200"/>
              <w:rPr>
                <w:rFonts w:ascii="宋体"/>
                <w:sz w:val="24"/>
              </w:rPr>
            </w:pPr>
            <w:r>
              <w:rPr>
                <w:rFonts w:hint="eastAsia" w:ascii="宋体"/>
                <w:b/>
                <w:bCs/>
                <w:sz w:val="24"/>
              </w:rPr>
              <w:t>答：</w:t>
            </w:r>
            <w:r>
              <w:rPr>
                <w:rFonts w:ascii="宋体" w:hAnsi="宋体" w:eastAsia="宋体" w:cs="宋体"/>
                <w:sz w:val="24"/>
                <w:szCs w:val="24"/>
              </w:rPr>
              <w:t>公司增量配电网业务</w:t>
            </w:r>
            <w:r>
              <w:rPr>
                <w:rFonts w:hint="eastAsia" w:ascii="宋体" w:hAnsi="宋体" w:cs="宋体"/>
                <w:sz w:val="24"/>
                <w:szCs w:val="24"/>
                <w:lang w:val="en-US" w:eastAsia="zh-CN"/>
              </w:rPr>
              <w:t>包含</w:t>
            </w:r>
            <w:r>
              <w:rPr>
                <w:rFonts w:ascii="宋体" w:hAnsi="宋体" w:eastAsia="宋体" w:cs="宋体"/>
                <w:sz w:val="24"/>
                <w:szCs w:val="24"/>
              </w:rPr>
              <w:t>配电网运营及配套</w:t>
            </w:r>
            <w:r>
              <w:rPr>
                <w:rFonts w:hint="eastAsia" w:ascii="宋体" w:hAnsi="宋体" w:cs="宋体"/>
                <w:sz w:val="24"/>
                <w:szCs w:val="24"/>
                <w:lang w:val="en-US" w:eastAsia="zh-CN"/>
              </w:rPr>
              <w:t>风光</w:t>
            </w:r>
            <w:r>
              <w:rPr>
                <w:rFonts w:ascii="宋体" w:hAnsi="宋体" w:eastAsia="宋体" w:cs="宋体"/>
                <w:sz w:val="24"/>
                <w:szCs w:val="24"/>
              </w:rPr>
              <w:t>发电</w:t>
            </w:r>
            <w:r>
              <w:rPr>
                <w:rFonts w:hint="eastAsia" w:ascii="宋体" w:hAnsi="宋体" w:cs="宋体"/>
                <w:sz w:val="24"/>
                <w:szCs w:val="24"/>
                <w:lang w:val="en-US" w:eastAsia="zh-CN"/>
              </w:rPr>
              <w:t>业务，</w:t>
            </w:r>
            <w:r>
              <w:rPr>
                <w:rFonts w:ascii="Segoe UI" w:hAnsi="Segoe UI" w:eastAsia="Segoe UI" w:cs="Segoe UI"/>
                <w:i w:val="0"/>
                <w:iCs w:val="0"/>
                <w:caps w:val="0"/>
                <w:color w:val="0F1115"/>
                <w:spacing w:val="0"/>
                <w:sz w:val="24"/>
                <w:szCs w:val="24"/>
                <w:shd w:val="clear" w:fill="FFFFFF"/>
              </w:rPr>
              <w:t>整体创新构建了</w:t>
            </w:r>
            <w:r>
              <w:rPr>
                <w:rFonts w:hint="eastAsia" w:ascii="Segoe UI" w:hAnsi="Segoe UI"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发配售一体化</w:t>
            </w:r>
            <w:r>
              <w:rPr>
                <w:rFonts w:hint="eastAsia" w:ascii="Segoe UI" w:hAnsi="Segoe UI" w:cs="Segoe UI"/>
                <w:i w:val="0"/>
                <w:iCs w:val="0"/>
                <w:caps w:val="0"/>
                <w:color w:val="0F1115"/>
                <w:spacing w:val="0"/>
                <w:sz w:val="24"/>
                <w:szCs w:val="24"/>
                <w:shd w:val="clear" w:fill="FFFFFF"/>
                <w:lang w:eastAsia="zh-CN"/>
              </w:rPr>
              <w:t>”</w:t>
            </w:r>
            <w:r>
              <w:rPr>
                <w:rFonts w:ascii="Segoe UI" w:hAnsi="Segoe UI" w:eastAsia="Segoe UI" w:cs="Segoe UI"/>
                <w:i w:val="0"/>
                <w:iCs w:val="0"/>
                <w:caps w:val="0"/>
                <w:color w:val="0F1115"/>
                <w:spacing w:val="0"/>
                <w:sz w:val="24"/>
                <w:szCs w:val="24"/>
                <w:shd w:val="clear" w:fill="FFFFFF"/>
              </w:rPr>
              <w:t>的</w:t>
            </w:r>
            <w:r>
              <w:rPr>
                <w:rFonts w:hint="eastAsia" w:ascii="Segoe UI" w:hAnsi="Segoe UI" w:cs="Segoe UI"/>
                <w:i w:val="0"/>
                <w:iCs w:val="0"/>
                <w:caps w:val="0"/>
                <w:color w:val="0F1115"/>
                <w:spacing w:val="0"/>
                <w:sz w:val="24"/>
                <w:szCs w:val="24"/>
                <w:shd w:val="clear" w:fill="FFFFFF"/>
                <w:lang w:val="en-US" w:eastAsia="zh-CN"/>
              </w:rPr>
              <w:t>业务</w:t>
            </w:r>
            <w:r>
              <w:rPr>
                <w:rFonts w:ascii="Segoe UI" w:hAnsi="Segoe UI" w:eastAsia="Segoe UI" w:cs="Segoe UI"/>
                <w:i w:val="0"/>
                <w:iCs w:val="0"/>
                <w:caps w:val="0"/>
                <w:color w:val="0F1115"/>
                <w:spacing w:val="0"/>
                <w:sz w:val="24"/>
                <w:szCs w:val="24"/>
                <w:shd w:val="clear" w:fill="FFFFFF"/>
              </w:rPr>
              <w:t>模式</w:t>
            </w:r>
            <w:r>
              <w:rPr>
                <w:rFonts w:ascii="宋体" w:hAnsi="宋体" w:eastAsia="宋体" w:cs="宋体"/>
                <w:sz w:val="24"/>
                <w:szCs w:val="24"/>
              </w:rPr>
              <w:t>。</w:t>
            </w:r>
            <w:r>
              <w:rPr>
                <w:rFonts w:hint="eastAsia" w:asciiTheme="minorEastAsia" w:hAnsiTheme="minorEastAsia" w:cstheme="minorEastAsia"/>
                <w:sz w:val="24"/>
                <w:highlight w:val="none"/>
                <w:lang w:val="en-US" w:eastAsia="zh-CN"/>
              </w:rPr>
              <w:t>公司通过</w:t>
            </w:r>
            <w:r>
              <w:rPr>
                <w:rFonts w:hint="eastAsia" w:asciiTheme="minorEastAsia" w:hAnsiTheme="minorEastAsia" w:cstheme="minorEastAsia"/>
                <w:sz w:val="24"/>
                <w:highlight w:val="none"/>
              </w:rPr>
              <w:t>建设供电设施并铺设供电线路，将外购电力或者增量配电网配套的风力电站、光伏电站供应的电力直接销售给供电范围内工业园区中的用电客户</w:t>
            </w:r>
            <w:r>
              <w:rPr>
                <w:rFonts w:ascii="Segoe UI" w:hAnsi="Segoe UI" w:eastAsia="Segoe UI" w:cs="Segoe UI"/>
                <w:i w:val="0"/>
                <w:iCs w:val="0"/>
                <w:caps w:val="0"/>
                <w:color w:val="0F1115"/>
                <w:spacing w:val="0"/>
                <w:sz w:val="24"/>
                <w:szCs w:val="24"/>
                <w:shd w:val="clear" w:fill="FFFFFF"/>
              </w:rPr>
              <w:t>。</w:t>
            </w:r>
          </w:p>
          <w:p w14:paraId="4B173EF2">
            <w:pPr>
              <w:overflowPunct w:val="0"/>
              <w:adjustRightInd w:val="0"/>
              <w:spacing w:line="360" w:lineRule="auto"/>
              <w:ind w:firstLine="480" w:firstLineChars="200"/>
              <w:rPr>
                <w:rFonts w:hint="eastAsia" w:ascii="宋体"/>
                <w:sz w:val="24"/>
              </w:rPr>
            </w:pPr>
            <w:r>
              <w:rPr>
                <w:rFonts w:hint="eastAsia" w:ascii="宋体" w:hAnsi="宋体" w:cs="宋体"/>
                <w:sz w:val="24"/>
                <w:szCs w:val="24"/>
                <w:lang w:val="en-US" w:eastAsia="zh-CN"/>
              </w:rPr>
              <w:t>该</w:t>
            </w:r>
            <w:r>
              <w:rPr>
                <w:rFonts w:hint="eastAsia" w:ascii="宋体" w:hAnsi="宋体" w:eastAsia="宋体" w:cs="宋体"/>
                <w:sz w:val="24"/>
                <w:szCs w:val="24"/>
              </w:rPr>
              <w:t>业务模式</w:t>
            </w:r>
            <w:r>
              <w:rPr>
                <w:rFonts w:hint="eastAsia" w:ascii="宋体" w:hAnsi="宋体" w:eastAsia="宋体" w:cs="宋体"/>
                <w:sz w:val="24"/>
                <w:szCs w:val="24"/>
                <w:lang w:val="en-US" w:eastAsia="zh-CN"/>
              </w:rPr>
              <w:t>分为三大核心环节</w:t>
            </w:r>
            <w:r>
              <w:rPr>
                <w:rFonts w:hint="eastAsia" w:ascii="宋体" w:hAnsi="宋体" w:eastAsia="宋体" w:cs="宋体"/>
                <w:sz w:val="24"/>
                <w:szCs w:val="24"/>
              </w:rPr>
              <w:t>：发电侧，</w:t>
            </w:r>
            <w:r>
              <w:rPr>
                <w:rFonts w:hint="eastAsia" w:ascii="宋体" w:hAnsi="宋体" w:eastAsia="宋体" w:cs="宋体"/>
                <w:sz w:val="24"/>
                <w:szCs w:val="24"/>
                <w:lang w:val="en-US" w:eastAsia="zh-CN"/>
              </w:rPr>
              <w:t>公司</w:t>
            </w:r>
            <w:r>
              <w:rPr>
                <w:rFonts w:hint="eastAsia" w:ascii="宋体" w:hAnsi="宋体" w:eastAsia="宋体" w:cs="宋体"/>
                <w:sz w:val="24"/>
                <w:szCs w:val="24"/>
              </w:rPr>
              <w:t>在配电网区域附近建设风力电站、光伏电站，实现新能源电力的本地化生产；配网侧，</w:t>
            </w:r>
            <w:r>
              <w:rPr>
                <w:rFonts w:hint="eastAsia" w:ascii="宋体" w:hAnsi="宋体" w:eastAsia="宋体" w:cs="宋体"/>
                <w:sz w:val="24"/>
                <w:szCs w:val="24"/>
                <w:lang w:val="en-US" w:eastAsia="zh-CN"/>
              </w:rPr>
              <w:t>公司</w:t>
            </w:r>
            <w:r>
              <w:rPr>
                <w:rFonts w:hint="eastAsia" w:ascii="宋体" w:hAnsi="宋体" w:eastAsia="宋体" w:cs="宋体"/>
                <w:sz w:val="24"/>
                <w:szCs w:val="24"/>
              </w:rPr>
              <w:t>通过投资建设并运营独立的配电网设施（包括变电站、输电线路等），实现园区内电力的规划、市场交易、结算、调度、计量管理以及独立决策；</w:t>
            </w:r>
            <w:r>
              <w:rPr>
                <w:rFonts w:ascii="宋体" w:hAnsi="宋体" w:eastAsia="宋体" w:cs="宋体"/>
                <w:sz w:val="24"/>
                <w:szCs w:val="24"/>
                <w:lang w:val="en-US" w:eastAsia="zh-CN"/>
              </w:rPr>
              <w:t>售电侧，依托低成本、高绿电占比的</w:t>
            </w:r>
            <w:r>
              <w:rPr>
                <w:rFonts w:hint="eastAsia" w:ascii="宋体" w:hAnsi="宋体" w:cs="宋体"/>
                <w:sz w:val="24"/>
                <w:szCs w:val="24"/>
                <w:lang w:val="en-US" w:eastAsia="zh-CN"/>
              </w:rPr>
              <w:t>电力</w:t>
            </w:r>
            <w:r>
              <w:rPr>
                <w:rFonts w:ascii="宋体" w:hAnsi="宋体" w:eastAsia="宋体" w:cs="宋体"/>
                <w:sz w:val="24"/>
                <w:szCs w:val="24"/>
                <w:lang w:val="en-US" w:eastAsia="zh-CN"/>
              </w:rPr>
              <w:t>优势，</w:t>
            </w:r>
            <w:r>
              <w:rPr>
                <w:rFonts w:hint="eastAsia" w:ascii="宋体"/>
                <w:sz w:val="24"/>
              </w:rPr>
              <w:t>吸引“电价敏感型、绿电偏好型、出口依赖型”企业入驻</w:t>
            </w:r>
            <w:r>
              <w:rPr>
                <w:rFonts w:hint="eastAsia" w:ascii="宋体"/>
                <w:sz w:val="24"/>
                <w:lang w:val="en-US" w:eastAsia="zh-CN"/>
              </w:rPr>
              <w:t>园区</w:t>
            </w:r>
            <w:r>
              <w:rPr>
                <w:rFonts w:hint="eastAsia" w:ascii="宋体"/>
                <w:sz w:val="24"/>
              </w:rPr>
              <w:t>。</w:t>
            </w:r>
          </w:p>
          <w:p w14:paraId="72E411FB">
            <w:pPr>
              <w:overflowPunct w:val="0"/>
              <w:spacing w:line="360" w:lineRule="auto"/>
              <w:ind w:firstLine="480" w:firstLineChars="200"/>
              <w:rPr>
                <w:rFonts w:ascii="宋体"/>
                <w:sz w:val="24"/>
              </w:rPr>
            </w:pPr>
            <w:r>
              <w:rPr>
                <w:rFonts w:hint="eastAsia" w:ascii="宋体"/>
                <w:b w:val="0"/>
                <w:bCs w:val="0"/>
                <w:sz w:val="24"/>
                <w:lang w:val="en-US" w:eastAsia="zh-CN"/>
              </w:rPr>
              <w:t>相较于传统电力</w:t>
            </w:r>
            <w:r>
              <w:rPr>
                <w:rFonts w:hint="eastAsia" w:ascii="宋体"/>
                <w:sz w:val="24"/>
              </w:rPr>
              <w:t>多个环节</w:t>
            </w:r>
            <w:r>
              <w:rPr>
                <w:rFonts w:hint="eastAsia" w:ascii="宋体"/>
                <w:sz w:val="24"/>
                <w:lang w:val="en-US" w:eastAsia="zh-CN"/>
              </w:rPr>
              <w:t>结算模式，公司增量</w:t>
            </w:r>
            <w:r>
              <w:rPr>
                <w:rFonts w:hint="eastAsia" w:ascii="宋体"/>
                <w:sz w:val="24"/>
              </w:rPr>
              <w:t>配电网</w:t>
            </w:r>
            <w:r>
              <w:rPr>
                <w:rFonts w:hint="eastAsia" w:ascii="宋体"/>
                <w:sz w:val="24"/>
                <w:lang w:val="en-US" w:eastAsia="zh-CN"/>
              </w:rPr>
              <w:t>业务</w:t>
            </w:r>
            <w:r>
              <w:rPr>
                <w:rFonts w:ascii="宋体" w:hAnsi="宋体" w:eastAsia="宋体" w:cs="宋体"/>
                <w:sz w:val="24"/>
                <w:szCs w:val="24"/>
              </w:rPr>
              <w:t>实现发电、配电、售电环节内部垂直整合</w:t>
            </w:r>
            <w:r>
              <w:rPr>
                <w:rFonts w:hint="eastAsia" w:ascii="宋体" w:hAnsi="宋体" w:cs="宋体"/>
                <w:sz w:val="24"/>
                <w:szCs w:val="24"/>
                <w:lang w:eastAsia="zh-CN"/>
              </w:rPr>
              <w:t>，</w:t>
            </w:r>
            <w:r>
              <w:rPr>
                <w:rFonts w:ascii="宋体" w:hAnsi="宋体" w:eastAsia="宋体" w:cs="宋体"/>
                <w:sz w:val="24"/>
                <w:szCs w:val="24"/>
              </w:rPr>
              <w:t>业务采用“自建绿电+国网保供”双轮供电</w:t>
            </w:r>
            <w:r>
              <w:rPr>
                <w:rFonts w:hint="eastAsia" w:ascii="宋体" w:hAnsi="宋体" w:cs="宋体"/>
                <w:sz w:val="24"/>
                <w:szCs w:val="24"/>
                <w:lang w:val="en-US" w:eastAsia="zh-CN"/>
              </w:rPr>
              <w:t>模式</w:t>
            </w:r>
            <w:r>
              <w:rPr>
                <w:rFonts w:ascii="宋体" w:hAnsi="宋体" w:eastAsia="宋体" w:cs="宋体"/>
                <w:sz w:val="24"/>
                <w:szCs w:val="24"/>
              </w:rPr>
              <w:t>，</w:t>
            </w:r>
            <w:r>
              <w:rPr>
                <w:rFonts w:hint="eastAsia" w:ascii="宋体" w:hAnsi="宋体" w:cs="宋体"/>
                <w:sz w:val="24"/>
                <w:szCs w:val="24"/>
                <w:lang w:val="en-US" w:eastAsia="zh-CN"/>
              </w:rPr>
              <w:t>有效</w:t>
            </w:r>
            <w:r>
              <w:rPr>
                <w:rFonts w:ascii="宋体" w:hAnsi="宋体" w:eastAsia="宋体" w:cs="宋体"/>
                <w:sz w:val="24"/>
                <w:szCs w:val="24"/>
              </w:rPr>
              <w:t>兼顾绿电供给与供电稳定性</w:t>
            </w:r>
            <w:r>
              <w:rPr>
                <w:rFonts w:hint="eastAsia" w:ascii="宋体" w:hAnsi="宋体" w:cs="宋体"/>
                <w:sz w:val="24"/>
                <w:szCs w:val="24"/>
                <w:lang w:eastAsia="zh-CN"/>
              </w:rPr>
              <w:t>。</w:t>
            </w:r>
            <w:r>
              <w:rPr>
                <w:rFonts w:hint="eastAsia" w:ascii="宋体" w:hAnsi="宋体" w:cs="宋体"/>
                <w:sz w:val="24"/>
                <w:szCs w:val="24"/>
                <w:lang w:val="en-US" w:eastAsia="zh-CN"/>
              </w:rPr>
              <w:t>目前公司运营的增量配电网</w:t>
            </w:r>
            <w:r>
              <w:rPr>
                <w:rFonts w:ascii="宋体" w:hAnsi="宋体" w:eastAsia="宋体" w:cs="宋体"/>
                <w:sz w:val="24"/>
                <w:szCs w:val="24"/>
              </w:rPr>
              <w:t>内绿电占</w:t>
            </w:r>
            <w:r>
              <w:rPr>
                <w:rFonts w:hint="eastAsia" w:ascii="宋体" w:hAnsi="宋体" w:cs="宋体"/>
                <w:sz w:val="24"/>
                <w:szCs w:val="24"/>
                <w:lang w:eastAsia="zh"/>
                <w:woUserID w:val="1"/>
              </w:rPr>
              <w:t>比将近</w:t>
            </w:r>
            <w:r>
              <w:rPr>
                <w:rFonts w:ascii="宋体" w:hAnsi="宋体" w:eastAsia="宋体" w:cs="宋体"/>
                <w:sz w:val="24"/>
                <w:szCs w:val="24"/>
              </w:rPr>
              <w:t>60%，</w:t>
            </w:r>
            <w:r>
              <w:rPr>
                <w:rFonts w:hint="eastAsia" w:ascii="宋体" w:hAnsi="宋体" w:cs="宋体"/>
                <w:sz w:val="24"/>
                <w:szCs w:val="24"/>
                <w:lang w:eastAsia="zh"/>
                <w:woUserID w:val="1"/>
              </w:rPr>
              <w:t>并有望进一步提升</w:t>
            </w:r>
            <w:r>
              <w:rPr>
                <w:rFonts w:ascii="宋体" w:hAnsi="宋体" w:eastAsia="宋体" w:cs="宋体"/>
                <w:sz w:val="24"/>
                <w:szCs w:val="24"/>
              </w:rPr>
              <w:t>。</w:t>
            </w:r>
          </w:p>
          <w:p w14:paraId="334BBEA3">
            <w:pPr>
              <w:overflowPunct w:val="0"/>
              <w:adjustRightInd w:val="0"/>
              <w:spacing w:line="360" w:lineRule="auto"/>
              <w:ind w:firstLine="480" w:firstLineChars="200"/>
              <w:rPr>
                <w:rFonts w:hint="eastAsia" w:ascii="宋体"/>
                <w:sz w:val="24"/>
              </w:rPr>
            </w:pPr>
            <w:r>
              <w:rPr>
                <w:rFonts w:hint="eastAsia" w:ascii="宋体"/>
                <w:sz w:val="24"/>
              </w:rPr>
              <w:t>经过多年实践验证，公司“发配售一体化”</w:t>
            </w:r>
            <w:r>
              <w:rPr>
                <w:rFonts w:hint="eastAsia" w:ascii="宋体"/>
                <w:sz w:val="24"/>
                <w:lang w:val="en-US" w:eastAsia="zh-CN"/>
              </w:rPr>
              <w:t>增量配电网</w:t>
            </w:r>
            <w:r>
              <w:rPr>
                <w:rFonts w:hint="eastAsia" w:ascii="宋体"/>
                <w:sz w:val="24"/>
              </w:rPr>
              <w:t>业务模式已形成标准化</w:t>
            </w:r>
            <w:r>
              <w:rPr>
                <w:rFonts w:hint="eastAsia" w:ascii="宋体"/>
                <w:sz w:val="24"/>
                <w:lang w:eastAsia="zh-CN"/>
              </w:rPr>
              <w:t>、</w:t>
            </w:r>
            <w:r>
              <w:rPr>
                <w:rFonts w:hint="eastAsia" w:ascii="宋体"/>
                <w:sz w:val="24"/>
                <w:lang w:val="en-US" w:eastAsia="zh-CN"/>
              </w:rPr>
              <w:t>可复制的</w:t>
            </w:r>
            <w:r>
              <w:rPr>
                <w:rFonts w:hint="eastAsia" w:ascii="宋体"/>
                <w:sz w:val="24"/>
              </w:rPr>
              <w:t>运营体系，政策适配性强、市场认可度高</w:t>
            </w:r>
            <w:r>
              <w:rPr>
                <w:rFonts w:hint="eastAsia" w:ascii="宋体"/>
                <w:sz w:val="24"/>
                <w:lang w:eastAsia="zh-CN"/>
              </w:rPr>
              <w:t>。</w:t>
            </w:r>
            <w:r>
              <w:rPr>
                <w:rFonts w:hint="eastAsia" w:ascii="宋体"/>
                <w:sz w:val="24"/>
              </w:rPr>
              <w:t>通过新能源直供与多能互补机制，公司进一步增强市场竞争力、助力园区实现低碳发展目标，</w:t>
            </w:r>
            <w:r>
              <w:rPr>
                <w:rFonts w:hint="eastAsia" w:ascii="宋体"/>
                <w:sz w:val="24"/>
                <w:lang w:val="en-US" w:eastAsia="zh-CN"/>
              </w:rPr>
              <w:t>同时</w:t>
            </w:r>
            <w:r>
              <w:rPr>
                <w:rFonts w:hint="eastAsia" w:ascii="宋体"/>
                <w:sz w:val="24"/>
              </w:rPr>
              <w:t>通过电价洼地效应吸引高耗能、绿电偏好型及出口导向型企业加速集聚，形成“负荷增长-电源扩容-成本下降”的良性循环，构建起多方协同的绿电应用新生态。</w:t>
            </w:r>
          </w:p>
          <w:p w14:paraId="4153FCE8">
            <w:pPr>
              <w:overflowPunct w:val="0"/>
              <w:adjustRightInd w:val="0"/>
              <w:spacing w:line="360" w:lineRule="auto"/>
              <w:ind w:firstLine="482" w:firstLineChars="200"/>
              <w:rPr>
                <w:rFonts w:ascii="宋体"/>
                <w:b/>
                <w:bCs/>
                <w:sz w:val="24"/>
              </w:rPr>
            </w:pPr>
            <w:r>
              <w:rPr>
                <w:rFonts w:hint="eastAsia" w:ascii="宋体"/>
                <w:b/>
                <w:bCs/>
                <w:sz w:val="24"/>
              </w:rPr>
              <w:t>问题</w:t>
            </w:r>
            <w:r>
              <w:rPr>
                <w:rFonts w:hint="eastAsia" w:ascii="宋体"/>
                <w:b/>
                <w:bCs/>
                <w:sz w:val="24"/>
                <w:lang w:val="en-US" w:eastAsia="zh-CN"/>
              </w:rPr>
              <w:t>2</w:t>
            </w:r>
            <w:r>
              <w:rPr>
                <w:rFonts w:hint="eastAsia" w:ascii="宋体"/>
                <w:b/>
                <w:bCs/>
                <w:sz w:val="24"/>
              </w:rPr>
              <w:t>：公司现在增量配电网经营情况如何？</w:t>
            </w:r>
          </w:p>
          <w:p w14:paraId="78CE3BA0">
            <w:pPr>
              <w:overflowPunct w:val="0"/>
              <w:adjustRightInd w:val="0"/>
              <w:spacing w:line="360" w:lineRule="auto"/>
              <w:ind w:firstLine="482" w:firstLineChars="200"/>
              <w:rPr>
                <w:rFonts w:ascii="宋体"/>
                <w:sz w:val="24"/>
              </w:rPr>
            </w:pPr>
            <w:r>
              <w:rPr>
                <w:rFonts w:hint="eastAsia" w:ascii="宋体"/>
                <w:b/>
                <w:bCs/>
                <w:sz w:val="24"/>
              </w:rPr>
              <w:t>答：</w:t>
            </w:r>
            <w:r>
              <w:rPr>
                <w:rFonts w:hint="eastAsia" w:ascii="宋体"/>
                <w:sz w:val="24"/>
              </w:rPr>
              <w:t>截至</w:t>
            </w:r>
            <w:r>
              <w:rPr>
                <w:rFonts w:hint="eastAsia" w:ascii="宋体"/>
                <w:sz w:val="24"/>
                <w:lang w:val="en-US" w:eastAsia="zh-CN"/>
              </w:rPr>
              <w:t>2025年末</w:t>
            </w:r>
            <w:r>
              <w:rPr>
                <w:rFonts w:hint="eastAsia" w:ascii="宋体"/>
                <w:sz w:val="24"/>
              </w:rPr>
              <w:t>，公司已成为</w:t>
            </w:r>
            <w:r>
              <w:rPr>
                <w:rFonts w:hint="eastAsia" w:ascii="宋体"/>
                <w:sz w:val="24"/>
                <w:lang w:val="en-US" w:eastAsia="zh-CN"/>
              </w:rPr>
              <w:t>5</w:t>
            </w:r>
            <w:r>
              <w:rPr>
                <w:rFonts w:hint="eastAsia" w:ascii="宋体"/>
                <w:sz w:val="24"/>
              </w:rPr>
              <w:t>个增量配电网项目的业主，拥有国家能源局核发的4张</w:t>
            </w:r>
            <w:r>
              <w:rPr>
                <w:rFonts w:hint="eastAsia" w:ascii="Times New Roman" w:hAnsi="Times New Roman"/>
                <w:sz w:val="24"/>
              </w:rPr>
              <w:t>增量配电网牌照</w:t>
            </w:r>
            <w:r>
              <w:rPr>
                <w:rFonts w:hint="eastAsia" w:ascii="宋体"/>
                <w:sz w:val="24"/>
              </w:rPr>
              <w:t>，</w:t>
            </w:r>
            <w:r>
              <w:rPr>
                <w:rFonts w:hint="eastAsia" w:ascii="宋体"/>
                <w:sz w:val="24"/>
                <w:lang w:eastAsia="zh"/>
                <w:woUserID w:val="1"/>
              </w:rPr>
              <w:t>计划开发</w:t>
            </w:r>
            <w:r>
              <w:rPr>
                <w:rFonts w:hint="eastAsia" w:ascii="宋体"/>
                <w:sz w:val="24"/>
              </w:rPr>
              <w:t>的增量配电网项目14个，均位于东北及蒙东地区。公司控股子公司运营的奈曼旗项目是公司增量配电网业务的运营标杆，奈曼旗项目于2022年9月正式投运并成为蒙东地区首家建成并网的增量配电网。近日，由公司控股孙公司投资建设的赤峰市东山产业园区66千伏久远变电站正式投运，这也是赤峰市首个增量配电网项目。</w:t>
            </w:r>
            <w:r>
              <w:rPr>
                <w:rFonts w:ascii="宋体" w:hAnsi="宋体" w:cs="宋体"/>
                <w:sz w:val="24"/>
                <w:szCs w:val="24"/>
              </w:rPr>
              <w:t>依托网内配套新能源场站自发自用模式，</w:t>
            </w:r>
            <w:r>
              <w:rPr>
                <w:rFonts w:hint="eastAsia" w:ascii="宋体" w:hAnsi="宋体" w:cs="宋体"/>
                <w:sz w:val="24"/>
                <w:szCs w:val="24"/>
                <w:lang w:val="en-US" w:eastAsia="zh-CN"/>
              </w:rPr>
              <w:t>奈曼旗项目</w:t>
            </w:r>
            <w:r>
              <w:rPr>
                <w:rFonts w:hint="eastAsia" w:ascii="宋体"/>
                <w:sz w:val="24"/>
              </w:rPr>
              <w:t>增量配电网内自发绿电到户电价低至0.3</w:t>
            </w:r>
            <w:r>
              <w:rPr>
                <w:rFonts w:hint="eastAsia" w:ascii="宋体"/>
                <w:sz w:val="24"/>
                <w:lang w:eastAsia="zh"/>
                <w:woUserID w:val="1"/>
              </w:rPr>
              <w:t>5</w:t>
            </w:r>
            <w:r>
              <w:rPr>
                <w:rFonts w:hint="eastAsia" w:ascii="宋体"/>
                <w:sz w:val="24"/>
              </w:rPr>
              <w:t>元/千瓦时，</w:t>
            </w:r>
            <w:r>
              <w:rPr>
                <w:rFonts w:hint="eastAsia" w:ascii="宋体" w:hAnsi="宋体" w:cs="宋体"/>
                <w:sz w:val="24"/>
                <w:szCs w:val="24"/>
                <w:lang w:val="en-US" w:eastAsia="zh-CN"/>
              </w:rPr>
              <w:t>东山项目</w:t>
            </w:r>
            <w:r>
              <w:rPr>
                <w:rFonts w:hint="eastAsia" w:ascii="宋体"/>
                <w:sz w:val="24"/>
              </w:rPr>
              <w:t>增量配电网内自发绿电到户电价低至0.3</w:t>
            </w:r>
            <w:r>
              <w:rPr>
                <w:rFonts w:hint="eastAsia" w:ascii="宋体"/>
                <w:sz w:val="24"/>
                <w:lang w:val="en-US" w:eastAsia="zh-CN"/>
                <w:woUserID w:val="1"/>
              </w:rPr>
              <w:t>8</w:t>
            </w:r>
            <w:r>
              <w:rPr>
                <w:rFonts w:hint="eastAsia" w:ascii="宋体"/>
                <w:sz w:val="24"/>
              </w:rPr>
              <w:t>元/千瓦时</w:t>
            </w:r>
            <w:r>
              <w:rPr>
                <w:rFonts w:hint="eastAsia" w:ascii="宋体"/>
                <w:sz w:val="24"/>
                <w:lang w:eastAsia="zh-CN"/>
              </w:rPr>
              <w:t>，</w:t>
            </w:r>
            <w:r>
              <w:rPr>
                <w:rFonts w:hint="eastAsia" w:ascii="宋体"/>
                <w:sz w:val="24"/>
              </w:rPr>
              <w:t>比市场交易综合到户电价降低</w:t>
            </w:r>
            <w:r>
              <w:rPr>
                <w:rFonts w:hint="eastAsia" w:ascii="宋体"/>
                <w:sz w:val="24"/>
                <w:lang w:eastAsia="zh"/>
                <w:woUserID w:val="1"/>
              </w:rPr>
              <w:t>约</w:t>
            </w:r>
            <w:r>
              <w:rPr>
                <w:rFonts w:hint="eastAsia" w:ascii="宋体"/>
                <w:sz w:val="24"/>
              </w:rPr>
              <w:t>30%，大幅降低企业用电成本，切实减轻企业经营负担，优化园区营商环境，为产业集聚发展夯实基础。</w:t>
            </w:r>
          </w:p>
          <w:p w14:paraId="640DBC36">
            <w:pPr>
              <w:overflowPunct w:val="0"/>
              <w:adjustRightInd w:val="0"/>
              <w:spacing w:line="360" w:lineRule="auto"/>
              <w:ind w:firstLine="482" w:firstLineChars="200"/>
              <w:rPr>
                <w:rFonts w:ascii="宋体"/>
                <w:b/>
                <w:bCs/>
                <w:sz w:val="24"/>
              </w:rPr>
            </w:pPr>
            <w:r>
              <w:rPr>
                <w:rFonts w:hint="eastAsia" w:ascii="宋体"/>
                <w:b/>
                <w:bCs/>
                <w:sz w:val="24"/>
              </w:rPr>
              <w:t>问题</w:t>
            </w:r>
            <w:r>
              <w:rPr>
                <w:rFonts w:hint="eastAsia" w:ascii="宋体"/>
                <w:b/>
                <w:bCs/>
                <w:sz w:val="24"/>
                <w:lang w:val="en-US" w:eastAsia="zh-CN"/>
              </w:rPr>
              <w:t>3</w:t>
            </w:r>
            <w:r>
              <w:rPr>
                <w:rFonts w:hint="eastAsia" w:ascii="宋体"/>
                <w:b/>
                <w:bCs/>
                <w:sz w:val="24"/>
              </w:rPr>
              <w:t>：公司增量配电网业务模式与绿电直连的差异是什么？</w:t>
            </w:r>
          </w:p>
          <w:p w14:paraId="1481E931">
            <w:pPr>
              <w:spacing w:line="360" w:lineRule="auto"/>
              <w:ind w:firstLine="482" w:firstLineChars="200"/>
              <w:rPr>
                <w:rFonts w:hint="eastAsia" w:ascii="宋体"/>
                <w:sz w:val="24"/>
              </w:rPr>
            </w:pPr>
            <w:r>
              <w:rPr>
                <w:rFonts w:hint="eastAsia" w:ascii="宋体"/>
                <w:b/>
                <w:bCs/>
                <w:sz w:val="24"/>
              </w:rPr>
              <w:t>答：</w:t>
            </w:r>
            <w:r>
              <w:rPr>
                <w:rFonts w:hint="eastAsia" w:ascii="宋体"/>
                <w:b w:val="0"/>
                <w:bCs w:val="0"/>
                <w:sz w:val="24"/>
              </w:rPr>
              <w:t>增量配电网业务模式与绿电直连虽均可实现新能源就近消纳</w:t>
            </w:r>
            <w:r>
              <w:rPr>
                <w:rFonts w:hint="eastAsia" w:ascii="宋体"/>
                <w:sz w:val="24"/>
              </w:rPr>
              <w:t>、降低用户</w:t>
            </w:r>
            <w:r>
              <w:rPr>
                <w:rFonts w:hint="eastAsia" w:ascii="宋体"/>
                <w:sz w:val="24"/>
                <w:highlight w:val="none"/>
              </w:rPr>
              <w:t>用能成本</w:t>
            </w:r>
            <w:r>
              <w:rPr>
                <w:rFonts w:hint="eastAsia" w:ascii="宋体"/>
                <w:b w:val="0"/>
                <w:bCs w:val="0"/>
                <w:sz w:val="24"/>
                <w:highlight w:val="none"/>
              </w:rPr>
              <w:t>，但二者存在</w:t>
            </w:r>
            <w:r>
              <w:rPr>
                <w:rFonts w:hint="eastAsia" w:ascii="宋体"/>
                <w:b w:val="0"/>
                <w:bCs w:val="0"/>
                <w:sz w:val="24"/>
                <w:highlight w:val="none"/>
                <w:lang w:val="en-US" w:eastAsia="zh-CN"/>
              </w:rPr>
              <w:t>一些</w:t>
            </w:r>
            <w:r>
              <w:rPr>
                <w:rFonts w:hint="eastAsia" w:ascii="宋体"/>
                <w:b w:val="0"/>
                <w:bCs w:val="0"/>
                <w:sz w:val="24"/>
                <w:highlight w:val="none"/>
              </w:rPr>
              <w:t>差异。</w:t>
            </w:r>
            <w:r>
              <w:rPr>
                <w:rFonts w:ascii="宋体" w:hAnsi="宋体" w:eastAsia="宋体" w:cs="宋体"/>
                <w:sz w:val="24"/>
                <w:szCs w:val="24"/>
              </w:rPr>
              <w:t>绿电直连主要面向固定的单一或多家新增、以及有降碳需求的特定行业用户</w:t>
            </w:r>
            <w:r>
              <w:rPr>
                <w:rFonts w:hint="eastAsia" w:ascii="宋体"/>
                <w:sz w:val="24"/>
                <w:highlight w:val="none"/>
                <w:lang w:eastAsia="zh-CN"/>
              </w:rPr>
              <w:t>，</w:t>
            </w:r>
            <w:r>
              <w:rPr>
                <w:rFonts w:hint="eastAsia" w:ascii="宋体"/>
                <w:sz w:val="24"/>
                <w:highlight w:val="none"/>
                <w:lang w:val="en-US" w:eastAsia="zh-CN"/>
              </w:rPr>
              <w:t>通过</w:t>
            </w:r>
            <w:r>
              <w:rPr>
                <w:rFonts w:hint="eastAsia"/>
                <w:sz w:val="24"/>
                <w:szCs w:val="28"/>
                <w:highlight w:val="none"/>
              </w:rPr>
              <w:t>自建新能源和储能系统实现绿电供给</w:t>
            </w:r>
            <w:r>
              <w:rPr>
                <w:rFonts w:hint="eastAsia" w:ascii="宋体"/>
                <w:sz w:val="24"/>
                <w:highlight w:val="none"/>
              </w:rPr>
              <w:t>，</w:t>
            </w:r>
            <w:r>
              <w:rPr>
                <w:rFonts w:hint="eastAsia" w:ascii="宋体"/>
                <w:sz w:val="24"/>
                <w:highlight w:val="none"/>
                <w:lang w:val="en-US" w:eastAsia="zh-CN"/>
              </w:rPr>
              <w:t>落地</w:t>
            </w:r>
            <w:r>
              <w:rPr>
                <w:rFonts w:hint="eastAsia" w:ascii="宋体"/>
                <w:sz w:val="24"/>
                <w:highlight w:val="none"/>
              </w:rPr>
              <w:t>门槛较低</w:t>
            </w:r>
            <w:r>
              <w:rPr>
                <w:rFonts w:hint="eastAsia" w:ascii="宋体"/>
                <w:sz w:val="24"/>
                <w:highlight w:val="none"/>
                <w:lang w:eastAsia="zh-CN"/>
              </w:rPr>
              <w:t>，</w:t>
            </w:r>
            <w:r>
              <w:rPr>
                <w:rFonts w:hint="eastAsia" w:ascii="宋体"/>
                <w:sz w:val="24"/>
                <w:highlight w:val="none"/>
              </w:rPr>
              <w:t>但用户一旦停产，对应绿电电源及专线需拆除改造，沉没成本极高；同时</w:t>
            </w:r>
            <w:r>
              <w:rPr>
                <w:rFonts w:hint="eastAsia"/>
                <w:sz w:val="24"/>
                <w:szCs w:val="28"/>
                <w:highlight w:val="none"/>
              </w:rPr>
              <w:t>固定用户供电模式</w:t>
            </w:r>
            <w:r>
              <w:rPr>
                <w:rFonts w:hint="eastAsia" w:ascii="宋体"/>
                <w:sz w:val="24"/>
                <w:highlight w:val="none"/>
              </w:rPr>
              <w:t>投资集中、融资难度大</w:t>
            </w:r>
            <w:r>
              <w:rPr>
                <w:rFonts w:hint="eastAsia" w:ascii="宋体"/>
                <w:sz w:val="24"/>
                <w:highlight w:val="none"/>
                <w:lang w:eastAsia="zh-CN"/>
              </w:rPr>
              <w:t>，</w:t>
            </w:r>
            <w:r>
              <w:rPr>
                <w:rFonts w:hint="eastAsia" w:ascii="宋体"/>
                <w:sz w:val="24"/>
                <w:highlight w:val="none"/>
                <w:lang w:val="en-US" w:eastAsia="zh-CN"/>
              </w:rPr>
              <w:t>用户</w:t>
            </w:r>
            <w:r>
              <w:rPr>
                <w:rFonts w:hint="eastAsia" w:ascii="宋体"/>
                <w:sz w:val="24"/>
                <w:highlight w:val="none"/>
              </w:rPr>
              <w:t>需承担</w:t>
            </w:r>
            <w:r>
              <w:rPr>
                <w:rFonts w:hint="eastAsia"/>
                <w:sz w:val="24"/>
                <w:szCs w:val="28"/>
                <w:highlight w:val="none"/>
              </w:rPr>
              <w:t>额外的</w:t>
            </w:r>
            <w:r>
              <w:rPr>
                <w:rFonts w:hint="eastAsia" w:ascii="宋体"/>
                <w:sz w:val="24"/>
                <w:highlight w:val="none"/>
              </w:rPr>
              <w:t>全容量电费与调峰成本</w:t>
            </w:r>
            <w:r>
              <w:rPr>
                <w:rFonts w:hint="eastAsia"/>
                <w:sz w:val="24"/>
                <w:szCs w:val="28"/>
                <w:highlight w:val="none"/>
              </w:rPr>
              <w:t>，降价空间非常有限</w:t>
            </w:r>
            <w:r>
              <w:rPr>
                <w:rFonts w:hint="eastAsia" w:ascii="宋体"/>
                <w:sz w:val="24"/>
                <w:highlight w:val="none"/>
              </w:rPr>
              <w:t>。</w:t>
            </w:r>
            <w:r>
              <w:rPr>
                <w:rFonts w:hint="eastAsia" w:ascii="宋体"/>
                <w:sz w:val="24"/>
                <w:highlight w:val="none"/>
                <w:lang w:val="en-US" w:eastAsia="zh-CN"/>
              </w:rPr>
              <w:t>与之相比，</w:t>
            </w:r>
            <w:r>
              <w:rPr>
                <w:rFonts w:hint="eastAsia" w:ascii="宋体"/>
                <w:sz w:val="24"/>
                <w:highlight w:val="none"/>
              </w:rPr>
              <w:t>增量配电网具备多元负荷整合能力，可聚合园区多类用电负荷</w:t>
            </w:r>
            <w:r>
              <w:rPr>
                <w:rFonts w:hint="eastAsia" w:ascii="宋体"/>
                <w:sz w:val="24"/>
              </w:rPr>
              <w:t>、适配大型产业园区及大规模数据中心集群，通过规模效应有效提升新能源消纳率，电力调度更加灵活。政策层面，增量配电网依托国家电力体制改革政策支持，拥有合法合规的配电运营主体地位，享有售电业务相关经营权利。经营层面，公司依托增量配电网低价绿电优势持续集聚用电负荷，提升园区整体用电规模，可同步实现发电、配电、产业配套等多方协同收益，形成可持续的规模化运营优势。</w:t>
            </w:r>
            <w:bookmarkStart w:id="0" w:name="_GoBack"/>
            <w:bookmarkEnd w:id="0"/>
          </w:p>
        </w:tc>
      </w:tr>
    </w:tbl>
    <w:p w14:paraId="66512600"/>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A6CAF">
    <w:pPr>
      <w:pStyle w:val="4"/>
      <w:tabs>
        <w:tab w:val="clear" w:pos="4153"/>
      </w:tabs>
      <w:jc w:val="right"/>
    </w:pPr>
    <w:r>
      <w:rPr>
        <w:rFonts w:hint="eastAsia"/>
      </w:rPr>
      <w:t>浙江晨丰科技股份有限公司投资者关系活动记录表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NTlhNGJhZTk1YmZkMTc2MTM0MTg2MGI3NTFmMTEifQ=="/>
  </w:docVars>
  <w:rsids>
    <w:rsidRoot w:val="009D4BA2"/>
    <w:rsid w:val="00022F22"/>
    <w:rsid w:val="00072A2F"/>
    <w:rsid w:val="000A33D9"/>
    <w:rsid w:val="000D238F"/>
    <w:rsid w:val="000D62B8"/>
    <w:rsid w:val="000E72F1"/>
    <w:rsid w:val="000F1CB6"/>
    <w:rsid w:val="000F6532"/>
    <w:rsid w:val="00112217"/>
    <w:rsid w:val="0018745D"/>
    <w:rsid w:val="001B2DF6"/>
    <w:rsid w:val="001E735A"/>
    <w:rsid w:val="00301E41"/>
    <w:rsid w:val="003138BE"/>
    <w:rsid w:val="00393554"/>
    <w:rsid w:val="00394DB7"/>
    <w:rsid w:val="003A55DF"/>
    <w:rsid w:val="0040538D"/>
    <w:rsid w:val="0047176C"/>
    <w:rsid w:val="004D3AE0"/>
    <w:rsid w:val="004D7310"/>
    <w:rsid w:val="00510F2C"/>
    <w:rsid w:val="00556AB8"/>
    <w:rsid w:val="005E1E9F"/>
    <w:rsid w:val="00694835"/>
    <w:rsid w:val="006B243F"/>
    <w:rsid w:val="007671DA"/>
    <w:rsid w:val="007A0403"/>
    <w:rsid w:val="00801763"/>
    <w:rsid w:val="00826D54"/>
    <w:rsid w:val="008B363D"/>
    <w:rsid w:val="008C5ECF"/>
    <w:rsid w:val="008D72CF"/>
    <w:rsid w:val="00917E7D"/>
    <w:rsid w:val="00957DC1"/>
    <w:rsid w:val="00965D3B"/>
    <w:rsid w:val="009C0595"/>
    <w:rsid w:val="009D4BA2"/>
    <w:rsid w:val="009F3533"/>
    <w:rsid w:val="009F605D"/>
    <w:rsid w:val="00A25F59"/>
    <w:rsid w:val="00B00313"/>
    <w:rsid w:val="00BB67FB"/>
    <w:rsid w:val="00BB6BC0"/>
    <w:rsid w:val="00C40D94"/>
    <w:rsid w:val="00C82ADE"/>
    <w:rsid w:val="00CB6802"/>
    <w:rsid w:val="00CD5176"/>
    <w:rsid w:val="00D634A0"/>
    <w:rsid w:val="00D8020F"/>
    <w:rsid w:val="00E03E03"/>
    <w:rsid w:val="00E20499"/>
    <w:rsid w:val="00EF4672"/>
    <w:rsid w:val="00F1410F"/>
    <w:rsid w:val="00F66311"/>
    <w:rsid w:val="00FF0BB9"/>
    <w:rsid w:val="09B6240B"/>
    <w:rsid w:val="1A2578A4"/>
    <w:rsid w:val="1CB2496B"/>
    <w:rsid w:val="1D60501E"/>
    <w:rsid w:val="23F32A04"/>
    <w:rsid w:val="25A60FF1"/>
    <w:rsid w:val="35AE748F"/>
    <w:rsid w:val="38DC4210"/>
    <w:rsid w:val="396159B3"/>
    <w:rsid w:val="3CBB0E0C"/>
    <w:rsid w:val="422A24E0"/>
    <w:rsid w:val="518508DF"/>
    <w:rsid w:val="53C81C0B"/>
    <w:rsid w:val="5F256600"/>
    <w:rsid w:val="61B42C51"/>
    <w:rsid w:val="64BE25DF"/>
    <w:rsid w:val="656E0BCB"/>
    <w:rsid w:val="67032744"/>
    <w:rsid w:val="670E1BEF"/>
    <w:rsid w:val="68E55851"/>
    <w:rsid w:val="6D014586"/>
    <w:rsid w:val="784C4A40"/>
    <w:rsid w:val="78A8313A"/>
    <w:rsid w:val="7A230AC3"/>
    <w:rsid w:val="7A6B5295"/>
    <w:rsid w:val="7D4E2DF7"/>
    <w:rsid w:val="7E3F712D"/>
    <w:rsid w:val="EEB8F9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List 2"/>
    <w:basedOn w:val="1"/>
    <w:unhideWhenUsed/>
    <w:qFormat/>
    <w:uiPriority w:val="0"/>
    <w:pPr>
      <w:spacing w:line="400" w:lineRule="exact"/>
      <w:jc w:val="left"/>
      <w:outlineLvl w:val="0"/>
    </w:pPr>
  </w:style>
  <w:style w:type="paragraph" w:styleId="3">
    <w:name w:val="annotation text"/>
    <w:basedOn w:val="1"/>
    <w:qFormat/>
    <w:uiPriority w:val="0"/>
    <w:pPr>
      <w:jc w:val="left"/>
    </w:p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Hyperlink"/>
    <w:basedOn w:val="7"/>
    <w:unhideWhenUsed/>
    <w:qFormat/>
    <w:uiPriority w:val="99"/>
    <w:rPr>
      <w:color w:val="0563C1"/>
      <w:u w:val="single"/>
    </w:rPr>
  </w:style>
  <w:style w:type="character" w:styleId="9">
    <w:name w:val="annotation reference"/>
    <w:basedOn w:val="7"/>
    <w:qFormat/>
    <w:uiPriority w:val="0"/>
    <w:rPr>
      <w:sz w:val="21"/>
      <w:szCs w:val="21"/>
    </w:rPr>
  </w:style>
  <w:style w:type="paragraph" w:customStyle="1" w:styleId="10">
    <w:name w:val="_Style 6"/>
    <w:basedOn w:val="1"/>
    <w:qFormat/>
    <w:uiPriority w:val="34"/>
    <w:pPr>
      <w:ind w:firstLine="420" w:firstLineChars="200"/>
    </w:pPr>
  </w:style>
  <w:style w:type="paragraph" w:customStyle="1" w:styleId="11">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1650</Words>
  <Characters>1693</Characters>
  <Lines>124</Lines>
  <Paragraphs>142</Paragraphs>
  <TotalTime>23</TotalTime>
  <ScaleCrop>false</ScaleCrop>
  <LinksUpToDate>false</LinksUpToDate>
  <CharactersWithSpaces>1732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2023-06-30T10:03:00Z</dcterms:created>
  <dc:creator>Administrator</dc:creator>
  <cp:lastModifiedBy>沈洁</cp:lastModifiedBy>
  <dcterms:modified xsi:type="dcterms:W3CDTF">2026-08-10T01:10:59Z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F1E39CAFC2C64F31A962F2ACB5ED43A5_13</vt:lpwstr>
  </property>
  <property fmtid="{D5CDD505-2E9C-101B-9397-08002B2CF9AE}" pid="4" name="KSOTemplateDocerSaveRecord">
    <vt:lpwstr>eyJoZGlkIjoiOWRkNmI1OTc3MmE3ODU0MzRmNTMzYjUzMDhiZTJkYzYiLCJ1c2VySWQiOiIxODUxMjUyNzc0In0=</vt:lpwstr>
  </property>
</Properties>
</file>