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E404FD">
      <w:pPr>
        <w:rPr>
          <w:rFonts w:ascii="黑体" w:hAnsi="黑体" w:eastAsia="黑体"/>
          <w:color w:val="FF0000"/>
          <w:sz w:val="44"/>
          <w:szCs w:val="44"/>
        </w:rPr>
      </w:pPr>
      <w:r>
        <w:rPr>
          <w:rFonts w:hint="eastAsia" w:ascii="黑体" w:hAnsi="黑体" w:eastAsia="黑体"/>
          <w:color w:val="FF0000"/>
          <w:sz w:val="44"/>
          <w:szCs w:val="44"/>
        </w:rPr>
        <w:t>中国北方稀土（集团）高科技股份有限公司</w:t>
      </w:r>
    </w:p>
    <w:p w14:paraId="36A01AFA">
      <w:pPr>
        <w:jc w:val="center"/>
        <w:rPr>
          <w:rFonts w:ascii="黑体" w:hAnsi="黑体" w:eastAsia="黑体"/>
          <w:color w:val="FF0000"/>
          <w:sz w:val="44"/>
          <w:szCs w:val="44"/>
        </w:rPr>
      </w:pPr>
      <w:r>
        <w:rPr>
          <w:rFonts w:hint="eastAsia" w:ascii="黑体" w:hAnsi="黑体" w:eastAsia="黑体"/>
          <w:color w:val="FF0000"/>
          <w:sz w:val="44"/>
          <w:szCs w:val="44"/>
        </w:rPr>
        <w:t>投资者关系活动记录表</w:t>
      </w:r>
    </w:p>
    <w:p w14:paraId="3737C415">
      <w:pPr>
        <w:jc w:val="right"/>
        <w:rPr>
          <w:rFonts w:ascii="宋体" w:hAnsi="宋体" w:eastAsia="宋体"/>
          <w:sz w:val="28"/>
          <w:szCs w:val="28"/>
        </w:rPr>
      </w:pPr>
      <w:r>
        <w:rPr>
          <w:rFonts w:hint="eastAsia" w:ascii="宋体" w:hAnsi="宋体" w:eastAsia="宋体"/>
          <w:sz w:val="28"/>
          <w:szCs w:val="28"/>
        </w:rPr>
        <w:t>编号：</w:t>
      </w:r>
      <w:r>
        <w:rPr>
          <w:rFonts w:ascii="宋体" w:hAnsi="宋体" w:eastAsia="宋体"/>
          <w:sz w:val="28"/>
          <w:szCs w:val="28"/>
        </w:rPr>
        <w:t>2026-009</w:t>
      </w:r>
    </w:p>
    <w:tbl>
      <w:tblPr>
        <w:tblStyle w:val="8"/>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2"/>
        <w:gridCol w:w="6667"/>
      </w:tblGrid>
      <w:tr w14:paraId="2700D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14:paraId="716A3C9B">
            <w:pPr>
              <w:spacing w:line="400" w:lineRule="exact"/>
              <w:jc w:val="center"/>
              <w:rPr>
                <w:rFonts w:ascii="宋体" w:hAnsi="宋体" w:eastAsia="宋体"/>
                <w:sz w:val="28"/>
                <w:szCs w:val="28"/>
              </w:rPr>
            </w:pPr>
            <w:r>
              <w:rPr>
                <w:rFonts w:hint="eastAsia" w:ascii="宋体" w:hAnsi="宋体" w:eastAsia="宋体"/>
                <w:sz w:val="28"/>
                <w:szCs w:val="28"/>
              </w:rPr>
              <w:t>投资者关系</w:t>
            </w:r>
          </w:p>
          <w:p w14:paraId="13A4047E">
            <w:pPr>
              <w:spacing w:line="400" w:lineRule="exact"/>
              <w:jc w:val="center"/>
              <w:rPr>
                <w:rFonts w:ascii="宋体" w:hAnsi="宋体" w:eastAsia="宋体"/>
                <w:sz w:val="28"/>
                <w:szCs w:val="28"/>
              </w:rPr>
            </w:pPr>
            <w:r>
              <w:rPr>
                <w:rFonts w:hint="eastAsia" w:ascii="宋体" w:hAnsi="宋体" w:eastAsia="宋体"/>
                <w:sz w:val="28"/>
                <w:szCs w:val="28"/>
              </w:rPr>
              <w:t>活动类别</w:t>
            </w:r>
          </w:p>
        </w:tc>
        <w:tc>
          <w:tcPr>
            <w:tcW w:w="6667" w:type="dxa"/>
          </w:tcPr>
          <w:p w14:paraId="164D04C2">
            <w:pPr>
              <w:spacing w:line="540" w:lineRule="exact"/>
              <w:rPr>
                <w:rFonts w:ascii="宋体" w:hAnsi="宋体" w:eastAsia="宋体"/>
                <w:sz w:val="28"/>
                <w:szCs w:val="28"/>
              </w:rPr>
            </w:pPr>
            <w:r>
              <w:rPr>
                <w:rFonts w:hint="eastAsia" w:ascii="宋体" w:hAnsi="宋体" w:eastAsia="宋体"/>
                <w:sz w:val="28"/>
                <w:szCs w:val="28"/>
              </w:rPr>
              <w:sym w:font="Wingdings 2" w:char="0052"/>
            </w:r>
            <w:r>
              <w:rPr>
                <w:rFonts w:hint="eastAsia" w:ascii="宋体" w:hAnsi="宋体" w:eastAsia="宋体"/>
                <w:sz w:val="28"/>
                <w:szCs w:val="28"/>
              </w:rPr>
              <w:t xml:space="preserve"> 特定对象调研 </w:t>
            </w:r>
            <w:r>
              <w:rPr>
                <w:rFonts w:ascii="宋体" w:hAnsi="宋体" w:eastAsia="宋体"/>
                <w:sz w:val="28"/>
                <w:szCs w:val="28"/>
              </w:rPr>
              <w:t xml:space="preserve">  </w:t>
            </w:r>
            <w:r>
              <w:rPr>
                <w:rFonts w:hint="eastAsia" w:ascii="宋体" w:hAnsi="宋体" w:eastAsia="宋体"/>
                <w:sz w:val="28"/>
                <w:szCs w:val="28"/>
              </w:rPr>
              <w:t xml:space="preserve">□ 分析师会议 </w:t>
            </w:r>
            <w:r>
              <w:rPr>
                <w:rFonts w:ascii="宋体" w:hAnsi="宋体" w:eastAsia="宋体"/>
                <w:sz w:val="28"/>
                <w:szCs w:val="28"/>
              </w:rPr>
              <w:t xml:space="preserve">      </w:t>
            </w:r>
          </w:p>
          <w:p w14:paraId="23BC35AF">
            <w:pPr>
              <w:spacing w:line="540" w:lineRule="exact"/>
              <w:rPr>
                <w:rFonts w:ascii="宋体" w:hAnsi="宋体" w:eastAsia="宋体"/>
                <w:sz w:val="28"/>
                <w:szCs w:val="28"/>
              </w:rPr>
            </w:pPr>
            <w:r>
              <w:rPr>
                <w:rFonts w:hint="eastAsia" w:ascii="宋体" w:hAnsi="宋体" w:eastAsia="宋体"/>
                <w:sz w:val="28"/>
                <w:szCs w:val="28"/>
              </w:rPr>
              <w:t xml:space="preserve">□ 媒体采访 </w:t>
            </w:r>
            <w:r>
              <w:rPr>
                <w:rFonts w:ascii="宋体" w:hAnsi="宋体" w:eastAsia="宋体"/>
                <w:sz w:val="28"/>
                <w:szCs w:val="28"/>
              </w:rPr>
              <w:t xml:space="preserve">      </w:t>
            </w:r>
            <w:r>
              <w:rPr>
                <w:rFonts w:hint="eastAsia" w:ascii="宋体" w:hAnsi="宋体" w:eastAsia="宋体"/>
                <w:sz w:val="28"/>
                <w:szCs w:val="28"/>
              </w:rPr>
              <w:t>□ 业绩说明会</w:t>
            </w:r>
          </w:p>
          <w:p w14:paraId="06643EB0">
            <w:pPr>
              <w:spacing w:line="540" w:lineRule="exact"/>
              <w:rPr>
                <w:rFonts w:ascii="宋体" w:hAnsi="宋体" w:eastAsia="宋体"/>
                <w:sz w:val="28"/>
                <w:szCs w:val="28"/>
              </w:rPr>
            </w:pPr>
            <w:r>
              <w:rPr>
                <w:rFonts w:hint="eastAsia" w:ascii="宋体" w:hAnsi="宋体" w:eastAsia="宋体"/>
                <w:sz w:val="28"/>
                <w:szCs w:val="28"/>
              </w:rPr>
              <w:t xml:space="preserve">□ 新闻发布会 </w:t>
            </w:r>
            <w:r>
              <w:rPr>
                <w:rFonts w:ascii="宋体" w:hAnsi="宋体" w:eastAsia="宋体"/>
                <w:sz w:val="28"/>
                <w:szCs w:val="28"/>
              </w:rPr>
              <w:t xml:space="preserve">    </w:t>
            </w:r>
            <w:r>
              <w:rPr>
                <w:rFonts w:hint="eastAsia" w:ascii="宋体" w:hAnsi="宋体" w:eastAsia="宋体"/>
                <w:sz w:val="28"/>
                <w:szCs w:val="28"/>
              </w:rPr>
              <w:t>□ 路演活动</w:t>
            </w:r>
          </w:p>
          <w:p w14:paraId="4EC59DAF">
            <w:pPr>
              <w:spacing w:line="540" w:lineRule="exact"/>
              <w:rPr>
                <w:rFonts w:ascii="宋体" w:hAnsi="宋体" w:eastAsia="宋体"/>
                <w:sz w:val="28"/>
                <w:szCs w:val="28"/>
              </w:rPr>
            </w:pPr>
            <w:r>
              <w:rPr>
                <w:rFonts w:hint="eastAsia" w:ascii="宋体" w:hAnsi="宋体" w:eastAsia="宋体"/>
                <w:sz w:val="28"/>
                <w:szCs w:val="28"/>
              </w:rPr>
              <w:t>□ 现场参观</w:t>
            </w:r>
          </w:p>
          <w:p w14:paraId="0E3F21D0">
            <w:pPr>
              <w:spacing w:line="540" w:lineRule="exact"/>
              <w:rPr>
                <w:rFonts w:ascii="宋体" w:hAnsi="宋体" w:eastAsia="宋体"/>
                <w:sz w:val="28"/>
                <w:szCs w:val="28"/>
              </w:rPr>
            </w:pPr>
            <w:r>
              <w:rPr>
                <w:rFonts w:hint="eastAsia" w:ascii="宋体" w:hAnsi="宋体" w:eastAsia="宋体"/>
                <w:sz w:val="28"/>
                <w:szCs w:val="28"/>
              </w:rPr>
              <w:t>□ 其他（请文字说明其他活动内容）</w:t>
            </w:r>
          </w:p>
        </w:tc>
      </w:tr>
      <w:tr w14:paraId="4A4AD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122" w:type="dxa"/>
            <w:vAlign w:val="center"/>
          </w:tcPr>
          <w:p w14:paraId="7D75EC66">
            <w:pPr>
              <w:spacing w:line="240" w:lineRule="auto"/>
              <w:jc w:val="center"/>
              <w:rPr>
                <w:rFonts w:ascii="宋体" w:hAnsi="宋体" w:eastAsia="宋体"/>
                <w:sz w:val="28"/>
                <w:szCs w:val="28"/>
              </w:rPr>
            </w:pPr>
            <w:r>
              <w:rPr>
                <w:rFonts w:hint="eastAsia" w:ascii="宋体" w:hAnsi="宋体" w:eastAsia="宋体"/>
                <w:sz w:val="28"/>
                <w:szCs w:val="28"/>
              </w:rPr>
              <w:t>来访时间、参会单位（排名不分先后）</w:t>
            </w:r>
          </w:p>
        </w:tc>
        <w:tc>
          <w:tcPr>
            <w:tcW w:w="6667" w:type="dxa"/>
            <w:vAlign w:val="center"/>
          </w:tcPr>
          <w:p w14:paraId="483BF777">
            <w:pPr>
              <w:spacing w:line="240" w:lineRule="auto"/>
              <w:rPr>
                <w:rFonts w:ascii="宋体" w:hAnsi="宋体" w:eastAsia="宋体"/>
                <w:sz w:val="28"/>
                <w:szCs w:val="28"/>
              </w:rPr>
            </w:pPr>
            <w:r>
              <w:rPr>
                <w:rFonts w:ascii="宋体" w:hAnsi="宋体" w:eastAsia="宋体"/>
                <w:sz w:val="28"/>
                <w:szCs w:val="28"/>
              </w:rPr>
              <w:t>2026</w:t>
            </w:r>
            <w:r>
              <w:rPr>
                <w:rFonts w:hint="eastAsia" w:ascii="宋体" w:hAnsi="宋体" w:eastAsia="宋体"/>
                <w:sz w:val="28"/>
                <w:szCs w:val="28"/>
              </w:rPr>
              <w:t>年7月1日 开源证券、宝盈基金、银华基金</w:t>
            </w:r>
          </w:p>
          <w:p w14:paraId="6D87CB9A">
            <w:pPr>
              <w:spacing w:line="240" w:lineRule="auto"/>
              <w:rPr>
                <w:rFonts w:ascii="宋体" w:hAnsi="宋体" w:eastAsia="宋体"/>
                <w:sz w:val="28"/>
                <w:szCs w:val="28"/>
              </w:rPr>
            </w:pPr>
            <w:r>
              <w:rPr>
                <w:rFonts w:ascii="宋体" w:hAnsi="宋体" w:eastAsia="宋体"/>
                <w:sz w:val="28"/>
                <w:szCs w:val="28"/>
              </w:rPr>
              <w:t>2026</w:t>
            </w:r>
            <w:r>
              <w:rPr>
                <w:rFonts w:hint="eastAsia" w:ascii="宋体" w:hAnsi="宋体" w:eastAsia="宋体"/>
                <w:sz w:val="28"/>
                <w:szCs w:val="28"/>
              </w:rPr>
              <w:t>年7月8日 国联民生证券、南方基金、聚鸣投资、中融基金、长城基金、和谐汇一</w:t>
            </w:r>
          </w:p>
          <w:p w14:paraId="4EB7ECD0">
            <w:pPr>
              <w:spacing w:line="240" w:lineRule="auto"/>
              <w:rPr>
                <w:rFonts w:ascii="宋体" w:hAnsi="宋体" w:eastAsia="宋体"/>
                <w:sz w:val="28"/>
                <w:szCs w:val="28"/>
              </w:rPr>
            </w:pPr>
            <w:r>
              <w:rPr>
                <w:rFonts w:ascii="宋体" w:hAnsi="宋体" w:eastAsia="宋体"/>
                <w:sz w:val="28"/>
                <w:szCs w:val="28"/>
              </w:rPr>
              <w:t>2026</w:t>
            </w:r>
            <w:r>
              <w:rPr>
                <w:rFonts w:hint="eastAsia" w:ascii="宋体" w:hAnsi="宋体" w:eastAsia="宋体"/>
                <w:sz w:val="28"/>
                <w:szCs w:val="28"/>
              </w:rPr>
              <w:t>年7月13日 西部证券、南方基金</w:t>
            </w:r>
          </w:p>
          <w:p w14:paraId="79CC3D2B">
            <w:pPr>
              <w:spacing w:line="240" w:lineRule="auto"/>
              <w:rPr>
                <w:rFonts w:ascii="宋体" w:hAnsi="宋体" w:eastAsia="宋体"/>
                <w:sz w:val="28"/>
                <w:szCs w:val="28"/>
              </w:rPr>
            </w:pPr>
            <w:r>
              <w:rPr>
                <w:rFonts w:ascii="宋体" w:hAnsi="宋体" w:eastAsia="宋体"/>
                <w:sz w:val="28"/>
                <w:szCs w:val="28"/>
              </w:rPr>
              <w:t>2026</w:t>
            </w:r>
            <w:r>
              <w:rPr>
                <w:rFonts w:hint="eastAsia" w:ascii="宋体" w:hAnsi="宋体" w:eastAsia="宋体"/>
                <w:sz w:val="28"/>
                <w:szCs w:val="28"/>
              </w:rPr>
              <w:t>年7月16日 华泰证券、大成基金、招商基金</w:t>
            </w:r>
          </w:p>
          <w:p w14:paraId="24D79CEF">
            <w:pPr>
              <w:spacing w:line="240" w:lineRule="auto"/>
              <w:rPr>
                <w:rFonts w:ascii="宋体" w:hAnsi="宋体" w:eastAsia="宋体"/>
                <w:sz w:val="28"/>
                <w:szCs w:val="28"/>
              </w:rPr>
            </w:pPr>
            <w:r>
              <w:rPr>
                <w:rFonts w:ascii="宋体" w:hAnsi="宋体" w:eastAsia="宋体"/>
                <w:sz w:val="28"/>
                <w:szCs w:val="28"/>
              </w:rPr>
              <w:t>2026</w:t>
            </w:r>
            <w:r>
              <w:rPr>
                <w:rFonts w:hint="eastAsia" w:ascii="宋体" w:hAnsi="宋体" w:eastAsia="宋体"/>
                <w:sz w:val="28"/>
                <w:szCs w:val="28"/>
              </w:rPr>
              <w:t>年7月16日 花旗环球金融</w:t>
            </w:r>
          </w:p>
          <w:p w14:paraId="19A95EB4">
            <w:pPr>
              <w:spacing w:line="240" w:lineRule="auto"/>
              <w:rPr>
                <w:rFonts w:ascii="宋体" w:hAnsi="宋体" w:eastAsia="宋体"/>
                <w:sz w:val="28"/>
                <w:szCs w:val="28"/>
              </w:rPr>
            </w:pPr>
            <w:r>
              <w:rPr>
                <w:rFonts w:ascii="宋体" w:hAnsi="宋体" w:eastAsia="宋体"/>
                <w:sz w:val="28"/>
                <w:szCs w:val="28"/>
              </w:rPr>
              <w:t>2026</w:t>
            </w:r>
            <w:r>
              <w:rPr>
                <w:rFonts w:hint="eastAsia" w:ascii="宋体" w:hAnsi="宋体" w:eastAsia="宋体"/>
                <w:sz w:val="28"/>
                <w:szCs w:val="28"/>
              </w:rPr>
              <w:t>年7月23日 申万宏源、华宝基金、华宝信托、国金基金</w:t>
            </w:r>
          </w:p>
          <w:p w14:paraId="712A1C31">
            <w:pPr>
              <w:spacing w:line="240" w:lineRule="auto"/>
              <w:rPr>
                <w:rFonts w:ascii="宋体" w:hAnsi="宋体" w:eastAsia="宋体"/>
                <w:sz w:val="28"/>
                <w:szCs w:val="28"/>
              </w:rPr>
            </w:pPr>
            <w:r>
              <w:rPr>
                <w:rFonts w:ascii="宋体" w:hAnsi="宋体" w:eastAsia="宋体"/>
                <w:sz w:val="28"/>
                <w:szCs w:val="28"/>
              </w:rPr>
              <w:t>2026</w:t>
            </w:r>
            <w:r>
              <w:rPr>
                <w:rFonts w:hint="eastAsia" w:ascii="宋体" w:hAnsi="宋体" w:eastAsia="宋体"/>
                <w:sz w:val="28"/>
                <w:szCs w:val="28"/>
              </w:rPr>
              <w:t>年7月30日 中信证券、新华资产、工银瑞信</w:t>
            </w:r>
          </w:p>
          <w:p w14:paraId="2FFAF9B8">
            <w:pPr>
              <w:spacing w:line="240" w:lineRule="auto"/>
              <w:rPr>
                <w:rFonts w:ascii="宋体" w:hAnsi="宋体" w:eastAsia="宋体"/>
                <w:sz w:val="28"/>
                <w:szCs w:val="28"/>
              </w:rPr>
            </w:pPr>
            <w:r>
              <w:rPr>
                <w:rFonts w:ascii="宋体" w:hAnsi="宋体" w:eastAsia="宋体"/>
                <w:sz w:val="28"/>
                <w:szCs w:val="28"/>
              </w:rPr>
              <w:t>2026</w:t>
            </w:r>
            <w:r>
              <w:rPr>
                <w:rFonts w:hint="eastAsia" w:ascii="宋体" w:hAnsi="宋体" w:eastAsia="宋体"/>
                <w:sz w:val="28"/>
                <w:szCs w:val="28"/>
              </w:rPr>
              <w:t>年7月31日 Capital</w:t>
            </w:r>
            <w:r>
              <w:rPr>
                <w:rFonts w:ascii="宋体" w:hAnsi="宋体" w:eastAsia="宋体"/>
                <w:sz w:val="28"/>
                <w:szCs w:val="28"/>
              </w:rPr>
              <w:t xml:space="preserve"> </w:t>
            </w:r>
            <w:r>
              <w:rPr>
                <w:rFonts w:hint="eastAsia" w:ascii="宋体" w:hAnsi="宋体" w:eastAsia="宋体"/>
                <w:sz w:val="28"/>
                <w:szCs w:val="28"/>
              </w:rPr>
              <w:t>Research</w:t>
            </w:r>
            <w:r>
              <w:rPr>
                <w:rFonts w:ascii="宋体" w:hAnsi="宋体" w:eastAsia="宋体"/>
                <w:sz w:val="28"/>
                <w:szCs w:val="28"/>
              </w:rPr>
              <w:t xml:space="preserve"> </w:t>
            </w:r>
            <w:r>
              <w:rPr>
                <w:rFonts w:hint="eastAsia" w:ascii="宋体" w:hAnsi="宋体" w:eastAsia="宋体"/>
                <w:sz w:val="28"/>
                <w:szCs w:val="28"/>
              </w:rPr>
              <w:t>Global</w:t>
            </w:r>
            <w:r>
              <w:rPr>
                <w:rFonts w:ascii="宋体" w:hAnsi="宋体" w:eastAsia="宋体"/>
                <w:sz w:val="28"/>
                <w:szCs w:val="28"/>
              </w:rPr>
              <w:t xml:space="preserve"> </w:t>
            </w:r>
            <w:r>
              <w:rPr>
                <w:rFonts w:hint="eastAsia" w:ascii="宋体" w:hAnsi="宋体" w:eastAsia="宋体"/>
                <w:sz w:val="28"/>
                <w:szCs w:val="28"/>
              </w:rPr>
              <w:t>Investors</w:t>
            </w:r>
          </w:p>
        </w:tc>
      </w:tr>
      <w:tr w14:paraId="4B2BE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122" w:type="dxa"/>
            <w:vAlign w:val="center"/>
          </w:tcPr>
          <w:p w14:paraId="34B29467">
            <w:pPr>
              <w:spacing w:line="240" w:lineRule="auto"/>
              <w:jc w:val="center"/>
              <w:rPr>
                <w:rFonts w:ascii="宋体" w:hAnsi="宋体" w:eastAsia="宋体"/>
                <w:sz w:val="28"/>
                <w:szCs w:val="28"/>
              </w:rPr>
            </w:pPr>
            <w:r>
              <w:rPr>
                <w:rFonts w:hint="eastAsia" w:ascii="宋体" w:hAnsi="宋体" w:eastAsia="宋体"/>
                <w:sz w:val="28"/>
                <w:szCs w:val="28"/>
              </w:rPr>
              <w:t>地点及形式</w:t>
            </w:r>
          </w:p>
        </w:tc>
        <w:tc>
          <w:tcPr>
            <w:tcW w:w="6667" w:type="dxa"/>
            <w:vAlign w:val="center"/>
          </w:tcPr>
          <w:p w14:paraId="41F4108E">
            <w:pPr>
              <w:spacing w:line="240" w:lineRule="auto"/>
              <w:rPr>
                <w:rFonts w:ascii="宋体" w:hAnsi="宋体" w:eastAsia="宋体"/>
                <w:sz w:val="28"/>
                <w:szCs w:val="28"/>
              </w:rPr>
            </w:pPr>
            <w:r>
              <w:rPr>
                <w:rFonts w:hint="eastAsia" w:ascii="宋体" w:hAnsi="宋体" w:eastAsia="宋体"/>
                <w:sz w:val="28"/>
                <w:szCs w:val="28"/>
              </w:rPr>
              <w:t>公司会议室现场调研座谈、线上调研、包头稀土博物馆参观。</w:t>
            </w:r>
          </w:p>
        </w:tc>
      </w:tr>
      <w:tr w14:paraId="46CDB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2122" w:type="dxa"/>
            <w:vAlign w:val="center"/>
          </w:tcPr>
          <w:p w14:paraId="6E94E2E1">
            <w:pPr>
              <w:spacing w:line="400" w:lineRule="exact"/>
              <w:jc w:val="center"/>
              <w:rPr>
                <w:rFonts w:ascii="宋体" w:hAnsi="宋体" w:eastAsia="宋体"/>
                <w:sz w:val="28"/>
                <w:szCs w:val="28"/>
              </w:rPr>
            </w:pPr>
            <w:r>
              <w:rPr>
                <w:rFonts w:hint="eastAsia" w:ascii="宋体" w:hAnsi="宋体" w:eastAsia="宋体"/>
                <w:sz w:val="28"/>
                <w:szCs w:val="28"/>
              </w:rPr>
              <w:t>公司接待人员</w:t>
            </w:r>
          </w:p>
        </w:tc>
        <w:tc>
          <w:tcPr>
            <w:tcW w:w="6667" w:type="dxa"/>
            <w:vAlign w:val="center"/>
          </w:tcPr>
          <w:p w14:paraId="60D0D6CF">
            <w:pPr>
              <w:spacing w:line="540" w:lineRule="exact"/>
              <w:rPr>
                <w:rFonts w:ascii="宋体" w:hAnsi="宋体" w:eastAsia="宋体"/>
                <w:sz w:val="28"/>
                <w:szCs w:val="28"/>
              </w:rPr>
            </w:pPr>
            <w:r>
              <w:rPr>
                <w:rFonts w:hint="eastAsia" w:ascii="宋体" w:hAnsi="宋体" w:eastAsia="宋体"/>
                <w:sz w:val="28"/>
                <w:szCs w:val="28"/>
              </w:rPr>
              <w:t>公司董事、董事会秘</w:t>
            </w:r>
            <w:r>
              <w:rPr>
                <w:rFonts w:hint="eastAsia" w:ascii="宋体" w:hAnsi="宋体" w:eastAsia="宋体" w:cs="微软雅黑"/>
                <w:sz w:val="28"/>
                <w:szCs w:val="28"/>
              </w:rPr>
              <w:t>书</w:t>
            </w:r>
            <w:r>
              <w:rPr>
                <w:rFonts w:hint="eastAsia" w:ascii="宋体" w:hAnsi="宋体" w:eastAsia="宋体" w:cs="MS Gothic"/>
                <w:sz w:val="28"/>
                <w:szCs w:val="28"/>
              </w:rPr>
              <w:t>、首席合</w:t>
            </w:r>
            <w:r>
              <w:rPr>
                <w:rFonts w:hint="eastAsia" w:ascii="宋体" w:hAnsi="宋体" w:eastAsia="宋体" w:cs="微软雅黑"/>
                <w:sz w:val="28"/>
                <w:szCs w:val="28"/>
              </w:rPr>
              <w:t>规</w:t>
            </w:r>
            <w:r>
              <w:rPr>
                <w:rFonts w:hint="eastAsia" w:ascii="宋体" w:hAnsi="宋体" w:eastAsia="宋体" w:cs="MS Gothic"/>
                <w:sz w:val="28"/>
                <w:szCs w:val="28"/>
              </w:rPr>
              <w:t>官吴永</w:t>
            </w:r>
            <w:r>
              <w:rPr>
                <w:rFonts w:hint="eastAsia" w:ascii="宋体" w:hAnsi="宋体" w:eastAsia="宋体" w:cs="微软雅黑"/>
                <w:sz w:val="28"/>
                <w:szCs w:val="28"/>
              </w:rPr>
              <w:t>钢先生</w:t>
            </w:r>
            <w:r>
              <w:rPr>
                <w:rFonts w:hint="eastAsia" w:ascii="宋体" w:hAnsi="宋体" w:eastAsia="宋体"/>
                <w:sz w:val="28"/>
                <w:szCs w:val="28"/>
              </w:rPr>
              <w:t>，证券部等相关部</w:t>
            </w:r>
            <w:r>
              <w:rPr>
                <w:rFonts w:hint="eastAsia" w:ascii="宋体" w:hAnsi="宋体" w:eastAsia="宋体" w:cs="微软雅黑"/>
                <w:sz w:val="28"/>
                <w:szCs w:val="28"/>
              </w:rPr>
              <w:t>门</w:t>
            </w:r>
            <w:r>
              <w:rPr>
                <w:rFonts w:hint="eastAsia" w:ascii="宋体" w:hAnsi="宋体" w:eastAsia="宋体"/>
                <w:sz w:val="28"/>
                <w:szCs w:val="28"/>
              </w:rPr>
              <w:t>人</w:t>
            </w:r>
            <w:r>
              <w:rPr>
                <w:rFonts w:hint="eastAsia" w:ascii="宋体" w:hAnsi="宋体" w:eastAsia="宋体" w:cs="微软雅黑"/>
                <w:sz w:val="28"/>
                <w:szCs w:val="28"/>
              </w:rPr>
              <w:t>员</w:t>
            </w:r>
            <w:r>
              <w:rPr>
                <w:rFonts w:hint="eastAsia" w:ascii="宋体" w:hAnsi="宋体" w:eastAsia="宋体"/>
                <w:sz w:val="28"/>
                <w:szCs w:val="28"/>
              </w:rPr>
              <w:t>。</w:t>
            </w:r>
          </w:p>
        </w:tc>
      </w:tr>
      <w:tr w14:paraId="4DF25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2122" w:type="dxa"/>
            <w:vAlign w:val="center"/>
          </w:tcPr>
          <w:p w14:paraId="5C7832FD">
            <w:pPr>
              <w:spacing w:line="400" w:lineRule="exact"/>
              <w:jc w:val="center"/>
              <w:rPr>
                <w:rFonts w:ascii="宋体" w:hAnsi="宋体" w:eastAsia="宋体"/>
                <w:sz w:val="28"/>
                <w:szCs w:val="28"/>
              </w:rPr>
            </w:pPr>
            <w:r>
              <w:rPr>
                <w:rFonts w:hint="eastAsia" w:ascii="宋体" w:hAnsi="宋体" w:eastAsia="宋体"/>
                <w:sz w:val="28"/>
                <w:szCs w:val="28"/>
              </w:rPr>
              <w:t>投资者关系活动主要内容</w:t>
            </w:r>
          </w:p>
        </w:tc>
        <w:tc>
          <w:tcPr>
            <w:tcW w:w="6667" w:type="dxa"/>
          </w:tcPr>
          <w:p w14:paraId="6214FD11">
            <w:pPr>
              <w:spacing w:line="500" w:lineRule="exact"/>
              <w:ind w:firstLine="562" w:firstLineChars="200"/>
              <w:rPr>
                <w:rFonts w:ascii="宋体" w:hAnsi="宋体" w:eastAsia="宋体"/>
                <w:b/>
                <w:sz w:val="28"/>
                <w:szCs w:val="28"/>
              </w:rPr>
            </w:pPr>
            <w:r>
              <w:rPr>
                <w:rFonts w:hint="eastAsia" w:ascii="宋体" w:hAnsi="宋体" w:eastAsia="宋体"/>
                <w:b/>
                <w:sz w:val="28"/>
                <w:szCs w:val="28"/>
              </w:rPr>
              <w:t>问：公司怎么看未来稀土产品价格</w:t>
            </w:r>
            <w:r>
              <w:rPr>
                <w:rFonts w:ascii="宋体" w:hAnsi="宋体" w:eastAsia="宋体"/>
                <w:b/>
                <w:sz w:val="28"/>
                <w:szCs w:val="28"/>
              </w:rPr>
              <w:t>?</w:t>
            </w:r>
            <w:r>
              <w:rPr>
                <w:rFonts w:hint="eastAsia" w:ascii="宋体" w:hAnsi="宋体" w:eastAsia="宋体"/>
                <w:b/>
                <w:sz w:val="28"/>
                <w:szCs w:val="28"/>
              </w:rPr>
              <w:t>上半年需求端怎么样？有无新兴增长点？</w:t>
            </w:r>
          </w:p>
          <w:p w14:paraId="5A3D51B6">
            <w:pPr>
              <w:spacing w:line="500" w:lineRule="exact"/>
              <w:ind w:firstLine="560" w:firstLineChars="200"/>
              <w:rPr>
                <w:rFonts w:ascii="宋体" w:hAnsi="宋体" w:eastAsia="宋体"/>
                <w:sz w:val="28"/>
                <w:szCs w:val="28"/>
              </w:rPr>
            </w:pPr>
            <w:r>
              <w:rPr>
                <w:rFonts w:hint="eastAsia" w:ascii="宋体" w:hAnsi="宋体" w:eastAsia="宋体"/>
                <w:sz w:val="28"/>
                <w:szCs w:val="28"/>
              </w:rPr>
              <w:t>答：全球碳中和背景下，新能源产业、科技创新的蓬勃向上给稀土作为新质生产力的主要元素带来了新的发展机遇，稀土被作为关键矿产因素成为全球共识，成为未来产业的重要支撑。稀土产品价格主要受市场供给、需求、市场预期等多重因素综合影响。短期来看，受行业供需节奏及下游采购周期影响，稀土价格预计维持区间波动态势。中期来看，稀土行业供给格局将保持有序可控，价格整体平稳运行。长期来看，随着新能源、高端装备、人形机器人等增量需求持续释放稳步发展，稀土价格得到有力支撑。</w:t>
            </w:r>
          </w:p>
          <w:p w14:paraId="67F77848">
            <w:pPr>
              <w:spacing w:line="500" w:lineRule="exact"/>
              <w:ind w:firstLine="560" w:firstLineChars="200"/>
              <w:rPr>
                <w:rFonts w:ascii="宋体" w:hAnsi="宋体" w:eastAsia="宋体"/>
                <w:sz w:val="28"/>
                <w:szCs w:val="28"/>
              </w:rPr>
            </w:pPr>
            <w:r>
              <w:rPr>
                <w:rFonts w:hint="eastAsia" w:ascii="宋体" w:hAnsi="宋体" w:eastAsia="宋体"/>
                <w:sz w:val="28"/>
                <w:szCs w:val="28"/>
              </w:rPr>
              <w:t>2026年上半年，稀土行业需求侧呈现结构性分化特征，新能源、高端制造等重点领域需求底盘稳固、支撑作用突出，各类新兴应用场景持续拓展。磁材市场结构性分化明显，高端钕铁硼订单供给紧俏；中端变频空调等家电磁材需求整体偏弱；玩具等配套的中低端磁材需求平淡。下半年磁材行业迎来传统备货周期，整体需求环比有望回暖，分化格局仍将延续，高端产品依旧是市场核心增长支撑。储氢材料配套新能源电池行业需求平稳，无明显淡旺季波动，下游电池企业排产维持中等水平，采购节奏平缓，仅跟随终端电池订单小幅调整。下半年预计储氢合金粉受民用传统需求收窄影响需求量缩减，固态储氢有望成为稀土储氢材料中长期增长主线。高端抛光粉需求持续提升，常规光学、面板抛光需求增长平缓，低端抛光粉小幅积压库存。下半年预计国内光学、消费电子行业逐步进入产销旺季，下游终端需求有望小幅回暖，为稳定内需提供支撑。</w:t>
            </w:r>
          </w:p>
          <w:p w14:paraId="25291EC7">
            <w:pPr>
              <w:spacing w:line="500" w:lineRule="exact"/>
              <w:ind w:firstLine="560" w:firstLineChars="200"/>
              <w:rPr>
                <w:rFonts w:ascii="宋体" w:hAnsi="宋体" w:eastAsia="宋体"/>
                <w:sz w:val="28"/>
                <w:szCs w:val="28"/>
              </w:rPr>
            </w:pPr>
            <w:r>
              <w:rPr>
                <w:rFonts w:hint="eastAsia" w:ascii="宋体" w:hAnsi="宋体" w:eastAsia="宋体"/>
                <w:sz w:val="28"/>
                <w:szCs w:val="28"/>
              </w:rPr>
              <w:t>目前，新能源车作为稀土传统核心需求终端产销两旺，2026年上半年新能源汽车出口235.5万辆，同比增长1.2倍，国内新能源汽车渗透率为51.3%，其他应用领域的需求格局亦呈现出新变化：我国电动两轮车高端及智能车型海外需求快速增长，东南亚、欧洲市场增量表现突出，2026年第一季度电动两轮车出口约720万辆，同比增长68.2%，欧洲电助力车市场每年增速达30%；新能源重卡市场维持高速增长，渗透率由2021年不足1%提升至2025年近30%，2026年上半年国内新能源重卡销量为12.62万辆，同比增长85%；船舶制造领域完工量、新接订单量、手持订单量全面增长，国际市场份额保持全球领先，2026年第一季度国内造船完成量1,568万载重吨，同比增长46%，占世界总量的57.3%，新接订单量5,953万载重吨，同比增长195.2%，占世界总量的84.9%，手持订单量32,230万载重吨，同比增长43.6%，占世界总量的69.8%；新能源工程机械销量大幅攀升，发展态势良好，2026年上半年电动装载机销售25,445台，同比增长82.4%；电动挖掘机销售321台，同比增长129%；电动叉车、电动高空作业平台、电动非公路用自卸车、电动混凝土机械等占比不断加大；全国发电装机总量稳步扩容，风力发电装机容量6.8亿千瓦，同比增长18.5%，增速领跑发电行业，根据《2026全球海上风电报告》，预计2026年全球年度新增装机将较2025年翻倍，到2031年达到2025年的三倍，全球风能理事会（GWEC）预计，2026年至2030年期间全球海上风电市场年均复合增长率将达到24%，海上风电将成为全球增长最快的主流能源技术之一。综合来看，下游产业对高性能稀土材料的配套需求与依存度仍保持上行趋势。</w:t>
            </w:r>
          </w:p>
          <w:p w14:paraId="433A363F">
            <w:pPr>
              <w:spacing w:line="500" w:lineRule="exact"/>
              <w:ind w:firstLine="562" w:firstLineChars="200"/>
              <w:rPr>
                <w:rFonts w:ascii="宋体" w:hAnsi="宋体" w:eastAsia="宋体"/>
                <w:b/>
                <w:bCs/>
                <w:sz w:val="28"/>
                <w:szCs w:val="28"/>
              </w:rPr>
            </w:pPr>
            <w:r>
              <w:rPr>
                <w:rFonts w:hint="eastAsia" w:ascii="宋体" w:hAnsi="宋体" w:eastAsia="宋体"/>
                <w:b/>
                <w:bCs/>
                <w:sz w:val="28"/>
                <w:szCs w:val="28"/>
              </w:rPr>
              <w:t>问：公司稀土产品的销售模式是什么？如何定价？</w:t>
            </w:r>
          </w:p>
          <w:p w14:paraId="2B3FDEC3">
            <w:pPr>
              <w:spacing w:line="500" w:lineRule="exact"/>
              <w:ind w:firstLine="560" w:firstLineChars="200"/>
              <w:rPr>
                <w:rFonts w:ascii="宋体" w:hAnsi="宋体" w:eastAsia="宋体"/>
                <w:bCs/>
                <w:sz w:val="28"/>
                <w:szCs w:val="28"/>
              </w:rPr>
            </w:pPr>
            <w:r>
              <w:rPr>
                <w:rFonts w:hint="eastAsia" w:ascii="宋体" w:hAnsi="宋体" w:eastAsia="宋体"/>
                <w:bCs/>
                <w:sz w:val="28"/>
                <w:szCs w:val="28"/>
              </w:rPr>
              <w:t>答：公司产品主要分为稀土原料产品、稀土新材料产品及稀土终端应用产品。其中，公司稀土原料产品包括稀土盐类、稀土氧化物及稀土金属，是下游稀土新材料及新材料产品生产加工企业的主要生产原料；稀土新材料产品包括稀土磁性材料、抛光材料、储氢材料、催化材料、稀土合金等，公司稀土终端应用产品主要为稀土永磁高效节能电机、固态储氢瓶、氢能两轮车等。公司一般采取长协、零售等销售模式，长协约占50%以上。公司的销售价格结合市场需求、市场价格波动及实际成交情况等制定，金属也会参考包头稀土产品交易所的价格。</w:t>
            </w:r>
          </w:p>
          <w:p w14:paraId="16F36AA5">
            <w:pPr>
              <w:spacing w:line="500" w:lineRule="exact"/>
              <w:ind w:firstLine="562" w:firstLineChars="200"/>
              <w:rPr>
                <w:rFonts w:ascii="宋体" w:hAnsi="宋体" w:eastAsia="宋体"/>
                <w:b/>
                <w:bCs/>
                <w:sz w:val="28"/>
                <w:szCs w:val="28"/>
              </w:rPr>
            </w:pPr>
            <w:r>
              <w:rPr>
                <w:rFonts w:hint="eastAsia" w:ascii="宋体" w:hAnsi="宋体" w:eastAsia="宋体"/>
                <w:b/>
                <w:bCs/>
                <w:sz w:val="28"/>
                <w:szCs w:val="28"/>
              </w:rPr>
              <w:t>问：公司在产业链延伸方面有哪些规划？是否会进一步向下游终端应用领域拓展？</w:t>
            </w:r>
          </w:p>
          <w:p w14:paraId="6D7B6DDD">
            <w:pPr>
              <w:spacing w:line="500" w:lineRule="exact"/>
              <w:ind w:firstLine="560" w:firstLineChars="200"/>
              <w:rPr>
                <w:rFonts w:ascii="宋体" w:hAnsi="宋体" w:eastAsia="宋体"/>
                <w:bCs/>
                <w:sz w:val="28"/>
                <w:szCs w:val="28"/>
              </w:rPr>
            </w:pPr>
            <w:r>
              <w:rPr>
                <w:rFonts w:hint="eastAsia" w:ascii="宋体" w:hAnsi="宋体" w:eastAsia="宋体"/>
                <w:bCs/>
                <w:sz w:val="28"/>
                <w:szCs w:val="28"/>
              </w:rPr>
              <w:t>答：经过多年发展，公司在行业内率先发展成为集稀土冶炼分离、功能材料、应用产品、科研和贸易一体化的集团化上市公司，形成以稀土资源为基础、冶炼分离为核心、新材料领域为重点、终端应用为拓展方向的产业结构，并依托创新驱动发展战略持续促进产业结构调整和转型升级，实现稀土上中下游一体化发展，构筑了行业领先的全产业链竞争优势。公司布局磁性材料、抛光材料、储能材料、催化助剂、高纯金属与合金、光功能材料六大产业，打通：（1）稀土永磁材料—永磁电机产业链，轴向磁通电机已经量产，不断提升永磁电机生产新能力；（2）打通稀土储氢材料—固态储氢产业链，围绕氢燃料两轮车、固态储氢叉车、加氢站等固态储氢领域布局，推动产业化新应用；（3）打通稀土合金—稀土铁、稀土铝镁中间合金产业链,建设高纯稀土金属、靶材规模化生产示范线,推动稀土铝镁合金在先进轨道交通、轻量化型材等应用上取得新突破；（4）巩固扩大稀土抛光材料产业国内外优势领先地位,突破高性能稀土抛光粉、高档玻璃基片抛光等高端产品生产技术，公司自主研发的纳米氧化铈精抛液实现批量供货，打造适配高端精密抛光场景的本土解决方案，国产替代取得新突破；（5）打通稀土催化材料—尾气净化功能器件产业链,聚焦工业尾气治理、机动车尾气净化、挥发性有机物治理以及石油化工等领域实现产业化；（6）拓展稀土光功能材料应用领域,加大对稀土多彩反射隔热涂料、稀土红外辐射材料、稀土红外蓄热温升材料的成果转化和推广应用。例如：公司针对建筑玻璃保温隔热性差的问题，研发的稀土纳米断热涂层，显著降低空调能耗；为缓解建筑外墙与金属表面热量聚集，公司开发出含镧铈化合物25%以上的稀土多彩反射隔热涂料，有效缓解热岛效应；基于轻稀土独特的光功能特性，公司开发出聚酯基稀土功能纤维，实现织物蓄热、隔热或紫外屏蔽等智能调温性能等。公司紧扣市场发展需求，持续加大研发投入，优化产品结构性能，匹配下游客户的差异化需求。</w:t>
            </w:r>
          </w:p>
          <w:p w14:paraId="56B9EE46">
            <w:pPr>
              <w:spacing w:line="500" w:lineRule="exact"/>
              <w:ind w:firstLine="562" w:firstLineChars="200"/>
              <w:rPr>
                <w:rFonts w:ascii="宋体" w:hAnsi="宋体" w:eastAsia="宋体"/>
                <w:b/>
                <w:bCs/>
                <w:sz w:val="28"/>
                <w:szCs w:val="28"/>
              </w:rPr>
            </w:pPr>
            <w:r>
              <w:rPr>
                <w:rFonts w:hint="eastAsia" w:ascii="宋体" w:hAnsi="宋体" w:eastAsia="宋体"/>
                <w:b/>
                <w:bCs/>
                <w:sz w:val="28"/>
                <w:szCs w:val="28"/>
              </w:rPr>
              <w:t>问：公司的稀土二次资源利用情况如何？</w:t>
            </w:r>
          </w:p>
          <w:p w14:paraId="11340E27">
            <w:pPr>
              <w:spacing w:line="500" w:lineRule="exact"/>
              <w:ind w:firstLine="560" w:firstLineChars="200"/>
              <w:rPr>
                <w:rFonts w:ascii="宋体" w:hAnsi="宋体" w:eastAsia="宋体"/>
                <w:bCs/>
                <w:sz w:val="28"/>
                <w:szCs w:val="28"/>
              </w:rPr>
            </w:pPr>
            <w:r>
              <w:rPr>
                <w:rFonts w:hint="eastAsia" w:ascii="宋体" w:hAnsi="宋体" w:eastAsia="宋体"/>
                <w:bCs/>
                <w:sz w:val="28"/>
                <w:szCs w:val="28"/>
              </w:rPr>
              <w:t>答：在当前绿色低碳的背景下，稀土二次资源利用前景广阔。《稀土管理条例》明确鼓励和支持企业利用先进适用技术、工艺，对稀土二次资源进行综合利用，而当下新能源汽车、风电、消费电子等领域对稀土需求的不断攀升，也为稀土二次资源利用提供了更多资源。</w:t>
            </w:r>
          </w:p>
          <w:p w14:paraId="147C7FD2">
            <w:pPr>
              <w:spacing w:line="500" w:lineRule="exact"/>
              <w:ind w:firstLine="560" w:firstLineChars="200"/>
              <w:rPr>
                <w:rFonts w:ascii="宋体" w:hAnsi="宋体" w:eastAsia="宋体"/>
                <w:bCs/>
                <w:sz w:val="28"/>
                <w:szCs w:val="28"/>
              </w:rPr>
            </w:pPr>
            <w:r>
              <w:rPr>
                <w:rFonts w:hint="eastAsia" w:ascii="宋体" w:hAnsi="宋体" w:eastAsia="宋体"/>
                <w:sz w:val="28"/>
                <w:szCs w:val="28"/>
              </w:rPr>
              <w:t>长久以来公司持续对二次资源回收利用予以发力，对于稀土镨钕金属销售后的废料返还，自2022年起公司与下游磁材企业签订供货协议时，约定了使用公司稀土镨钕金属的磁材企业在自己生产制造环节产生的生产性废料，要按照市场化的原则返回公司进行资源回收利用。目前，公司已经形成从原矿到金属、磁材以及磁材产生废料进行回收的循环利用。</w:t>
            </w:r>
          </w:p>
          <w:p w14:paraId="6524DC14">
            <w:pPr>
              <w:spacing w:line="500" w:lineRule="exact"/>
              <w:ind w:firstLine="560" w:firstLineChars="200"/>
              <w:rPr>
                <w:rFonts w:ascii="宋体" w:hAnsi="宋体" w:eastAsia="宋体"/>
                <w:bCs/>
                <w:sz w:val="28"/>
                <w:szCs w:val="28"/>
              </w:rPr>
            </w:pPr>
            <w:r>
              <w:rPr>
                <w:rFonts w:hint="eastAsia" w:ascii="宋体" w:hAnsi="宋体" w:eastAsia="宋体"/>
                <w:bCs/>
                <w:sz w:val="28"/>
                <w:szCs w:val="28"/>
              </w:rPr>
              <w:t>公司在南北两处进行深度布局，南边公司控股子公司信丰新利回收利用钕铁硼废料一期项目已完成厂房主体建筑施工，场内设备正有序开展安装及调试工作，其稀土氧化物综合利用技改项目获江西省工信厅批复；北边公司控股子公司金蒙稀土完成“钕铁硼废料回收自动化生产线项目”与稀土精矿分离线自动化升级改造项目建设，两条产线实现投产，产能释放成效显著。</w:t>
            </w:r>
          </w:p>
          <w:p w14:paraId="18FFD8D1">
            <w:pPr>
              <w:spacing w:line="500" w:lineRule="exact"/>
              <w:ind w:firstLine="560" w:firstLineChars="200"/>
              <w:rPr>
                <w:rFonts w:ascii="宋体" w:hAnsi="宋体" w:eastAsia="宋体"/>
                <w:bCs/>
                <w:sz w:val="28"/>
                <w:szCs w:val="28"/>
              </w:rPr>
            </w:pPr>
            <w:r>
              <w:rPr>
                <w:rFonts w:hint="eastAsia" w:ascii="宋体" w:hAnsi="宋体" w:eastAsia="宋体"/>
                <w:bCs/>
                <w:sz w:val="28"/>
                <w:szCs w:val="28"/>
              </w:rPr>
              <w:t>公司积极布局发展稀土二次资源利用产业，打造万吨级资源循环利用产能规模，通过有效利用二次资源实现稀土全元素回收利用，提升稀土元素的经济价值。</w:t>
            </w:r>
          </w:p>
          <w:p w14:paraId="5004FF33">
            <w:pPr>
              <w:spacing w:line="500" w:lineRule="exact"/>
              <w:ind w:firstLine="562" w:firstLineChars="200"/>
              <w:rPr>
                <w:rFonts w:ascii="宋体" w:hAnsi="宋体" w:eastAsia="宋体"/>
                <w:b/>
                <w:bCs/>
                <w:sz w:val="28"/>
                <w:szCs w:val="28"/>
              </w:rPr>
            </w:pPr>
            <w:r>
              <w:rPr>
                <w:rFonts w:hint="eastAsia" w:ascii="宋体" w:hAnsi="宋体" w:eastAsia="宋体"/>
                <w:b/>
                <w:bCs/>
                <w:sz w:val="28"/>
                <w:szCs w:val="28"/>
              </w:rPr>
              <w:t>问：公司在投资者回报方面是怎么做的？</w:t>
            </w:r>
          </w:p>
          <w:p w14:paraId="132DED31">
            <w:pPr>
              <w:spacing w:line="500" w:lineRule="exact"/>
              <w:ind w:firstLine="560" w:firstLineChars="200"/>
              <w:rPr>
                <w:rFonts w:ascii="宋体" w:hAnsi="宋体" w:eastAsia="宋体"/>
                <w:bCs/>
                <w:sz w:val="28"/>
                <w:szCs w:val="28"/>
              </w:rPr>
            </w:pPr>
            <w:r>
              <w:rPr>
                <w:rFonts w:hint="eastAsia" w:ascii="宋体" w:hAnsi="宋体" w:eastAsia="宋体"/>
                <w:bCs/>
                <w:sz w:val="28"/>
                <w:szCs w:val="28"/>
              </w:rPr>
              <w:t>答：公司坚持“以投资者为本”，秉承“以良好的业绩回报投资者”经营理念，修订章程有关利润分配条款，增加股东会可以授权董事会实施中期分红内容，进一步提升利润分配政策的稳定性和可预期性。在综合考虑所处行业特点、发展阶段、盈利水平、资金需求和使用计划等因素基础上，公司实施了2025年度利润分配方案，向全体股东分配现金红利4.7亿元（含税），同比增幅270%。上市以来，公司以现金分红和股份回购注销形式累计分配利润</w:t>
            </w:r>
            <w:r>
              <w:rPr>
                <w:rFonts w:ascii="宋体" w:hAnsi="宋体" w:eastAsia="宋体"/>
                <w:bCs/>
                <w:sz w:val="28"/>
                <w:szCs w:val="28"/>
              </w:rPr>
              <w:t>60.16</w:t>
            </w:r>
            <w:r>
              <w:rPr>
                <w:rFonts w:hint="eastAsia" w:ascii="宋体" w:hAnsi="宋体" w:eastAsia="宋体"/>
                <w:bCs/>
                <w:sz w:val="28"/>
                <w:szCs w:val="28"/>
              </w:rPr>
              <w:t>亿元</w:t>
            </w:r>
            <w:bookmarkStart w:id="0" w:name="_GoBack"/>
            <w:bookmarkEnd w:id="0"/>
            <w:r>
              <w:rPr>
                <w:rFonts w:hint="eastAsia" w:ascii="宋体" w:hAnsi="宋体" w:eastAsia="宋体"/>
                <w:bCs/>
                <w:sz w:val="28"/>
                <w:szCs w:val="28"/>
              </w:rPr>
              <w:t>，现金分红规模位居稀土行业上市公司首位，与投资者共享发展成果，增强投资者获得感。2025年公司控股股东包钢（集团）公司基于对公司未来发展前景的信心及中长期投资价值的认可，出资10亿元实施了增持公司股票计划，累计增持公司43,099,222股，占公司总股本的1.19%，有效提振了投资者信心，促进公司持续稳定高质量发展，为市值提升起到了推动作用。</w:t>
            </w:r>
          </w:p>
          <w:p w14:paraId="7FB93B95">
            <w:pPr>
              <w:spacing w:line="500" w:lineRule="exact"/>
              <w:ind w:firstLine="562" w:firstLineChars="200"/>
              <w:rPr>
                <w:rFonts w:ascii="宋体" w:hAnsi="宋体" w:eastAsia="宋体"/>
                <w:b/>
                <w:bCs/>
                <w:sz w:val="28"/>
                <w:szCs w:val="28"/>
              </w:rPr>
            </w:pPr>
            <w:r>
              <w:rPr>
                <w:rFonts w:hint="eastAsia" w:ascii="宋体" w:hAnsi="宋体" w:eastAsia="宋体"/>
                <w:b/>
                <w:bCs/>
                <w:sz w:val="28"/>
                <w:szCs w:val="28"/>
              </w:rPr>
              <w:t>问：国外从事稀土生产企业与我国稀土冶炼分离企业在技术上的差距如何？</w:t>
            </w:r>
          </w:p>
          <w:p w14:paraId="75836CD0">
            <w:pPr>
              <w:spacing w:line="500" w:lineRule="exact"/>
              <w:ind w:firstLine="600"/>
              <w:rPr>
                <w:rFonts w:ascii="宋体" w:hAnsi="宋体" w:eastAsia="宋体"/>
                <w:b/>
                <w:color w:val="FF0000"/>
                <w:sz w:val="28"/>
                <w:szCs w:val="28"/>
              </w:rPr>
            </w:pPr>
            <w:r>
              <w:rPr>
                <w:rFonts w:hint="eastAsia" w:ascii="宋体" w:hAnsi="宋体" w:eastAsia="宋体"/>
                <w:bCs/>
                <w:sz w:val="28"/>
                <w:szCs w:val="28"/>
              </w:rPr>
              <w:t>答:我国稀土冶炼分离企业在全球处于显著的领先地位，主要体现在以下方面：一是资源储量丰富，我国是全球稀土资源最丰富的国家；二是加工技术先进，我国在稀土冶炼分离等加工技术方面目前处于世界领先地位，具有明显的技术优势和规模优势，尤其是公司有着六十多年的技术积淀，三代人的持续改进使生产工艺更加优化。国家商务部、科技部于2023年12月21日公布《中国禁止出口限制出口技术目录》，将稀土的提炼、加工、利用技术列为禁止出口技术；三是产业链完整，我国稀土产业链覆盖开采、选矿、冶炼分离、深加工及终端应用等环节，稀土永磁材料为节能降碳提供了绿色选择；四是应用广泛，我国不仅是稀土供应国，更是重要的稀土消费国，国内的稀土产品广泛应用于新能源汽车、绿色风电、消费电子、机器人、军工、医疗等众多领域，为我国稀土产业的发展提供了重要支撑。</w:t>
            </w:r>
          </w:p>
        </w:tc>
      </w:tr>
      <w:tr w14:paraId="0EB3F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89" w:type="dxa"/>
            <w:gridSpan w:val="2"/>
            <w:vAlign w:val="center"/>
          </w:tcPr>
          <w:p w14:paraId="5E737748">
            <w:pPr>
              <w:spacing w:line="500" w:lineRule="exact"/>
              <w:rPr>
                <w:rFonts w:ascii="宋体" w:hAnsi="宋体" w:eastAsia="宋体"/>
                <w:sz w:val="28"/>
                <w:szCs w:val="28"/>
              </w:rPr>
            </w:pPr>
            <w:r>
              <w:rPr>
                <w:rFonts w:hint="eastAsia" w:ascii="宋体" w:hAnsi="宋体" w:eastAsia="宋体"/>
                <w:sz w:val="28"/>
                <w:szCs w:val="28"/>
              </w:rPr>
              <w:t>注：公司严格遵守信息披露法律法规与投资者交流，如涉及公司战略规划等意向性目标，不视为公司或管理层对公司业绩的保证或承诺，敬请广大投资者注意投资风险。</w:t>
            </w:r>
          </w:p>
        </w:tc>
      </w:tr>
    </w:tbl>
    <w:p w14:paraId="28810BA7">
      <w:pPr>
        <w:spacing w:line="20" w:lineRule="exact"/>
        <w:rPr>
          <w:rFonts w:ascii="宋体" w:hAnsi="宋体" w:eastAsia="宋体"/>
          <w:sz w:val="24"/>
        </w:rPr>
      </w:pPr>
    </w:p>
    <w:sectPr>
      <w:headerReference r:id="rId5" w:type="default"/>
      <w:footerReference r:id="rId6" w:type="default"/>
      <w:pgSz w:w="11906" w:h="16838"/>
      <w:pgMar w:top="1440" w:right="1800" w:bottom="1440" w:left="1800" w:header="680" w:footer="992" w:gutter="0"/>
      <w:cols w:space="425"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swiss"/>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90574822"/>
    </w:sdtPr>
    <w:sdtEndPr>
      <w:rPr>
        <w:rFonts w:ascii="宋体" w:hAnsi="宋体" w:eastAsia="宋体"/>
        <w:sz w:val="28"/>
        <w:szCs w:val="28"/>
      </w:rPr>
    </w:sdtEndPr>
    <w:sdtContent>
      <w:p w14:paraId="0FABC26F">
        <w:pPr>
          <w:pStyle w:val="4"/>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F9621">
    <w:pPr>
      <w:rPr>
        <w:rFonts w:ascii="宋体" w:hAnsi="宋体" w:eastAsia="宋体"/>
        <w:sz w:val="21"/>
        <w:szCs w:val="21"/>
        <w:u w:val="single"/>
      </w:rPr>
    </w:pPr>
    <w:r>
      <w:rPr>
        <w:rFonts w:hint="eastAsia" w:ascii="宋体" w:hAnsi="宋体" w:eastAsia="宋体"/>
        <w:sz w:val="21"/>
        <w:szCs w:val="21"/>
        <w:u w:val="single"/>
      </w:rPr>
      <w:t>证券代码：6</w:t>
    </w:r>
    <w:r>
      <w:rPr>
        <w:rFonts w:ascii="宋体" w:hAnsi="宋体" w:eastAsia="宋体"/>
        <w:sz w:val="21"/>
        <w:szCs w:val="21"/>
        <w:u w:val="single"/>
      </w:rPr>
      <w:t xml:space="preserve">00111                                             </w:t>
    </w:r>
    <w:r>
      <w:rPr>
        <w:rFonts w:hint="eastAsia" w:ascii="宋体" w:hAnsi="宋体" w:eastAsia="宋体"/>
        <w:sz w:val="21"/>
        <w:szCs w:val="21"/>
        <w:u w:val="single"/>
      </w:rPr>
      <w:t>证券简称：北方稀土</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1"/>
  <w:bordersDoNotSurroundFooter w:val="1"/>
  <w:documentProtection w:enforcement="0"/>
  <w:defaultTabStop w:val="420"/>
  <w:drawingGridHorizontalSpacing w:val="160"/>
  <w:drawingGridVerticalSpacing w:val="435"/>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hMWU3OTQ1MzFjMDUwMTY1ZjNjNTM5NWFhODc5NDMifQ=="/>
  </w:docVars>
  <w:rsids>
    <w:rsidRoot w:val="00C441BB"/>
    <w:rsid w:val="000012B6"/>
    <w:rsid w:val="00002450"/>
    <w:rsid w:val="00003ACB"/>
    <w:rsid w:val="00003E6D"/>
    <w:rsid w:val="000063B6"/>
    <w:rsid w:val="000065B7"/>
    <w:rsid w:val="0000669A"/>
    <w:rsid w:val="000075FA"/>
    <w:rsid w:val="00007F1B"/>
    <w:rsid w:val="0001045D"/>
    <w:rsid w:val="000128CB"/>
    <w:rsid w:val="00013293"/>
    <w:rsid w:val="000147D4"/>
    <w:rsid w:val="000169C8"/>
    <w:rsid w:val="000206A8"/>
    <w:rsid w:val="00021068"/>
    <w:rsid w:val="00021239"/>
    <w:rsid w:val="0002222E"/>
    <w:rsid w:val="00022896"/>
    <w:rsid w:val="00022971"/>
    <w:rsid w:val="00022AA2"/>
    <w:rsid w:val="00023713"/>
    <w:rsid w:val="00025480"/>
    <w:rsid w:val="0003014A"/>
    <w:rsid w:val="0003024C"/>
    <w:rsid w:val="00031806"/>
    <w:rsid w:val="00032661"/>
    <w:rsid w:val="00032B95"/>
    <w:rsid w:val="00032F0D"/>
    <w:rsid w:val="000346FE"/>
    <w:rsid w:val="00036037"/>
    <w:rsid w:val="00036970"/>
    <w:rsid w:val="00037106"/>
    <w:rsid w:val="000377E4"/>
    <w:rsid w:val="00037B97"/>
    <w:rsid w:val="000400A6"/>
    <w:rsid w:val="00042AFC"/>
    <w:rsid w:val="00044341"/>
    <w:rsid w:val="00044BE2"/>
    <w:rsid w:val="00046FE4"/>
    <w:rsid w:val="000477F1"/>
    <w:rsid w:val="0005078F"/>
    <w:rsid w:val="00050A51"/>
    <w:rsid w:val="0005145E"/>
    <w:rsid w:val="00051C3A"/>
    <w:rsid w:val="0005230D"/>
    <w:rsid w:val="0005319A"/>
    <w:rsid w:val="00053D25"/>
    <w:rsid w:val="0005613B"/>
    <w:rsid w:val="00056687"/>
    <w:rsid w:val="00057226"/>
    <w:rsid w:val="00060C58"/>
    <w:rsid w:val="0006189F"/>
    <w:rsid w:val="000625FA"/>
    <w:rsid w:val="00063B3A"/>
    <w:rsid w:val="00063F69"/>
    <w:rsid w:val="00063F99"/>
    <w:rsid w:val="0006422C"/>
    <w:rsid w:val="00064D53"/>
    <w:rsid w:val="000654ED"/>
    <w:rsid w:val="0006589F"/>
    <w:rsid w:val="00065D99"/>
    <w:rsid w:val="000714DE"/>
    <w:rsid w:val="00071B8F"/>
    <w:rsid w:val="00071E74"/>
    <w:rsid w:val="00074CD4"/>
    <w:rsid w:val="000758DB"/>
    <w:rsid w:val="00076053"/>
    <w:rsid w:val="000772FB"/>
    <w:rsid w:val="00081740"/>
    <w:rsid w:val="00083FBE"/>
    <w:rsid w:val="000852E1"/>
    <w:rsid w:val="00086DB4"/>
    <w:rsid w:val="00090A30"/>
    <w:rsid w:val="0009116C"/>
    <w:rsid w:val="000913F4"/>
    <w:rsid w:val="00093D21"/>
    <w:rsid w:val="00097DD2"/>
    <w:rsid w:val="000A1F09"/>
    <w:rsid w:val="000A2861"/>
    <w:rsid w:val="000A61BB"/>
    <w:rsid w:val="000A6440"/>
    <w:rsid w:val="000A72E6"/>
    <w:rsid w:val="000A73E5"/>
    <w:rsid w:val="000B0092"/>
    <w:rsid w:val="000B029B"/>
    <w:rsid w:val="000B11D1"/>
    <w:rsid w:val="000B13B7"/>
    <w:rsid w:val="000B2BB0"/>
    <w:rsid w:val="000B33AD"/>
    <w:rsid w:val="000B5229"/>
    <w:rsid w:val="000B6151"/>
    <w:rsid w:val="000B7040"/>
    <w:rsid w:val="000C19F9"/>
    <w:rsid w:val="000C5F6A"/>
    <w:rsid w:val="000C6531"/>
    <w:rsid w:val="000D354A"/>
    <w:rsid w:val="000E14F8"/>
    <w:rsid w:val="000E1D6C"/>
    <w:rsid w:val="000E2E94"/>
    <w:rsid w:val="000E32B8"/>
    <w:rsid w:val="000E3EA5"/>
    <w:rsid w:val="000E44B4"/>
    <w:rsid w:val="000E484B"/>
    <w:rsid w:val="000E5051"/>
    <w:rsid w:val="000E50BA"/>
    <w:rsid w:val="000E5F9C"/>
    <w:rsid w:val="000E6FD6"/>
    <w:rsid w:val="000F12B6"/>
    <w:rsid w:val="000F1359"/>
    <w:rsid w:val="000F1A97"/>
    <w:rsid w:val="000F2C46"/>
    <w:rsid w:val="000F3E74"/>
    <w:rsid w:val="000F4902"/>
    <w:rsid w:val="000F5228"/>
    <w:rsid w:val="000F614D"/>
    <w:rsid w:val="000F661E"/>
    <w:rsid w:val="00101D02"/>
    <w:rsid w:val="001046AB"/>
    <w:rsid w:val="00106B7D"/>
    <w:rsid w:val="001102BE"/>
    <w:rsid w:val="0011160F"/>
    <w:rsid w:val="00113461"/>
    <w:rsid w:val="00113C31"/>
    <w:rsid w:val="00113CD4"/>
    <w:rsid w:val="0011424D"/>
    <w:rsid w:val="001152C1"/>
    <w:rsid w:val="001153EB"/>
    <w:rsid w:val="00115B8E"/>
    <w:rsid w:val="00116915"/>
    <w:rsid w:val="00117A3F"/>
    <w:rsid w:val="0012052A"/>
    <w:rsid w:val="00121EED"/>
    <w:rsid w:val="00122504"/>
    <w:rsid w:val="00122FF4"/>
    <w:rsid w:val="00123B39"/>
    <w:rsid w:val="00126B7D"/>
    <w:rsid w:val="00126E88"/>
    <w:rsid w:val="00127B11"/>
    <w:rsid w:val="001313BB"/>
    <w:rsid w:val="0013160A"/>
    <w:rsid w:val="001338C4"/>
    <w:rsid w:val="001341B6"/>
    <w:rsid w:val="0013481C"/>
    <w:rsid w:val="00136CC0"/>
    <w:rsid w:val="00141204"/>
    <w:rsid w:val="001427C6"/>
    <w:rsid w:val="00144222"/>
    <w:rsid w:val="0014515E"/>
    <w:rsid w:val="00146F4C"/>
    <w:rsid w:val="001504BF"/>
    <w:rsid w:val="00151C65"/>
    <w:rsid w:val="00152480"/>
    <w:rsid w:val="00156292"/>
    <w:rsid w:val="00156419"/>
    <w:rsid w:val="00157890"/>
    <w:rsid w:val="00160C52"/>
    <w:rsid w:val="001614D0"/>
    <w:rsid w:val="001623DF"/>
    <w:rsid w:val="00163B5B"/>
    <w:rsid w:val="00166472"/>
    <w:rsid w:val="00166BB3"/>
    <w:rsid w:val="001673A3"/>
    <w:rsid w:val="00170FDB"/>
    <w:rsid w:val="00171EED"/>
    <w:rsid w:val="001721F7"/>
    <w:rsid w:val="00172DD9"/>
    <w:rsid w:val="00175D2A"/>
    <w:rsid w:val="00176285"/>
    <w:rsid w:val="00176D09"/>
    <w:rsid w:val="00177558"/>
    <w:rsid w:val="00182443"/>
    <w:rsid w:val="001825B5"/>
    <w:rsid w:val="001825F5"/>
    <w:rsid w:val="00183363"/>
    <w:rsid w:val="00183849"/>
    <w:rsid w:val="001840C5"/>
    <w:rsid w:val="00185687"/>
    <w:rsid w:val="001863DF"/>
    <w:rsid w:val="00186C01"/>
    <w:rsid w:val="00187C3E"/>
    <w:rsid w:val="001906AE"/>
    <w:rsid w:val="001908FC"/>
    <w:rsid w:val="001935F7"/>
    <w:rsid w:val="00195F8E"/>
    <w:rsid w:val="001971CC"/>
    <w:rsid w:val="001A0AC0"/>
    <w:rsid w:val="001A2CB6"/>
    <w:rsid w:val="001A430D"/>
    <w:rsid w:val="001B0864"/>
    <w:rsid w:val="001B12EC"/>
    <w:rsid w:val="001B290A"/>
    <w:rsid w:val="001B4C07"/>
    <w:rsid w:val="001B66C0"/>
    <w:rsid w:val="001B6861"/>
    <w:rsid w:val="001B7CBC"/>
    <w:rsid w:val="001C02D2"/>
    <w:rsid w:val="001C0A16"/>
    <w:rsid w:val="001C0F9B"/>
    <w:rsid w:val="001C2407"/>
    <w:rsid w:val="001C29FD"/>
    <w:rsid w:val="001C2B1A"/>
    <w:rsid w:val="001C2EB1"/>
    <w:rsid w:val="001C3079"/>
    <w:rsid w:val="001C372C"/>
    <w:rsid w:val="001C3895"/>
    <w:rsid w:val="001C4798"/>
    <w:rsid w:val="001C570D"/>
    <w:rsid w:val="001C5AC8"/>
    <w:rsid w:val="001C6156"/>
    <w:rsid w:val="001C62BF"/>
    <w:rsid w:val="001C707B"/>
    <w:rsid w:val="001C7D2E"/>
    <w:rsid w:val="001D0954"/>
    <w:rsid w:val="001D1842"/>
    <w:rsid w:val="001D2ACE"/>
    <w:rsid w:val="001D4005"/>
    <w:rsid w:val="001D46B8"/>
    <w:rsid w:val="001D4AD2"/>
    <w:rsid w:val="001D5485"/>
    <w:rsid w:val="001D6150"/>
    <w:rsid w:val="001D6699"/>
    <w:rsid w:val="001D67BD"/>
    <w:rsid w:val="001D78E1"/>
    <w:rsid w:val="001E057B"/>
    <w:rsid w:val="001E0D71"/>
    <w:rsid w:val="001E0E7B"/>
    <w:rsid w:val="001E135B"/>
    <w:rsid w:val="001E3120"/>
    <w:rsid w:val="001E4E65"/>
    <w:rsid w:val="001E5885"/>
    <w:rsid w:val="001E68CD"/>
    <w:rsid w:val="001F0527"/>
    <w:rsid w:val="001F095E"/>
    <w:rsid w:val="001F0E0F"/>
    <w:rsid w:val="001F298E"/>
    <w:rsid w:val="001F3976"/>
    <w:rsid w:val="001F5804"/>
    <w:rsid w:val="001F5AD1"/>
    <w:rsid w:val="001F60ED"/>
    <w:rsid w:val="001F67CD"/>
    <w:rsid w:val="001F7B24"/>
    <w:rsid w:val="00202F7A"/>
    <w:rsid w:val="002032EB"/>
    <w:rsid w:val="0020439B"/>
    <w:rsid w:val="00204ED6"/>
    <w:rsid w:val="00205FEC"/>
    <w:rsid w:val="00206844"/>
    <w:rsid w:val="0020732A"/>
    <w:rsid w:val="00207DB3"/>
    <w:rsid w:val="00212997"/>
    <w:rsid w:val="00213154"/>
    <w:rsid w:val="0021427D"/>
    <w:rsid w:val="00214817"/>
    <w:rsid w:val="0021517D"/>
    <w:rsid w:val="00217045"/>
    <w:rsid w:val="002200EF"/>
    <w:rsid w:val="00223B7C"/>
    <w:rsid w:val="00225001"/>
    <w:rsid w:val="0022624A"/>
    <w:rsid w:val="002262EF"/>
    <w:rsid w:val="0022730F"/>
    <w:rsid w:val="00227315"/>
    <w:rsid w:val="002311B5"/>
    <w:rsid w:val="00232178"/>
    <w:rsid w:val="00232D7A"/>
    <w:rsid w:val="0023380D"/>
    <w:rsid w:val="00240392"/>
    <w:rsid w:val="002418CD"/>
    <w:rsid w:val="002419B9"/>
    <w:rsid w:val="00241CBD"/>
    <w:rsid w:val="00243484"/>
    <w:rsid w:val="00243658"/>
    <w:rsid w:val="00244F53"/>
    <w:rsid w:val="0024795D"/>
    <w:rsid w:val="00247E4A"/>
    <w:rsid w:val="002518D0"/>
    <w:rsid w:val="002522BE"/>
    <w:rsid w:val="00253EE3"/>
    <w:rsid w:val="00254B71"/>
    <w:rsid w:val="00255068"/>
    <w:rsid w:val="002551CC"/>
    <w:rsid w:val="002558E0"/>
    <w:rsid w:val="00256E5C"/>
    <w:rsid w:val="0026002A"/>
    <w:rsid w:val="00260421"/>
    <w:rsid w:val="00260CA3"/>
    <w:rsid w:val="002610C3"/>
    <w:rsid w:val="00262FC4"/>
    <w:rsid w:val="0026320B"/>
    <w:rsid w:val="0026334F"/>
    <w:rsid w:val="00264CEC"/>
    <w:rsid w:val="00264DB6"/>
    <w:rsid w:val="00265505"/>
    <w:rsid w:val="00265530"/>
    <w:rsid w:val="00266A82"/>
    <w:rsid w:val="002709B5"/>
    <w:rsid w:val="00270CEA"/>
    <w:rsid w:val="0027101E"/>
    <w:rsid w:val="00271400"/>
    <w:rsid w:val="0027145D"/>
    <w:rsid w:val="00271649"/>
    <w:rsid w:val="002731CE"/>
    <w:rsid w:val="00273A89"/>
    <w:rsid w:val="00277333"/>
    <w:rsid w:val="00280B28"/>
    <w:rsid w:val="00281DF7"/>
    <w:rsid w:val="00282AFC"/>
    <w:rsid w:val="002835C4"/>
    <w:rsid w:val="00286F9C"/>
    <w:rsid w:val="0029084B"/>
    <w:rsid w:val="00290857"/>
    <w:rsid w:val="00290D5B"/>
    <w:rsid w:val="00291D78"/>
    <w:rsid w:val="00292919"/>
    <w:rsid w:val="00292B6E"/>
    <w:rsid w:val="002939FF"/>
    <w:rsid w:val="00294839"/>
    <w:rsid w:val="002A0FAF"/>
    <w:rsid w:val="002A25F7"/>
    <w:rsid w:val="002A3791"/>
    <w:rsid w:val="002A3C87"/>
    <w:rsid w:val="002A7F7E"/>
    <w:rsid w:val="002B08BC"/>
    <w:rsid w:val="002B1ADF"/>
    <w:rsid w:val="002B1D62"/>
    <w:rsid w:val="002B31F8"/>
    <w:rsid w:val="002B4AC1"/>
    <w:rsid w:val="002B6142"/>
    <w:rsid w:val="002C12B7"/>
    <w:rsid w:val="002C2015"/>
    <w:rsid w:val="002C2368"/>
    <w:rsid w:val="002C3857"/>
    <w:rsid w:val="002C6D02"/>
    <w:rsid w:val="002D097E"/>
    <w:rsid w:val="002D399C"/>
    <w:rsid w:val="002D480D"/>
    <w:rsid w:val="002D544A"/>
    <w:rsid w:val="002D680B"/>
    <w:rsid w:val="002E3064"/>
    <w:rsid w:val="002E3D3C"/>
    <w:rsid w:val="002E46EE"/>
    <w:rsid w:val="002E5B9D"/>
    <w:rsid w:val="002E6FB0"/>
    <w:rsid w:val="002E7BB2"/>
    <w:rsid w:val="002E7FAC"/>
    <w:rsid w:val="002F1F9D"/>
    <w:rsid w:val="002F1FB1"/>
    <w:rsid w:val="002F30C4"/>
    <w:rsid w:val="002F3F48"/>
    <w:rsid w:val="002F52D9"/>
    <w:rsid w:val="0030214B"/>
    <w:rsid w:val="00302674"/>
    <w:rsid w:val="00304076"/>
    <w:rsid w:val="00304270"/>
    <w:rsid w:val="003070FD"/>
    <w:rsid w:val="0031597B"/>
    <w:rsid w:val="00316F4B"/>
    <w:rsid w:val="00316F76"/>
    <w:rsid w:val="003174C4"/>
    <w:rsid w:val="00320500"/>
    <w:rsid w:val="003235F0"/>
    <w:rsid w:val="00323943"/>
    <w:rsid w:val="0032422C"/>
    <w:rsid w:val="0032453A"/>
    <w:rsid w:val="0032799A"/>
    <w:rsid w:val="00327C9B"/>
    <w:rsid w:val="003316F4"/>
    <w:rsid w:val="00333A97"/>
    <w:rsid w:val="00333D48"/>
    <w:rsid w:val="00334A58"/>
    <w:rsid w:val="00334A60"/>
    <w:rsid w:val="00334C24"/>
    <w:rsid w:val="00336316"/>
    <w:rsid w:val="003366E0"/>
    <w:rsid w:val="0033772A"/>
    <w:rsid w:val="0034086F"/>
    <w:rsid w:val="0034102E"/>
    <w:rsid w:val="00341220"/>
    <w:rsid w:val="00342B30"/>
    <w:rsid w:val="00342DDF"/>
    <w:rsid w:val="00345801"/>
    <w:rsid w:val="00346A23"/>
    <w:rsid w:val="00350231"/>
    <w:rsid w:val="00352A6C"/>
    <w:rsid w:val="003551FF"/>
    <w:rsid w:val="003559AB"/>
    <w:rsid w:val="00355ED8"/>
    <w:rsid w:val="00356956"/>
    <w:rsid w:val="00357CC6"/>
    <w:rsid w:val="00360069"/>
    <w:rsid w:val="00361FCA"/>
    <w:rsid w:val="003622D8"/>
    <w:rsid w:val="00363D2C"/>
    <w:rsid w:val="00365231"/>
    <w:rsid w:val="0036673E"/>
    <w:rsid w:val="00366A8C"/>
    <w:rsid w:val="00370484"/>
    <w:rsid w:val="00371015"/>
    <w:rsid w:val="00371D8C"/>
    <w:rsid w:val="00374494"/>
    <w:rsid w:val="0037480B"/>
    <w:rsid w:val="00377A88"/>
    <w:rsid w:val="00377C7B"/>
    <w:rsid w:val="00380566"/>
    <w:rsid w:val="00381673"/>
    <w:rsid w:val="003816B8"/>
    <w:rsid w:val="00383606"/>
    <w:rsid w:val="0038662D"/>
    <w:rsid w:val="003868FD"/>
    <w:rsid w:val="003878E0"/>
    <w:rsid w:val="003879A6"/>
    <w:rsid w:val="003901B9"/>
    <w:rsid w:val="00390401"/>
    <w:rsid w:val="00391B9D"/>
    <w:rsid w:val="0039327B"/>
    <w:rsid w:val="003946E4"/>
    <w:rsid w:val="003951F5"/>
    <w:rsid w:val="003A22B8"/>
    <w:rsid w:val="003A3CEE"/>
    <w:rsid w:val="003A3DA4"/>
    <w:rsid w:val="003A3E79"/>
    <w:rsid w:val="003A3F16"/>
    <w:rsid w:val="003A4021"/>
    <w:rsid w:val="003A53E1"/>
    <w:rsid w:val="003A65B6"/>
    <w:rsid w:val="003A727B"/>
    <w:rsid w:val="003A78D4"/>
    <w:rsid w:val="003A7FE9"/>
    <w:rsid w:val="003B156C"/>
    <w:rsid w:val="003B282B"/>
    <w:rsid w:val="003B2A3F"/>
    <w:rsid w:val="003B4432"/>
    <w:rsid w:val="003B636F"/>
    <w:rsid w:val="003B6EF4"/>
    <w:rsid w:val="003C03E4"/>
    <w:rsid w:val="003C0AD4"/>
    <w:rsid w:val="003C5860"/>
    <w:rsid w:val="003C6162"/>
    <w:rsid w:val="003D152B"/>
    <w:rsid w:val="003D27B8"/>
    <w:rsid w:val="003D2E76"/>
    <w:rsid w:val="003D6815"/>
    <w:rsid w:val="003D6ABD"/>
    <w:rsid w:val="003E3BA4"/>
    <w:rsid w:val="003E5B76"/>
    <w:rsid w:val="003E6B6D"/>
    <w:rsid w:val="003E71C5"/>
    <w:rsid w:val="003F1A6B"/>
    <w:rsid w:val="003F3F1B"/>
    <w:rsid w:val="003F4893"/>
    <w:rsid w:val="003F50B0"/>
    <w:rsid w:val="003F6B3F"/>
    <w:rsid w:val="0040138C"/>
    <w:rsid w:val="004028CD"/>
    <w:rsid w:val="004028F9"/>
    <w:rsid w:val="0040328C"/>
    <w:rsid w:val="004033AD"/>
    <w:rsid w:val="00404881"/>
    <w:rsid w:val="00404B14"/>
    <w:rsid w:val="00404D03"/>
    <w:rsid w:val="0040741E"/>
    <w:rsid w:val="0041180C"/>
    <w:rsid w:val="00411F6C"/>
    <w:rsid w:val="00411FC5"/>
    <w:rsid w:val="00412AF1"/>
    <w:rsid w:val="00415B67"/>
    <w:rsid w:val="004210AC"/>
    <w:rsid w:val="004221D8"/>
    <w:rsid w:val="004224F3"/>
    <w:rsid w:val="00422A2F"/>
    <w:rsid w:val="00423223"/>
    <w:rsid w:val="00426A9D"/>
    <w:rsid w:val="00427BBC"/>
    <w:rsid w:val="004330FC"/>
    <w:rsid w:val="0043342A"/>
    <w:rsid w:val="00434C89"/>
    <w:rsid w:val="00435337"/>
    <w:rsid w:val="004366FF"/>
    <w:rsid w:val="00442140"/>
    <w:rsid w:val="00442CC2"/>
    <w:rsid w:val="00442E50"/>
    <w:rsid w:val="00442EA0"/>
    <w:rsid w:val="00444910"/>
    <w:rsid w:val="004454FF"/>
    <w:rsid w:val="0044560C"/>
    <w:rsid w:val="0044689C"/>
    <w:rsid w:val="00446B18"/>
    <w:rsid w:val="00453A54"/>
    <w:rsid w:val="00453D05"/>
    <w:rsid w:val="0045443E"/>
    <w:rsid w:val="00454B50"/>
    <w:rsid w:val="004558AA"/>
    <w:rsid w:val="00456F33"/>
    <w:rsid w:val="004570E6"/>
    <w:rsid w:val="00460FCF"/>
    <w:rsid w:val="00461F71"/>
    <w:rsid w:val="00462770"/>
    <w:rsid w:val="00462A9A"/>
    <w:rsid w:val="004631CE"/>
    <w:rsid w:val="00465D04"/>
    <w:rsid w:val="00466A6C"/>
    <w:rsid w:val="00467004"/>
    <w:rsid w:val="0047008C"/>
    <w:rsid w:val="004733E6"/>
    <w:rsid w:val="00476690"/>
    <w:rsid w:val="00476EC5"/>
    <w:rsid w:val="00477EB9"/>
    <w:rsid w:val="004808F4"/>
    <w:rsid w:val="004813D7"/>
    <w:rsid w:val="00481A0C"/>
    <w:rsid w:val="00482245"/>
    <w:rsid w:val="004843A1"/>
    <w:rsid w:val="0048683F"/>
    <w:rsid w:val="0048689C"/>
    <w:rsid w:val="00487ECC"/>
    <w:rsid w:val="00490511"/>
    <w:rsid w:val="00491B4D"/>
    <w:rsid w:val="00491DEC"/>
    <w:rsid w:val="00492ED8"/>
    <w:rsid w:val="00494908"/>
    <w:rsid w:val="00494A7B"/>
    <w:rsid w:val="004960CB"/>
    <w:rsid w:val="004963C5"/>
    <w:rsid w:val="00496C14"/>
    <w:rsid w:val="00497175"/>
    <w:rsid w:val="004971B3"/>
    <w:rsid w:val="004A08B2"/>
    <w:rsid w:val="004A1D7D"/>
    <w:rsid w:val="004A35CB"/>
    <w:rsid w:val="004A3636"/>
    <w:rsid w:val="004A56EA"/>
    <w:rsid w:val="004B184C"/>
    <w:rsid w:val="004B191F"/>
    <w:rsid w:val="004B21C9"/>
    <w:rsid w:val="004B35E3"/>
    <w:rsid w:val="004B7768"/>
    <w:rsid w:val="004B7E61"/>
    <w:rsid w:val="004C0947"/>
    <w:rsid w:val="004C1B58"/>
    <w:rsid w:val="004C1F80"/>
    <w:rsid w:val="004C3192"/>
    <w:rsid w:val="004C4471"/>
    <w:rsid w:val="004C5EA4"/>
    <w:rsid w:val="004C658D"/>
    <w:rsid w:val="004C6D59"/>
    <w:rsid w:val="004D19F4"/>
    <w:rsid w:val="004D30AD"/>
    <w:rsid w:val="004D7CB4"/>
    <w:rsid w:val="004D7F61"/>
    <w:rsid w:val="004E067B"/>
    <w:rsid w:val="004E2748"/>
    <w:rsid w:val="004E44A0"/>
    <w:rsid w:val="004E4E8A"/>
    <w:rsid w:val="004E5C85"/>
    <w:rsid w:val="004E6D59"/>
    <w:rsid w:val="004E72FE"/>
    <w:rsid w:val="004F0918"/>
    <w:rsid w:val="004F41D3"/>
    <w:rsid w:val="004F752E"/>
    <w:rsid w:val="004F754F"/>
    <w:rsid w:val="004F7C43"/>
    <w:rsid w:val="00501AB4"/>
    <w:rsid w:val="0050299C"/>
    <w:rsid w:val="0050341C"/>
    <w:rsid w:val="005055D2"/>
    <w:rsid w:val="00507CC3"/>
    <w:rsid w:val="00510BDA"/>
    <w:rsid w:val="00511DFF"/>
    <w:rsid w:val="00512630"/>
    <w:rsid w:val="0051602E"/>
    <w:rsid w:val="00516AFE"/>
    <w:rsid w:val="00520872"/>
    <w:rsid w:val="00520E04"/>
    <w:rsid w:val="00522B90"/>
    <w:rsid w:val="00523D7B"/>
    <w:rsid w:val="00524DBD"/>
    <w:rsid w:val="00527B20"/>
    <w:rsid w:val="00530281"/>
    <w:rsid w:val="00530347"/>
    <w:rsid w:val="005318DD"/>
    <w:rsid w:val="00531EB8"/>
    <w:rsid w:val="005320F5"/>
    <w:rsid w:val="00532ADD"/>
    <w:rsid w:val="00532B85"/>
    <w:rsid w:val="005345E2"/>
    <w:rsid w:val="00536131"/>
    <w:rsid w:val="0054129D"/>
    <w:rsid w:val="005412F7"/>
    <w:rsid w:val="0054154E"/>
    <w:rsid w:val="00541742"/>
    <w:rsid w:val="00541CCC"/>
    <w:rsid w:val="005421FD"/>
    <w:rsid w:val="00543EB9"/>
    <w:rsid w:val="00544659"/>
    <w:rsid w:val="00547A54"/>
    <w:rsid w:val="005502D8"/>
    <w:rsid w:val="00550A0A"/>
    <w:rsid w:val="005512B7"/>
    <w:rsid w:val="0055663A"/>
    <w:rsid w:val="005566C2"/>
    <w:rsid w:val="00562998"/>
    <w:rsid w:val="00563A90"/>
    <w:rsid w:val="00564A89"/>
    <w:rsid w:val="0056549E"/>
    <w:rsid w:val="00567AC3"/>
    <w:rsid w:val="005723F3"/>
    <w:rsid w:val="00573BC3"/>
    <w:rsid w:val="0057497F"/>
    <w:rsid w:val="005752DD"/>
    <w:rsid w:val="00576A66"/>
    <w:rsid w:val="00580026"/>
    <w:rsid w:val="005803B1"/>
    <w:rsid w:val="005808CB"/>
    <w:rsid w:val="005829EE"/>
    <w:rsid w:val="0058626D"/>
    <w:rsid w:val="00586481"/>
    <w:rsid w:val="00590B96"/>
    <w:rsid w:val="00590EFD"/>
    <w:rsid w:val="00591013"/>
    <w:rsid w:val="00591CF8"/>
    <w:rsid w:val="00592DED"/>
    <w:rsid w:val="00593763"/>
    <w:rsid w:val="00593CE0"/>
    <w:rsid w:val="005946D7"/>
    <w:rsid w:val="0059649F"/>
    <w:rsid w:val="00596BFF"/>
    <w:rsid w:val="00596E96"/>
    <w:rsid w:val="005979B1"/>
    <w:rsid w:val="005A0D15"/>
    <w:rsid w:val="005A0E9E"/>
    <w:rsid w:val="005A1ABC"/>
    <w:rsid w:val="005A1EEC"/>
    <w:rsid w:val="005A2650"/>
    <w:rsid w:val="005A3607"/>
    <w:rsid w:val="005A5D76"/>
    <w:rsid w:val="005B03AA"/>
    <w:rsid w:val="005B0A31"/>
    <w:rsid w:val="005B3304"/>
    <w:rsid w:val="005B34BC"/>
    <w:rsid w:val="005B390F"/>
    <w:rsid w:val="005B403E"/>
    <w:rsid w:val="005B5010"/>
    <w:rsid w:val="005B5244"/>
    <w:rsid w:val="005B735C"/>
    <w:rsid w:val="005C0542"/>
    <w:rsid w:val="005C0B3D"/>
    <w:rsid w:val="005C2C78"/>
    <w:rsid w:val="005C4566"/>
    <w:rsid w:val="005C5193"/>
    <w:rsid w:val="005C6863"/>
    <w:rsid w:val="005C720C"/>
    <w:rsid w:val="005D002D"/>
    <w:rsid w:val="005D2726"/>
    <w:rsid w:val="005D3926"/>
    <w:rsid w:val="005D54AC"/>
    <w:rsid w:val="005D7537"/>
    <w:rsid w:val="005E03AA"/>
    <w:rsid w:val="005E26FB"/>
    <w:rsid w:val="005E3043"/>
    <w:rsid w:val="005E3698"/>
    <w:rsid w:val="005E40F0"/>
    <w:rsid w:val="005E4A1F"/>
    <w:rsid w:val="005E63E9"/>
    <w:rsid w:val="005E6E0B"/>
    <w:rsid w:val="005E79E6"/>
    <w:rsid w:val="005F03B2"/>
    <w:rsid w:val="005F180D"/>
    <w:rsid w:val="005F1B32"/>
    <w:rsid w:val="005F1F0A"/>
    <w:rsid w:val="005F21E1"/>
    <w:rsid w:val="00600641"/>
    <w:rsid w:val="006018B4"/>
    <w:rsid w:val="00604154"/>
    <w:rsid w:val="00607CED"/>
    <w:rsid w:val="00607E3C"/>
    <w:rsid w:val="00610106"/>
    <w:rsid w:val="00612F0D"/>
    <w:rsid w:val="00614392"/>
    <w:rsid w:val="00616322"/>
    <w:rsid w:val="006167CF"/>
    <w:rsid w:val="00621EB3"/>
    <w:rsid w:val="00624A9E"/>
    <w:rsid w:val="006255D1"/>
    <w:rsid w:val="00625F24"/>
    <w:rsid w:val="006261B7"/>
    <w:rsid w:val="0062638D"/>
    <w:rsid w:val="006268DD"/>
    <w:rsid w:val="00626F46"/>
    <w:rsid w:val="00627638"/>
    <w:rsid w:val="00627906"/>
    <w:rsid w:val="0063017D"/>
    <w:rsid w:val="00630B2D"/>
    <w:rsid w:val="00631A64"/>
    <w:rsid w:val="00631C05"/>
    <w:rsid w:val="00632B01"/>
    <w:rsid w:val="00632C2F"/>
    <w:rsid w:val="006338CF"/>
    <w:rsid w:val="006372B0"/>
    <w:rsid w:val="0063757A"/>
    <w:rsid w:val="0064269B"/>
    <w:rsid w:val="006427B1"/>
    <w:rsid w:val="006454F9"/>
    <w:rsid w:val="0064627E"/>
    <w:rsid w:val="006477AC"/>
    <w:rsid w:val="0065140A"/>
    <w:rsid w:val="00651ABE"/>
    <w:rsid w:val="006557EB"/>
    <w:rsid w:val="006563BB"/>
    <w:rsid w:val="00657F4D"/>
    <w:rsid w:val="00662AC1"/>
    <w:rsid w:val="00663895"/>
    <w:rsid w:val="0066468E"/>
    <w:rsid w:val="00665080"/>
    <w:rsid w:val="00665503"/>
    <w:rsid w:val="00667A7A"/>
    <w:rsid w:val="00667D5C"/>
    <w:rsid w:val="006705C7"/>
    <w:rsid w:val="00671B9B"/>
    <w:rsid w:val="00674DD9"/>
    <w:rsid w:val="00676F9E"/>
    <w:rsid w:val="0067788E"/>
    <w:rsid w:val="006800C5"/>
    <w:rsid w:val="00683CF6"/>
    <w:rsid w:val="006843D1"/>
    <w:rsid w:val="00684565"/>
    <w:rsid w:val="00684838"/>
    <w:rsid w:val="0068603C"/>
    <w:rsid w:val="00687995"/>
    <w:rsid w:val="006909C0"/>
    <w:rsid w:val="00691222"/>
    <w:rsid w:val="00693BD8"/>
    <w:rsid w:val="006947FA"/>
    <w:rsid w:val="00694FAB"/>
    <w:rsid w:val="00695BF6"/>
    <w:rsid w:val="006A047A"/>
    <w:rsid w:val="006A0497"/>
    <w:rsid w:val="006A0742"/>
    <w:rsid w:val="006A16A0"/>
    <w:rsid w:val="006A21BE"/>
    <w:rsid w:val="006A5DC6"/>
    <w:rsid w:val="006A6D01"/>
    <w:rsid w:val="006A750A"/>
    <w:rsid w:val="006A77BF"/>
    <w:rsid w:val="006A7AF4"/>
    <w:rsid w:val="006A7C6D"/>
    <w:rsid w:val="006B1279"/>
    <w:rsid w:val="006B1EEB"/>
    <w:rsid w:val="006B27CD"/>
    <w:rsid w:val="006B40BD"/>
    <w:rsid w:val="006B4239"/>
    <w:rsid w:val="006B4889"/>
    <w:rsid w:val="006B546C"/>
    <w:rsid w:val="006B5C2F"/>
    <w:rsid w:val="006C075C"/>
    <w:rsid w:val="006C1C95"/>
    <w:rsid w:val="006C361F"/>
    <w:rsid w:val="006C3906"/>
    <w:rsid w:val="006C51CD"/>
    <w:rsid w:val="006C5577"/>
    <w:rsid w:val="006C5DDB"/>
    <w:rsid w:val="006C6C29"/>
    <w:rsid w:val="006C74EC"/>
    <w:rsid w:val="006C7EE6"/>
    <w:rsid w:val="006D1383"/>
    <w:rsid w:val="006D1A15"/>
    <w:rsid w:val="006D24C1"/>
    <w:rsid w:val="006D2FE0"/>
    <w:rsid w:val="006D673F"/>
    <w:rsid w:val="006E5441"/>
    <w:rsid w:val="006E5585"/>
    <w:rsid w:val="006E64D6"/>
    <w:rsid w:val="006E6FAD"/>
    <w:rsid w:val="006E7519"/>
    <w:rsid w:val="006E7CC3"/>
    <w:rsid w:val="006F4E33"/>
    <w:rsid w:val="006F4E85"/>
    <w:rsid w:val="006F5446"/>
    <w:rsid w:val="006F6D39"/>
    <w:rsid w:val="006F7077"/>
    <w:rsid w:val="007000A5"/>
    <w:rsid w:val="007000AC"/>
    <w:rsid w:val="00703189"/>
    <w:rsid w:val="00703FE7"/>
    <w:rsid w:val="00704108"/>
    <w:rsid w:val="007042DE"/>
    <w:rsid w:val="00704846"/>
    <w:rsid w:val="00704ADA"/>
    <w:rsid w:val="00705BBB"/>
    <w:rsid w:val="00706BD0"/>
    <w:rsid w:val="00710661"/>
    <w:rsid w:val="00714154"/>
    <w:rsid w:val="007144DA"/>
    <w:rsid w:val="00714B8A"/>
    <w:rsid w:val="00716212"/>
    <w:rsid w:val="00716B08"/>
    <w:rsid w:val="007170C7"/>
    <w:rsid w:val="0071739D"/>
    <w:rsid w:val="007200D4"/>
    <w:rsid w:val="00723732"/>
    <w:rsid w:val="0072416C"/>
    <w:rsid w:val="00724248"/>
    <w:rsid w:val="0072493C"/>
    <w:rsid w:val="00725C21"/>
    <w:rsid w:val="00726D70"/>
    <w:rsid w:val="0072749D"/>
    <w:rsid w:val="007301BC"/>
    <w:rsid w:val="00731D5B"/>
    <w:rsid w:val="007343D8"/>
    <w:rsid w:val="0073526C"/>
    <w:rsid w:val="00737ABF"/>
    <w:rsid w:val="00737D1F"/>
    <w:rsid w:val="00740B97"/>
    <w:rsid w:val="00740CEB"/>
    <w:rsid w:val="00741825"/>
    <w:rsid w:val="0074248B"/>
    <w:rsid w:val="00742F18"/>
    <w:rsid w:val="0074644E"/>
    <w:rsid w:val="00746D7A"/>
    <w:rsid w:val="00750AC7"/>
    <w:rsid w:val="00752E4D"/>
    <w:rsid w:val="00755075"/>
    <w:rsid w:val="0075773B"/>
    <w:rsid w:val="00761AD3"/>
    <w:rsid w:val="00762778"/>
    <w:rsid w:val="00762992"/>
    <w:rsid w:val="00763757"/>
    <w:rsid w:val="00763831"/>
    <w:rsid w:val="007700D6"/>
    <w:rsid w:val="00770D1B"/>
    <w:rsid w:val="0077137E"/>
    <w:rsid w:val="0077367E"/>
    <w:rsid w:val="0077381C"/>
    <w:rsid w:val="00773A3B"/>
    <w:rsid w:val="0078060E"/>
    <w:rsid w:val="00781191"/>
    <w:rsid w:val="007818D7"/>
    <w:rsid w:val="00781B73"/>
    <w:rsid w:val="00782F5A"/>
    <w:rsid w:val="00783BDB"/>
    <w:rsid w:val="007840A8"/>
    <w:rsid w:val="00785CF7"/>
    <w:rsid w:val="007869C7"/>
    <w:rsid w:val="00787801"/>
    <w:rsid w:val="00787830"/>
    <w:rsid w:val="00787C29"/>
    <w:rsid w:val="00787EBA"/>
    <w:rsid w:val="00792814"/>
    <w:rsid w:val="00793161"/>
    <w:rsid w:val="007947E3"/>
    <w:rsid w:val="00796A60"/>
    <w:rsid w:val="007A1028"/>
    <w:rsid w:val="007A1C81"/>
    <w:rsid w:val="007A3194"/>
    <w:rsid w:val="007A31C0"/>
    <w:rsid w:val="007A4819"/>
    <w:rsid w:val="007A6E45"/>
    <w:rsid w:val="007A7B9C"/>
    <w:rsid w:val="007B01DD"/>
    <w:rsid w:val="007B03D8"/>
    <w:rsid w:val="007B05EC"/>
    <w:rsid w:val="007B0E9F"/>
    <w:rsid w:val="007B1F7B"/>
    <w:rsid w:val="007B3E4D"/>
    <w:rsid w:val="007B4F75"/>
    <w:rsid w:val="007B6069"/>
    <w:rsid w:val="007B6CF7"/>
    <w:rsid w:val="007C31BA"/>
    <w:rsid w:val="007C46DC"/>
    <w:rsid w:val="007C4AE8"/>
    <w:rsid w:val="007C6709"/>
    <w:rsid w:val="007C6F6A"/>
    <w:rsid w:val="007C797C"/>
    <w:rsid w:val="007D2DBC"/>
    <w:rsid w:val="007D34DE"/>
    <w:rsid w:val="007D385F"/>
    <w:rsid w:val="007D3971"/>
    <w:rsid w:val="007D4F5C"/>
    <w:rsid w:val="007D5B4F"/>
    <w:rsid w:val="007D6130"/>
    <w:rsid w:val="007D747C"/>
    <w:rsid w:val="007D7C64"/>
    <w:rsid w:val="007E11AA"/>
    <w:rsid w:val="007E23DA"/>
    <w:rsid w:val="007E24F1"/>
    <w:rsid w:val="007E2E0A"/>
    <w:rsid w:val="007E4C99"/>
    <w:rsid w:val="007E568E"/>
    <w:rsid w:val="007E5B42"/>
    <w:rsid w:val="007F1D47"/>
    <w:rsid w:val="007F346F"/>
    <w:rsid w:val="007F4EB5"/>
    <w:rsid w:val="007F6CB0"/>
    <w:rsid w:val="007F6D13"/>
    <w:rsid w:val="00802127"/>
    <w:rsid w:val="00802CCC"/>
    <w:rsid w:val="0080393F"/>
    <w:rsid w:val="00804A98"/>
    <w:rsid w:val="00804DA2"/>
    <w:rsid w:val="00806058"/>
    <w:rsid w:val="008062B4"/>
    <w:rsid w:val="00806C7C"/>
    <w:rsid w:val="00807932"/>
    <w:rsid w:val="0081053C"/>
    <w:rsid w:val="00811C90"/>
    <w:rsid w:val="008121FD"/>
    <w:rsid w:val="00812455"/>
    <w:rsid w:val="0081301A"/>
    <w:rsid w:val="0081367A"/>
    <w:rsid w:val="0081426A"/>
    <w:rsid w:val="00817597"/>
    <w:rsid w:val="00817CB6"/>
    <w:rsid w:val="0082023A"/>
    <w:rsid w:val="008233D3"/>
    <w:rsid w:val="00824A3D"/>
    <w:rsid w:val="00826C92"/>
    <w:rsid w:val="008274DB"/>
    <w:rsid w:val="00827F2B"/>
    <w:rsid w:val="0083035E"/>
    <w:rsid w:val="00830EB1"/>
    <w:rsid w:val="00831F53"/>
    <w:rsid w:val="00832B36"/>
    <w:rsid w:val="00832C0E"/>
    <w:rsid w:val="00833EC4"/>
    <w:rsid w:val="008342D8"/>
    <w:rsid w:val="00834458"/>
    <w:rsid w:val="00840AB0"/>
    <w:rsid w:val="00842665"/>
    <w:rsid w:val="00843205"/>
    <w:rsid w:val="008437E9"/>
    <w:rsid w:val="00844493"/>
    <w:rsid w:val="008446FB"/>
    <w:rsid w:val="00845ECF"/>
    <w:rsid w:val="0085089E"/>
    <w:rsid w:val="008511EE"/>
    <w:rsid w:val="008552C6"/>
    <w:rsid w:val="00855C5F"/>
    <w:rsid w:val="00856B96"/>
    <w:rsid w:val="008607BB"/>
    <w:rsid w:val="00860AAE"/>
    <w:rsid w:val="008615AE"/>
    <w:rsid w:val="00861EEC"/>
    <w:rsid w:val="00861F96"/>
    <w:rsid w:val="008646A2"/>
    <w:rsid w:val="00865232"/>
    <w:rsid w:val="00865304"/>
    <w:rsid w:val="00871304"/>
    <w:rsid w:val="008713F4"/>
    <w:rsid w:val="00871D48"/>
    <w:rsid w:val="00873529"/>
    <w:rsid w:val="00873916"/>
    <w:rsid w:val="008743AE"/>
    <w:rsid w:val="008755B0"/>
    <w:rsid w:val="008759E3"/>
    <w:rsid w:val="008763DF"/>
    <w:rsid w:val="00876C51"/>
    <w:rsid w:val="00877C5F"/>
    <w:rsid w:val="00880B63"/>
    <w:rsid w:val="00880C96"/>
    <w:rsid w:val="00882880"/>
    <w:rsid w:val="00884593"/>
    <w:rsid w:val="00887CF0"/>
    <w:rsid w:val="00890057"/>
    <w:rsid w:val="00890C10"/>
    <w:rsid w:val="0089166C"/>
    <w:rsid w:val="00892F91"/>
    <w:rsid w:val="008945E7"/>
    <w:rsid w:val="00895F7F"/>
    <w:rsid w:val="008979BD"/>
    <w:rsid w:val="008A0E82"/>
    <w:rsid w:val="008A3C1A"/>
    <w:rsid w:val="008A452D"/>
    <w:rsid w:val="008A4763"/>
    <w:rsid w:val="008A499D"/>
    <w:rsid w:val="008A6C35"/>
    <w:rsid w:val="008A6CF7"/>
    <w:rsid w:val="008B06F3"/>
    <w:rsid w:val="008B42A6"/>
    <w:rsid w:val="008B5054"/>
    <w:rsid w:val="008B53EE"/>
    <w:rsid w:val="008B54EF"/>
    <w:rsid w:val="008B77B8"/>
    <w:rsid w:val="008B7EC8"/>
    <w:rsid w:val="008C05AB"/>
    <w:rsid w:val="008C0EBB"/>
    <w:rsid w:val="008C1A8A"/>
    <w:rsid w:val="008C2ADC"/>
    <w:rsid w:val="008C5B9C"/>
    <w:rsid w:val="008D0AB4"/>
    <w:rsid w:val="008D1FE9"/>
    <w:rsid w:val="008D2FCC"/>
    <w:rsid w:val="008D54FC"/>
    <w:rsid w:val="008D55BD"/>
    <w:rsid w:val="008D60B4"/>
    <w:rsid w:val="008D6AC4"/>
    <w:rsid w:val="008D7244"/>
    <w:rsid w:val="008D734E"/>
    <w:rsid w:val="008D7462"/>
    <w:rsid w:val="008E0728"/>
    <w:rsid w:val="008E21C9"/>
    <w:rsid w:val="008E2E2E"/>
    <w:rsid w:val="008E35F3"/>
    <w:rsid w:val="008E38FB"/>
    <w:rsid w:val="008E3D5D"/>
    <w:rsid w:val="008E5017"/>
    <w:rsid w:val="008E56F4"/>
    <w:rsid w:val="008E7F23"/>
    <w:rsid w:val="008F0DB5"/>
    <w:rsid w:val="008F1B5B"/>
    <w:rsid w:val="008F1F8B"/>
    <w:rsid w:val="008F26DD"/>
    <w:rsid w:val="008F2E8B"/>
    <w:rsid w:val="008F33B4"/>
    <w:rsid w:val="008F50C5"/>
    <w:rsid w:val="008F56D4"/>
    <w:rsid w:val="008F672E"/>
    <w:rsid w:val="008F6D3B"/>
    <w:rsid w:val="008F7559"/>
    <w:rsid w:val="0090296F"/>
    <w:rsid w:val="00903723"/>
    <w:rsid w:val="00903988"/>
    <w:rsid w:val="00904B80"/>
    <w:rsid w:val="00906508"/>
    <w:rsid w:val="00907958"/>
    <w:rsid w:val="009117F5"/>
    <w:rsid w:val="009137FC"/>
    <w:rsid w:val="0091442D"/>
    <w:rsid w:val="0091500A"/>
    <w:rsid w:val="0091641C"/>
    <w:rsid w:val="00916653"/>
    <w:rsid w:val="009170D3"/>
    <w:rsid w:val="00920C63"/>
    <w:rsid w:val="0092287B"/>
    <w:rsid w:val="00922A22"/>
    <w:rsid w:val="00925DDA"/>
    <w:rsid w:val="00925E43"/>
    <w:rsid w:val="00927270"/>
    <w:rsid w:val="009302FF"/>
    <w:rsid w:val="009303A0"/>
    <w:rsid w:val="009304A5"/>
    <w:rsid w:val="0093191F"/>
    <w:rsid w:val="009335A9"/>
    <w:rsid w:val="00934FCA"/>
    <w:rsid w:val="00937B05"/>
    <w:rsid w:val="00940DB2"/>
    <w:rsid w:val="009429C8"/>
    <w:rsid w:val="00943F7E"/>
    <w:rsid w:val="009451FF"/>
    <w:rsid w:val="00952F6E"/>
    <w:rsid w:val="00952FA1"/>
    <w:rsid w:val="00953518"/>
    <w:rsid w:val="00954561"/>
    <w:rsid w:val="00954A36"/>
    <w:rsid w:val="00955C54"/>
    <w:rsid w:val="009579DE"/>
    <w:rsid w:val="009618F2"/>
    <w:rsid w:val="009620B3"/>
    <w:rsid w:val="009649CE"/>
    <w:rsid w:val="00971030"/>
    <w:rsid w:val="00971751"/>
    <w:rsid w:val="00971B49"/>
    <w:rsid w:val="00973744"/>
    <w:rsid w:val="0097442C"/>
    <w:rsid w:val="009745C0"/>
    <w:rsid w:val="009745D8"/>
    <w:rsid w:val="00974A33"/>
    <w:rsid w:val="0097579E"/>
    <w:rsid w:val="00976196"/>
    <w:rsid w:val="009766EF"/>
    <w:rsid w:val="0098185A"/>
    <w:rsid w:val="0098232A"/>
    <w:rsid w:val="00982807"/>
    <w:rsid w:val="00983415"/>
    <w:rsid w:val="009834F6"/>
    <w:rsid w:val="00983890"/>
    <w:rsid w:val="009843C4"/>
    <w:rsid w:val="00994603"/>
    <w:rsid w:val="009A16FB"/>
    <w:rsid w:val="009A1AD6"/>
    <w:rsid w:val="009A298E"/>
    <w:rsid w:val="009A2E84"/>
    <w:rsid w:val="009A4FF1"/>
    <w:rsid w:val="009A508C"/>
    <w:rsid w:val="009A5618"/>
    <w:rsid w:val="009A5EE7"/>
    <w:rsid w:val="009A7944"/>
    <w:rsid w:val="009A7CF0"/>
    <w:rsid w:val="009B095E"/>
    <w:rsid w:val="009B12CE"/>
    <w:rsid w:val="009B1414"/>
    <w:rsid w:val="009B15AC"/>
    <w:rsid w:val="009B2FDA"/>
    <w:rsid w:val="009B3840"/>
    <w:rsid w:val="009B41C2"/>
    <w:rsid w:val="009B4F78"/>
    <w:rsid w:val="009B5515"/>
    <w:rsid w:val="009B61BD"/>
    <w:rsid w:val="009B6A89"/>
    <w:rsid w:val="009B72A1"/>
    <w:rsid w:val="009B79F7"/>
    <w:rsid w:val="009C4A07"/>
    <w:rsid w:val="009C4DC5"/>
    <w:rsid w:val="009C54CB"/>
    <w:rsid w:val="009C63F5"/>
    <w:rsid w:val="009C6AE7"/>
    <w:rsid w:val="009C6C08"/>
    <w:rsid w:val="009C716B"/>
    <w:rsid w:val="009D1195"/>
    <w:rsid w:val="009D16E6"/>
    <w:rsid w:val="009D263B"/>
    <w:rsid w:val="009D295C"/>
    <w:rsid w:val="009D2B35"/>
    <w:rsid w:val="009D3497"/>
    <w:rsid w:val="009D4117"/>
    <w:rsid w:val="009D49E1"/>
    <w:rsid w:val="009D4D67"/>
    <w:rsid w:val="009D525D"/>
    <w:rsid w:val="009D6148"/>
    <w:rsid w:val="009D6FAB"/>
    <w:rsid w:val="009D76B6"/>
    <w:rsid w:val="009D78EA"/>
    <w:rsid w:val="009E1178"/>
    <w:rsid w:val="009E201F"/>
    <w:rsid w:val="009E27B8"/>
    <w:rsid w:val="009E3859"/>
    <w:rsid w:val="009E39F1"/>
    <w:rsid w:val="009E4E7D"/>
    <w:rsid w:val="009E5541"/>
    <w:rsid w:val="009E58C6"/>
    <w:rsid w:val="009F0661"/>
    <w:rsid w:val="009F2A0F"/>
    <w:rsid w:val="009F567B"/>
    <w:rsid w:val="009F7CC2"/>
    <w:rsid w:val="00A001B5"/>
    <w:rsid w:val="00A03245"/>
    <w:rsid w:val="00A039B8"/>
    <w:rsid w:val="00A10248"/>
    <w:rsid w:val="00A10818"/>
    <w:rsid w:val="00A10A8D"/>
    <w:rsid w:val="00A1159F"/>
    <w:rsid w:val="00A11CAA"/>
    <w:rsid w:val="00A12CC8"/>
    <w:rsid w:val="00A13155"/>
    <w:rsid w:val="00A14E8A"/>
    <w:rsid w:val="00A157C8"/>
    <w:rsid w:val="00A221DF"/>
    <w:rsid w:val="00A231A1"/>
    <w:rsid w:val="00A231B3"/>
    <w:rsid w:val="00A237CF"/>
    <w:rsid w:val="00A259FC"/>
    <w:rsid w:val="00A265BC"/>
    <w:rsid w:val="00A27AF6"/>
    <w:rsid w:val="00A30B2F"/>
    <w:rsid w:val="00A31238"/>
    <w:rsid w:val="00A31464"/>
    <w:rsid w:val="00A31D7E"/>
    <w:rsid w:val="00A32C86"/>
    <w:rsid w:val="00A33938"/>
    <w:rsid w:val="00A339CE"/>
    <w:rsid w:val="00A33A73"/>
    <w:rsid w:val="00A352C9"/>
    <w:rsid w:val="00A358A9"/>
    <w:rsid w:val="00A36354"/>
    <w:rsid w:val="00A36400"/>
    <w:rsid w:val="00A36BDE"/>
    <w:rsid w:val="00A40804"/>
    <w:rsid w:val="00A4173A"/>
    <w:rsid w:val="00A42C5A"/>
    <w:rsid w:val="00A43B63"/>
    <w:rsid w:val="00A43E6A"/>
    <w:rsid w:val="00A44CC0"/>
    <w:rsid w:val="00A503F7"/>
    <w:rsid w:val="00A5081F"/>
    <w:rsid w:val="00A512CB"/>
    <w:rsid w:val="00A5389B"/>
    <w:rsid w:val="00A543D8"/>
    <w:rsid w:val="00A54550"/>
    <w:rsid w:val="00A56397"/>
    <w:rsid w:val="00A60FC0"/>
    <w:rsid w:val="00A619FC"/>
    <w:rsid w:val="00A630B5"/>
    <w:rsid w:val="00A65741"/>
    <w:rsid w:val="00A65745"/>
    <w:rsid w:val="00A70487"/>
    <w:rsid w:val="00A729A4"/>
    <w:rsid w:val="00A741C5"/>
    <w:rsid w:val="00A77275"/>
    <w:rsid w:val="00A77EB8"/>
    <w:rsid w:val="00A803E7"/>
    <w:rsid w:val="00A81240"/>
    <w:rsid w:val="00A81684"/>
    <w:rsid w:val="00A8213F"/>
    <w:rsid w:val="00A849A5"/>
    <w:rsid w:val="00A84FFF"/>
    <w:rsid w:val="00A90290"/>
    <w:rsid w:val="00A91A54"/>
    <w:rsid w:val="00A921D1"/>
    <w:rsid w:val="00A927A5"/>
    <w:rsid w:val="00A92E58"/>
    <w:rsid w:val="00A949B9"/>
    <w:rsid w:val="00A953B0"/>
    <w:rsid w:val="00A95D69"/>
    <w:rsid w:val="00A96EA9"/>
    <w:rsid w:val="00A97AFD"/>
    <w:rsid w:val="00AA04DF"/>
    <w:rsid w:val="00AA0D6B"/>
    <w:rsid w:val="00AA1CAE"/>
    <w:rsid w:val="00AA59AD"/>
    <w:rsid w:val="00AA72AA"/>
    <w:rsid w:val="00AB1BC3"/>
    <w:rsid w:val="00AB26A6"/>
    <w:rsid w:val="00AB3866"/>
    <w:rsid w:val="00AB5801"/>
    <w:rsid w:val="00AB5C78"/>
    <w:rsid w:val="00AB6C80"/>
    <w:rsid w:val="00AB72D6"/>
    <w:rsid w:val="00AC1619"/>
    <w:rsid w:val="00AC169F"/>
    <w:rsid w:val="00AC1C04"/>
    <w:rsid w:val="00AC6BFA"/>
    <w:rsid w:val="00AC6C7F"/>
    <w:rsid w:val="00AC712F"/>
    <w:rsid w:val="00AC751F"/>
    <w:rsid w:val="00AD0FF4"/>
    <w:rsid w:val="00AD3682"/>
    <w:rsid w:val="00AD4234"/>
    <w:rsid w:val="00AE0BED"/>
    <w:rsid w:val="00AE0D34"/>
    <w:rsid w:val="00AE1FA8"/>
    <w:rsid w:val="00AE3668"/>
    <w:rsid w:val="00AE3C2A"/>
    <w:rsid w:val="00AF0AB0"/>
    <w:rsid w:val="00AF1353"/>
    <w:rsid w:val="00AF18DD"/>
    <w:rsid w:val="00AF18E3"/>
    <w:rsid w:val="00AF243D"/>
    <w:rsid w:val="00AF4520"/>
    <w:rsid w:val="00AF5BE6"/>
    <w:rsid w:val="00AF7E42"/>
    <w:rsid w:val="00B0045D"/>
    <w:rsid w:val="00B01886"/>
    <w:rsid w:val="00B01D5F"/>
    <w:rsid w:val="00B02173"/>
    <w:rsid w:val="00B022E8"/>
    <w:rsid w:val="00B0267D"/>
    <w:rsid w:val="00B07FAD"/>
    <w:rsid w:val="00B10096"/>
    <w:rsid w:val="00B10A8E"/>
    <w:rsid w:val="00B1265A"/>
    <w:rsid w:val="00B13299"/>
    <w:rsid w:val="00B141AC"/>
    <w:rsid w:val="00B165B7"/>
    <w:rsid w:val="00B17242"/>
    <w:rsid w:val="00B17EA5"/>
    <w:rsid w:val="00B214CC"/>
    <w:rsid w:val="00B21C21"/>
    <w:rsid w:val="00B22736"/>
    <w:rsid w:val="00B22865"/>
    <w:rsid w:val="00B234CD"/>
    <w:rsid w:val="00B23618"/>
    <w:rsid w:val="00B24A90"/>
    <w:rsid w:val="00B26CF9"/>
    <w:rsid w:val="00B27221"/>
    <w:rsid w:val="00B27468"/>
    <w:rsid w:val="00B304A4"/>
    <w:rsid w:val="00B354FC"/>
    <w:rsid w:val="00B40A68"/>
    <w:rsid w:val="00B40DB2"/>
    <w:rsid w:val="00B422B7"/>
    <w:rsid w:val="00B43201"/>
    <w:rsid w:val="00B449A6"/>
    <w:rsid w:val="00B449F2"/>
    <w:rsid w:val="00B449FD"/>
    <w:rsid w:val="00B44B3A"/>
    <w:rsid w:val="00B454F0"/>
    <w:rsid w:val="00B46FD3"/>
    <w:rsid w:val="00B47721"/>
    <w:rsid w:val="00B47CB3"/>
    <w:rsid w:val="00B5272D"/>
    <w:rsid w:val="00B54027"/>
    <w:rsid w:val="00B54940"/>
    <w:rsid w:val="00B552C4"/>
    <w:rsid w:val="00B569BB"/>
    <w:rsid w:val="00B57AE0"/>
    <w:rsid w:val="00B60C7F"/>
    <w:rsid w:val="00B60CE4"/>
    <w:rsid w:val="00B629D8"/>
    <w:rsid w:val="00B64B3D"/>
    <w:rsid w:val="00B6741F"/>
    <w:rsid w:val="00B67640"/>
    <w:rsid w:val="00B71A51"/>
    <w:rsid w:val="00B7348B"/>
    <w:rsid w:val="00B74007"/>
    <w:rsid w:val="00B75FE7"/>
    <w:rsid w:val="00B7626A"/>
    <w:rsid w:val="00B76534"/>
    <w:rsid w:val="00B769F9"/>
    <w:rsid w:val="00B76EB9"/>
    <w:rsid w:val="00B77FD0"/>
    <w:rsid w:val="00B80532"/>
    <w:rsid w:val="00B82618"/>
    <w:rsid w:val="00B82837"/>
    <w:rsid w:val="00B8342A"/>
    <w:rsid w:val="00B83EC5"/>
    <w:rsid w:val="00B85E64"/>
    <w:rsid w:val="00B85E79"/>
    <w:rsid w:val="00B86C55"/>
    <w:rsid w:val="00B874FC"/>
    <w:rsid w:val="00B91242"/>
    <w:rsid w:val="00B932B3"/>
    <w:rsid w:val="00B9430E"/>
    <w:rsid w:val="00B95B30"/>
    <w:rsid w:val="00B97082"/>
    <w:rsid w:val="00B977D7"/>
    <w:rsid w:val="00B97B63"/>
    <w:rsid w:val="00BA07EA"/>
    <w:rsid w:val="00BA2DE5"/>
    <w:rsid w:val="00BA412E"/>
    <w:rsid w:val="00BA4A9B"/>
    <w:rsid w:val="00BA7C13"/>
    <w:rsid w:val="00BB0763"/>
    <w:rsid w:val="00BB1239"/>
    <w:rsid w:val="00BB1AE6"/>
    <w:rsid w:val="00BB3532"/>
    <w:rsid w:val="00BB3832"/>
    <w:rsid w:val="00BB42DF"/>
    <w:rsid w:val="00BB45DA"/>
    <w:rsid w:val="00BB66DA"/>
    <w:rsid w:val="00BC0701"/>
    <w:rsid w:val="00BC21FC"/>
    <w:rsid w:val="00BC3574"/>
    <w:rsid w:val="00BC4690"/>
    <w:rsid w:val="00BD041E"/>
    <w:rsid w:val="00BD1210"/>
    <w:rsid w:val="00BD380B"/>
    <w:rsid w:val="00BD42A4"/>
    <w:rsid w:val="00BD5169"/>
    <w:rsid w:val="00BD5418"/>
    <w:rsid w:val="00BD6D7A"/>
    <w:rsid w:val="00BD72BE"/>
    <w:rsid w:val="00BE00EE"/>
    <w:rsid w:val="00BE072E"/>
    <w:rsid w:val="00BE0DCE"/>
    <w:rsid w:val="00BE121F"/>
    <w:rsid w:val="00BE20EB"/>
    <w:rsid w:val="00BE2B17"/>
    <w:rsid w:val="00BE2BE2"/>
    <w:rsid w:val="00BE3632"/>
    <w:rsid w:val="00BE3C4A"/>
    <w:rsid w:val="00BE3E15"/>
    <w:rsid w:val="00BE403D"/>
    <w:rsid w:val="00BE6DB2"/>
    <w:rsid w:val="00BE78FE"/>
    <w:rsid w:val="00BE7B4C"/>
    <w:rsid w:val="00BF04CD"/>
    <w:rsid w:val="00BF0C73"/>
    <w:rsid w:val="00BF4EE1"/>
    <w:rsid w:val="00BF52B4"/>
    <w:rsid w:val="00BF6A9D"/>
    <w:rsid w:val="00BF7367"/>
    <w:rsid w:val="00C009C3"/>
    <w:rsid w:val="00C00C28"/>
    <w:rsid w:val="00C01C82"/>
    <w:rsid w:val="00C02E51"/>
    <w:rsid w:val="00C02E94"/>
    <w:rsid w:val="00C10CFA"/>
    <w:rsid w:val="00C1172F"/>
    <w:rsid w:val="00C14D45"/>
    <w:rsid w:val="00C15895"/>
    <w:rsid w:val="00C17C63"/>
    <w:rsid w:val="00C203D9"/>
    <w:rsid w:val="00C207D4"/>
    <w:rsid w:val="00C24104"/>
    <w:rsid w:val="00C24CB9"/>
    <w:rsid w:val="00C26F43"/>
    <w:rsid w:val="00C31459"/>
    <w:rsid w:val="00C314FC"/>
    <w:rsid w:val="00C328F4"/>
    <w:rsid w:val="00C32ECE"/>
    <w:rsid w:val="00C330FE"/>
    <w:rsid w:val="00C33C04"/>
    <w:rsid w:val="00C360D6"/>
    <w:rsid w:val="00C369BC"/>
    <w:rsid w:val="00C370BA"/>
    <w:rsid w:val="00C3736E"/>
    <w:rsid w:val="00C373F9"/>
    <w:rsid w:val="00C37929"/>
    <w:rsid w:val="00C37F89"/>
    <w:rsid w:val="00C40E85"/>
    <w:rsid w:val="00C441BB"/>
    <w:rsid w:val="00C44906"/>
    <w:rsid w:val="00C45521"/>
    <w:rsid w:val="00C4682F"/>
    <w:rsid w:val="00C50DBE"/>
    <w:rsid w:val="00C520CE"/>
    <w:rsid w:val="00C52CC4"/>
    <w:rsid w:val="00C533C7"/>
    <w:rsid w:val="00C53407"/>
    <w:rsid w:val="00C53B86"/>
    <w:rsid w:val="00C53CF2"/>
    <w:rsid w:val="00C55316"/>
    <w:rsid w:val="00C568E8"/>
    <w:rsid w:val="00C56A3C"/>
    <w:rsid w:val="00C57EB2"/>
    <w:rsid w:val="00C60DFD"/>
    <w:rsid w:val="00C62DF5"/>
    <w:rsid w:val="00C66F3B"/>
    <w:rsid w:val="00C66FD6"/>
    <w:rsid w:val="00C67642"/>
    <w:rsid w:val="00C71387"/>
    <w:rsid w:val="00C7275F"/>
    <w:rsid w:val="00C73B0D"/>
    <w:rsid w:val="00C7405C"/>
    <w:rsid w:val="00C75DDC"/>
    <w:rsid w:val="00C77BF4"/>
    <w:rsid w:val="00C816A0"/>
    <w:rsid w:val="00C82036"/>
    <w:rsid w:val="00C824B4"/>
    <w:rsid w:val="00C824C9"/>
    <w:rsid w:val="00C84BB2"/>
    <w:rsid w:val="00C86EB3"/>
    <w:rsid w:val="00C86F86"/>
    <w:rsid w:val="00C879AC"/>
    <w:rsid w:val="00C87B47"/>
    <w:rsid w:val="00C91887"/>
    <w:rsid w:val="00C918FE"/>
    <w:rsid w:val="00C92CD2"/>
    <w:rsid w:val="00CA16D0"/>
    <w:rsid w:val="00CA295F"/>
    <w:rsid w:val="00CA2A2C"/>
    <w:rsid w:val="00CA2DFA"/>
    <w:rsid w:val="00CA2F8B"/>
    <w:rsid w:val="00CA3890"/>
    <w:rsid w:val="00CA45C8"/>
    <w:rsid w:val="00CA4E1D"/>
    <w:rsid w:val="00CA566D"/>
    <w:rsid w:val="00CB0581"/>
    <w:rsid w:val="00CB0A0C"/>
    <w:rsid w:val="00CB3E32"/>
    <w:rsid w:val="00CB3E73"/>
    <w:rsid w:val="00CB4C84"/>
    <w:rsid w:val="00CB7185"/>
    <w:rsid w:val="00CC3A11"/>
    <w:rsid w:val="00CC4720"/>
    <w:rsid w:val="00CC625A"/>
    <w:rsid w:val="00CD0388"/>
    <w:rsid w:val="00CD2E46"/>
    <w:rsid w:val="00CD30A1"/>
    <w:rsid w:val="00CD341F"/>
    <w:rsid w:val="00CD3809"/>
    <w:rsid w:val="00CD495F"/>
    <w:rsid w:val="00CD4AD1"/>
    <w:rsid w:val="00CD4EA6"/>
    <w:rsid w:val="00CD5531"/>
    <w:rsid w:val="00CD5CD9"/>
    <w:rsid w:val="00CD634B"/>
    <w:rsid w:val="00CD758B"/>
    <w:rsid w:val="00CE2186"/>
    <w:rsid w:val="00CE4525"/>
    <w:rsid w:val="00CE4E07"/>
    <w:rsid w:val="00CE5885"/>
    <w:rsid w:val="00CE6C30"/>
    <w:rsid w:val="00CE7232"/>
    <w:rsid w:val="00CF013F"/>
    <w:rsid w:val="00CF062B"/>
    <w:rsid w:val="00CF1076"/>
    <w:rsid w:val="00CF2792"/>
    <w:rsid w:val="00CF3FBF"/>
    <w:rsid w:val="00CF5FA7"/>
    <w:rsid w:val="00CF68B8"/>
    <w:rsid w:val="00D016A6"/>
    <w:rsid w:val="00D02AC3"/>
    <w:rsid w:val="00D03A51"/>
    <w:rsid w:val="00D03C6E"/>
    <w:rsid w:val="00D05102"/>
    <w:rsid w:val="00D055BB"/>
    <w:rsid w:val="00D05748"/>
    <w:rsid w:val="00D05E27"/>
    <w:rsid w:val="00D10558"/>
    <w:rsid w:val="00D1116A"/>
    <w:rsid w:val="00D116F5"/>
    <w:rsid w:val="00D11815"/>
    <w:rsid w:val="00D11BEE"/>
    <w:rsid w:val="00D15261"/>
    <w:rsid w:val="00D17675"/>
    <w:rsid w:val="00D176B3"/>
    <w:rsid w:val="00D220E5"/>
    <w:rsid w:val="00D2257E"/>
    <w:rsid w:val="00D22A8E"/>
    <w:rsid w:val="00D23514"/>
    <w:rsid w:val="00D2391F"/>
    <w:rsid w:val="00D26342"/>
    <w:rsid w:val="00D26F9F"/>
    <w:rsid w:val="00D27F34"/>
    <w:rsid w:val="00D30095"/>
    <w:rsid w:val="00D301CE"/>
    <w:rsid w:val="00D30E6E"/>
    <w:rsid w:val="00D3143D"/>
    <w:rsid w:val="00D322AB"/>
    <w:rsid w:val="00D33367"/>
    <w:rsid w:val="00D34795"/>
    <w:rsid w:val="00D3523A"/>
    <w:rsid w:val="00D35A52"/>
    <w:rsid w:val="00D37849"/>
    <w:rsid w:val="00D40BC7"/>
    <w:rsid w:val="00D43972"/>
    <w:rsid w:val="00D43993"/>
    <w:rsid w:val="00D441F6"/>
    <w:rsid w:val="00D44317"/>
    <w:rsid w:val="00D45C57"/>
    <w:rsid w:val="00D45FD1"/>
    <w:rsid w:val="00D47139"/>
    <w:rsid w:val="00D477D5"/>
    <w:rsid w:val="00D4795A"/>
    <w:rsid w:val="00D47CD9"/>
    <w:rsid w:val="00D47D03"/>
    <w:rsid w:val="00D509A8"/>
    <w:rsid w:val="00D517E1"/>
    <w:rsid w:val="00D51FA2"/>
    <w:rsid w:val="00D528A9"/>
    <w:rsid w:val="00D542C5"/>
    <w:rsid w:val="00D605A8"/>
    <w:rsid w:val="00D617FD"/>
    <w:rsid w:val="00D6187D"/>
    <w:rsid w:val="00D62719"/>
    <w:rsid w:val="00D6289B"/>
    <w:rsid w:val="00D62D38"/>
    <w:rsid w:val="00D63D2F"/>
    <w:rsid w:val="00D64B8E"/>
    <w:rsid w:val="00D73AFB"/>
    <w:rsid w:val="00D73C69"/>
    <w:rsid w:val="00D73CC1"/>
    <w:rsid w:val="00D743EB"/>
    <w:rsid w:val="00D751EA"/>
    <w:rsid w:val="00D756A6"/>
    <w:rsid w:val="00D763E2"/>
    <w:rsid w:val="00D771EB"/>
    <w:rsid w:val="00D80235"/>
    <w:rsid w:val="00D80A75"/>
    <w:rsid w:val="00D80C5D"/>
    <w:rsid w:val="00D80EBB"/>
    <w:rsid w:val="00D81C8F"/>
    <w:rsid w:val="00D820F9"/>
    <w:rsid w:val="00D82407"/>
    <w:rsid w:val="00D85E0C"/>
    <w:rsid w:val="00D8698F"/>
    <w:rsid w:val="00D8718B"/>
    <w:rsid w:val="00D9161C"/>
    <w:rsid w:val="00D94B1A"/>
    <w:rsid w:val="00D95F32"/>
    <w:rsid w:val="00D96DBF"/>
    <w:rsid w:val="00D970E6"/>
    <w:rsid w:val="00D979BB"/>
    <w:rsid w:val="00D97D86"/>
    <w:rsid w:val="00DA06B7"/>
    <w:rsid w:val="00DA0B3D"/>
    <w:rsid w:val="00DA182E"/>
    <w:rsid w:val="00DA36C1"/>
    <w:rsid w:val="00DA3E10"/>
    <w:rsid w:val="00DA50E5"/>
    <w:rsid w:val="00DA798D"/>
    <w:rsid w:val="00DB0690"/>
    <w:rsid w:val="00DB29CE"/>
    <w:rsid w:val="00DB3712"/>
    <w:rsid w:val="00DC0837"/>
    <w:rsid w:val="00DC1507"/>
    <w:rsid w:val="00DC33DB"/>
    <w:rsid w:val="00DC4D96"/>
    <w:rsid w:val="00DC61CF"/>
    <w:rsid w:val="00DD00EA"/>
    <w:rsid w:val="00DD0705"/>
    <w:rsid w:val="00DD3D50"/>
    <w:rsid w:val="00DD6EBF"/>
    <w:rsid w:val="00DD714B"/>
    <w:rsid w:val="00DD7806"/>
    <w:rsid w:val="00DE1CFE"/>
    <w:rsid w:val="00DE301B"/>
    <w:rsid w:val="00DE36C4"/>
    <w:rsid w:val="00DE472C"/>
    <w:rsid w:val="00DE65CA"/>
    <w:rsid w:val="00DF0EF7"/>
    <w:rsid w:val="00DF223E"/>
    <w:rsid w:val="00DF3270"/>
    <w:rsid w:val="00DF4603"/>
    <w:rsid w:val="00DF4ADE"/>
    <w:rsid w:val="00DF5225"/>
    <w:rsid w:val="00DF5EFA"/>
    <w:rsid w:val="00DF6450"/>
    <w:rsid w:val="00DF6C47"/>
    <w:rsid w:val="00DF71C6"/>
    <w:rsid w:val="00DF76B8"/>
    <w:rsid w:val="00E0022F"/>
    <w:rsid w:val="00E003EE"/>
    <w:rsid w:val="00E02953"/>
    <w:rsid w:val="00E04495"/>
    <w:rsid w:val="00E05487"/>
    <w:rsid w:val="00E0552D"/>
    <w:rsid w:val="00E102B2"/>
    <w:rsid w:val="00E10542"/>
    <w:rsid w:val="00E1062D"/>
    <w:rsid w:val="00E11A82"/>
    <w:rsid w:val="00E12EF1"/>
    <w:rsid w:val="00E17471"/>
    <w:rsid w:val="00E22053"/>
    <w:rsid w:val="00E2207B"/>
    <w:rsid w:val="00E2382F"/>
    <w:rsid w:val="00E23FFE"/>
    <w:rsid w:val="00E24327"/>
    <w:rsid w:val="00E258F7"/>
    <w:rsid w:val="00E27279"/>
    <w:rsid w:val="00E27F73"/>
    <w:rsid w:val="00E3046E"/>
    <w:rsid w:val="00E30793"/>
    <w:rsid w:val="00E30D71"/>
    <w:rsid w:val="00E3135B"/>
    <w:rsid w:val="00E32D72"/>
    <w:rsid w:val="00E32F6A"/>
    <w:rsid w:val="00E346E3"/>
    <w:rsid w:val="00E364E3"/>
    <w:rsid w:val="00E37290"/>
    <w:rsid w:val="00E373ED"/>
    <w:rsid w:val="00E3770F"/>
    <w:rsid w:val="00E40BBE"/>
    <w:rsid w:val="00E412D5"/>
    <w:rsid w:val="00E428F6"/>
    <w:rsid w:val="00E437EA"/>
    <w:rsid w:val="00E45F28"/>
    <w:rsid w:val="00E47554"/>
    <w:rsid w:val="00E508B3"/>
    <w:rsid w:val="00E50C7F"/>
    <w:rsid w:val="00E50E2A"/>
    <w:rsid w:val="00E5190B"/>
    <w:rsid w:val="00E5199C"/>
    <w:rsid w:val="00E51C30"/>
    <w:rsid w:val="00E53504"/>
    <w:rsid w:val="00E538AD"/>
    <w:rsid w:val="00E53E87"/>
    <w:rsid w:val="00E54116"/>
    <w:rsid w:val="00E54F65"/>
    <w:rsid w:val="00E56DA4"/>
    <w:rsid w:val="00E5736F"/>
    <w:rsid w:val="00E604E2"/>
    <w:rsid w:val="00E61AAA"/>
    <w:rsid w:val="00E6293B"/>
    <w:rsid w:val="00E637F6"/>
    <w:rsid w:val="00E64FEE"/>
    <w:rsid w:val="00E67BF1"/>
    <w:rsid w:val="00E718C6"/>
    <w:rsid w:val="00E71A95"/>
    <w:rsid w:val="00E7208F"/>
    <w:rsid w:val="00E7247A"/>
    <w:rsid w:val="00E72BA3"/>
    <w:rsid w:val="00E72D6F"/>
    <w:rsid w:val="00E7492A"/>
    <w:rsid w:val="00E7614F"/>
    <w:rsid w:val="00E76A2A"/>
    <w:rsid w:val="00E76C53"/>
    <w:rsid w:val="00E77DB7"/>
    <w:rsid w:val="00E80D1A"/>
    <w:rsid w:val="00E81878"/>
    <w:rsid w:val="00E82A8E"/>
    <w:rsid w:val="00E84545"/>
    <w:rsid w:val="00E8560C"/>
    <w:rsid w:val="00E86746"/>
    <w:rsid w:val="00E87292"/>
    <w:rsid w:val="00E87950"/>
    <w:rsid w:val="00E9047B"/>
    <w:rsid w:val="00E91BB3"/>
    <w:rsid w:val="00E92316"/>
    <w:rsid w:val="00E93433"/>
    <w:rsid w:val="00E944C6"/>
    <w:rsid w:val="00E94AA3"/>
    <w:rsid w:val="00E96C78"/>
    <w:rsid w:val="00E96E54"/>
    <w:rsid w:val="00EA1744"/>
    <w:rsid w:val="00EA180C"/>
    <w:rsid w:val="00EA28A5"/>
    <w:rsid w:val="00EA3878"/>
    <w:rsid w:val="00EA7DF0"/>
    <w:rsid w:val="00EB1A30"/>
    <w:rsid w:val="00EB2DBD"/>
    <w:rsid w:val="00EB5724"/>
    <w:rsid w:val="00EB673C"/>
    <w:rsid w:val="00EB7E3D"/>
    <w:rsid w:val="00EC00B4"/>
    <w:rsid w:val="00EC0493"/>
    <w:rsid w:val="00EC0AB9"/>
    <w:rsid w:val="00EC0E6D"/>
    <w:rsid w:val="00EC140F"/>
    <w:rsid w:val="00EC1894"/>
    <w:rsid w:val="00EC3579"/>
    <w:rsid w:val="00EC733F"/>
    <w:rsid w:val="00EC7E39"/>
    <w:rsid w:val="00ED01C4"/>
    <w:rsid w:val="00ED1F61"/>
    <w:rsid w:val="00ED2059"/>
    <w:rsid w:val="00ED2960"/>
    <w:rsid w:val="00ED3B9C"/>
    <w:rsid w:val="00ED4774"/>
    <w:rsid w:val="00ED4C0C"/>
    <w:rsid w:val="00ED615F"/>
    <w:rsid w:val="00ED711B"/>
    <w:rsid w:val="00EE02B4"/>
    <w:rsid w:val="00EE17FD"/>
    <w:rsid w:val="00EE23BC"/>
    <w:rsid w:val="00EE2710"/>
    <w:rsid w:val="00EE2FBF"/>
    <w:rsid w:val="00EE351B"/>
    <w:rsid w:val="00EE3C29"/>
    <w:rsid w:val="00EE52D6"/>
    <w:rsid w:val="00EE584F"/>
    <w:rsid w:val="00EE712A"/>
    <w:rsid w:val="00EE7287"/>
    <w:rsid w:val="00EE7F8C"/>
    <w:rsid w:val="00EF00A7"/>
    <w:rsid w:val="00EF128E"/>
    <w:rsid w:val="00EF1E63"/>
    <w:rsid w:val="00EF5D0B"/>
    <w:rsid w:val="00EF7BC3"/>
    <w:rsid w:val="00EF7BC6"/>
    <w:rsid w:val="00F00260"/>
    <w:rsid w:val="00F011DF"/>
    <w:rsid w:val="00F02162"/>
    <w:rsid w:val="00F02268"/>
    <w:rsid w:val="00F03EEB"/>
    <w:rsid w:val="00F0468B"/>
    <w:rsid w:val="00F04D9D"/>
    <w:rsid w:val="00F05D7F"/>
    <w:rsid w:val="00F10C09"/>
    <w:rsid w:val="00F10E4D"/>
    <w:rsid w:val="00F1180D"/>
    <w:rsid w:val="00F1357B"/>
    <w:rsid w:val="00F1437A"/>
    <w:rsid w:val="00F14AD0"/>
    <w:rsid w:val="00F16128"/>
    <w:rsid w:val="00F164D0"/>
    <w:rsid w:val="00F16590"/>
    <w:rsid w:val="00F17541"/>
    <w:rsid w:val="00F203B6"/>
    <w:rsid w:val="00F215D6"/>
    <w:rsid w:val="00F2205F"/>
    <w:rsid w:val="00F235F7"/>
    <w:rsid w:val="00F23A9F"/>
    <w:rsid w:val="00F23F57"/>
    <w:rsid w:val="00F25D68"/>
    <w:rsid w:val="00F277E8"/>
    <w:rsid w:val="00F27E69"/>
    <w:rsid w:val="00F30157"/>
    <w:rsid w:val="00F30777"/>
    <w:rsid w:val="00F30E90"/>
    <w:rsid w:val="00F31ABC"/>
    <w:rsid w:val="00F327FC"/>
    <w:rsid w:val="00F3340C"/>
    <w:rsid w:val="00F34AF2"/>
    <w:rsid w:val="00F35E07"/>
    <w:rsid w:val="00F36FC3"/>
    <w:rsid w:val="00F42C85"/>
    <w:rsid w:val="00F442B4"/>
    <w:rsid w:val="00F451F8"/>
    <w:rsid w:val="00F47A26"/>
    <w:rsid w:val="00F47EEF"/>
    <w:rsid w:val="00F51013"/>
    <w:rsid w:val="00F52C43"/>
    <w:rsid w:val="00F530C6"/>
    <w:rsid w:val="00F54696"/>
    <w:rsid w:val="00F5523D"/>
    <w:rsid w:val="00F56638"/>
    <w:rsid w:val="00F577DE"/>
    <w:rsid w:val="00F6014D"/>
    <w:rsid w:val="00F60304"/>
    <w:rsid w:val="00F605FA"/>
    <w:rsid w:val="00F61B94"/>
    <w:rsid w:val="00F62004"/>
    <w:rsid w:val="00F629E6"/>
    <w:rsid w:val="00F643D6"/>
    <w:rsid w:val="00F64F32"/>
    <w:rsid w:val="00F67172"/>
    <w:rsid w:val="00F671CE"/>
    <w:rsid w:val="00F6782C"/>
    <w:rsid w:val="00F704B0"/>
    <w:rsid w:val="00F70E1C"/>
    <w:rsid w:val="00F72275"/>
    <w:rsid w:val="00F72957"/>
    <w:rsid w:val="00F76062"/>
    <w:rsid w:val="00F767AC"/>
    <w:rsid w:val="00F767E5"/>
    <w:rsid w:val="00F768DA"/>
    <w:rsid w:val="00F802E5"/>
    <w:rsid w:val="00F80D6B"/>
    <w:rsid w:val="00F813A9"/>
    <w:rsid w:val="00F82564"/>
    <w:rsid w:val="00F856B5"/>
    <w:rsid w:val="00F85AFF"/>
    <w:rsid w:val="00F8657A"/>
    <w:rsid w:val="00F865CD"/>
    <w:rsid w:val="00F8728A"/>
    <w:rsid w:val="00F9037C"/>
    <w:rsid w:val="00F91989"/>
    <w:rsid w:val="00F9400F"/>
    <w:rsid w:val="00F947E2"/>
    <w:rsid w:val="00F94CF0"/>
    <w:rsid w:val="00F9555C"/>
    <w:rsid w:val="00F95C7F"/>
    <w:rsid w:val="00F966CF"/>
    <w:rsid w:val="00F966E6"/>
    <w:rsid w:val="00F969B1"/>
    <w:rsid w:val="00F96C3F"/>
    <w:rsid w:val="00F96EA6"/>
    <w:rsid w:val="00F97B3D"/>
    <w:rsid w:val="00F97FD6"/>
    <w:rsid w:val="00FA1166"/>
    <w:rsid w:val="00FA17F5"/>
    <w:rsid w:val="00FA1CD1"/>
    <w:rsid w:val="00FA4342"/>
    <w:rsid w:val="00FA5FF9"/>
    <w:rsid w:val="00FA7179"/>
    <w:rsid w:val="00FB002C"/>
    <w:rsid w:val="00FB02E1"/>
    <w:rsid w:val="00FB1C11"/>
    <w:rsid w:val="00FB292B"/>
    <w:rsid w:val="00FB3D9E"/>
    <w:rsid w:val="00FB46F5"/>
    <w:rsid w:val="00FB53CE"/>
    <w:rsid w:val="00FB54D5"/>
    <w:rsid w:val="00FB5D65"/>
    <w:rsid w:val="00FB6FFC"/>
    <w:rsid w:val="00FC08A4"/>
    <w:rsid w:val="00FC162F"/>
    <w:rsid w:val="00FC1805"/>
    <w:rsid w:val="00FC18D0"/>
    <w:rsid w:val="00FC1B56"/>
    <w:rsid w:val="00FC27B0"/>
    <w:rsid w:val="00FC2CBB"/>
    <w:rsid w:val="00FC31F5"/>
    <w:rsid w:val="00FC34B0"/>
    <w:rsid w:val="00FC3B24"/>
    <w:rsid w:val="00FC457A"/>
    <w:rsid w:val="00FC5D0F"/>
    <w:rsid w:val="00FC63D8"/>
    <w:rsid w:val="00FC65F5"/>
    <w:rsid w:val="00FC6FF2"/>
    <w:rsid w:val="00FD0247"/>
    <w:rsid w:val="00FD4AAE"/>
    <w:rsid w:val="00FD5215"/>
    <w:rsid w:val="00FD5425"/>
    <w:rsid w:val="00FD6426"/>
    <w:rsid w:val="00FE1EDB"/>
    <w:rsid w:val="00FE24C2"/>
    <w:rsid w:val="00FE2CD3"/>
    <w:rsid w:val="00FE2E86"/>
    <w:rsid w:val="00FE407B"/>
    <w:rsid w:val="00FE45FE"/>
    <w:rsid w:val="00FE7D4B"/>
    <w:rsid w:val="00FF1757"/>
    <w:rsid w:val="00FF1C4A"/>
    <w:rsid w:val="00FF1DBE"/>
    <w:rsid w:val="00FF50C1"/>
    <w:rsid w:val="00FF6CA0"/>
    <w:rsid w:val="00FF759B"/>
    <w:rsid w:val="00FF7CCE"/>
    <w:rsid w:val="0FE344E6"/>
    <w:rsid w:val="1485205E"/>
    <w:rsid w:val="15A119FD"/>
    <w:rsid w:val="2E1E279D"/>
    <w:rsid w:val="2E3954D1"/>
    <w:rsid w:val="2EA555A0"/>
    <w:rsid w:val="395B2DFA"/>
    <w:rsid w:val="3A0410D5"/>
    <w:rsid w:val="454D19DE"/>
    <w:rsid w:val="46635CB4"/>
    <w:rsid w:val="49AB6BF2"/>
    <w:rsid w:val="541E08EB"/>
    <w:rsid w:val="5A8176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80" w:lineRule="exact"/>
      <w:jc w:val="both"/>
    </w:pPr>
    <w:rPr>
      <w:rFonts w:ascii="Times New Roman" w:hAnsi="Times New Roman" w:eastAsia="仿宋_GB2312" w:cs="Times New Roman"/>
      <w:kern w:val="2"/>
      <w:sz w:val="32"/>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7"/>
    <w:semiHidden/>
    <w:unhideWhenUsed/>
    <w:qFormat/>
    <w:uiPriority w:val="99"/>
    <w:pPr>
      <w:jc w:val="left"/>
    </w:pPr>
  </w:style>
  <w:style w:type="paragraph" w:styleId="3">
    <w:name w:val="Balloon Text"/>
    <w:basedOn w:val="1"/>
    <w:link w:val="14"/>
    <w:semiHidden/>
    <w:unhideWhenUsed/>
    <w:qFormat/>
    <w:uiPriority w:val="99"/>
    <w:pPr>
      <w:spacing w:line="240" w:lineRule="auto"/>
    </w:pPr>
    <w:rPr>
      <w:sz w:val="18"/>
      <w:szCs w:val="18"/>
    </w:rPr>
  </w:style>
  <w:style w:type="paragraph" w:styleId="4">
    <w:name w:val="footer"/>
    <w:basedOn w:val="1"/>
    <w:link w:val="13"/>
    <w:unhideWhenUsed/>
    <w:qFormat/>
    <w:uiPriority w:val="99"/>
    <w:pPr>
      <w:tabs>
        <w:tab w:val="center" w:pos="4153"/>
        <w:tab w:val="right" w:pos="8306"/>
      </w:tabs>
      <w:snapToGrid w:val="0"/>
      <w:spacing w:line="240" w:lineRule="atLeast"/>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6">
    <w:name w:val="annotation subject"/>
    <w:basedOn w:val="2"/>
    <w:next w:val="2"/>
    <w:link w:val="18"/>
    <w:semiHidden/>
    <w:unhideWhenUsed/>
    <w:qFormat/>
    <w:uiPriority w:val="99"/>
    <w:rPr>
      <w:b/>
      <w:bCs/>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Emphasis"/>
    <w:basedOn w:val="9"/>
    <w:qFormat/>
    <w:uiPriority w:val="20"/>
    <w:rPr>
      <w:i/>
      <w:iCs/>
    </w:rPr>
  </w:style>
  <w:style w:type="character" w:styleId="11">
    <w:name w:val="annotation reference"/>
    <w:basedOn w:val="9"/>
    <w:semiHidden/>
    <w:unhideWhenUsed/>
    <w:qFormat/>
    <w:uiPriority w:val="99"/>
    <w:rPr>
      <w:sz w:val="21"/>
      <w:szCs w:val="21"/>
    </w:rPr>
  </w:style>
  <w:style w:type="character" w:customStyle="1" w:styleId="12">
    <w:name w:val="页眉 Char"/>
    <w:basedOn w:val="9"/>
    <w:link w:val="5"/>
    <w:qFormat/>
    <w:uiPriority w:val="99"/>
    <w:rPr>
      <w:rFonts w:ascii="Times New Roman" w:hAnsi="Times New Roman" w:eastAsia="仿宋_GB2312" w:cs="Times New Roman"/>
      <w:sz w:val="18"/>
      <w:szCs w:val="18"/>
    </w:rPr>
  </w:style>
  <w:style w:type="character" w:customStyle="1" w:styleId="13">
    <w:name w:val="页脚 Char"/>
    <w:basedOn w:val="9"/>
    <w:link w:val="4"/>
    <w:qFormat/>
    <w:uiPriority w:val="99"/>
    <w:rPr>
      <w:rFonts w:ascii="Times New Roman" w:hAnsi="Times New Roman" w:eastAsia="仿宋_GB2312" w:cs="Times New Roman"/>
      <w:sz w:val="18"/>
      <w:szCs w:val="18"/>
    </w:rPr>
  </w:style>
  <w:style w:type="character" w:customStyle="1" w:styleId="14">
    <w:name w:val="批注框文本 Char"/>
    <w:basedOn w:val="9"/>
    <w:link w:val="3"/>
    <w:semiHidden/>
    <w:qFormat/>
    <w:uiPriority w:val="99"/>
    <w:rPr>
      <w:rFonts w:ascii="Times New Roman" w:hAnsi="Times New Roman" w:eastAsia="仿宋_GB2312" w:cs="Times New Roman"/>
      <w:sz w:val="18"/>
      <w:szCs w:val="18"/>
    </w:rPr>
  </w:style>
  <w:style w:type="character" w:customStyle="1" w:styleId="15">
    <w:name w:val="dt-editor__word"/>
    <w:basedOn w:val="9"/>
    <w:qFormat/>
    <w:uiPriority w:val="0"/>
  </w:style>
  <w:style w:type="paragraph" w:customStyle="1" w:styleId="16">
    <w:name w:val="Default"/>
    <w:qFormat/>
    <w:uiPriority w:val="0"/>
    <w:pPr>
      <w:widowControl w:val="0"/>
      <w:autoSpaceDE w:val="0"/>
      <w:autoSpaceDN w:val="0"/>
      <w:adjustRightInd w:val="0"/>
    </w:pPr>
    <w:rPr>
      <w:rFonts w:ascii="仿宋_GB2312" w:eastAsia="仿宋_GB2312" w:cs="仿宋_GB2312" w:hAnsiTheme="minorHAnsi"/>
      <w:color w:val="000000"/>
      <w:sz w:val="24"/>
      <w:szCs w:val="24"/>
      <w:lang w:val="en-US" w:eastAsia="zh-CN" w:bidi="ar-SA"/>
    </w:rPr>
  </w:style>
  <w:style w:type="character" w:customStyle="1" w:styleId="17">
    <w:name w:val="批注文字 Char"/>
    <w:basedOn w:val="9"/>
    <w:link w:val="2"/>
    <w:semiHidden/>
    <w:qFormat/>
    <w:uiPriority w:val="99"/>
    <w:rPr>
      <w:rFonts w:ascii="Times New Roman" w:hAnsi="Times New Roman" w:eastAsia="仿宋_GB2312" w:cs="Times New Roman"/>
      <w:kern w:val="2"/>
      <w:sz w:val="32"/>
      <w:szCs w:val="24"/>
    </w:rPr>
  </w:style>
  <w:style w:type="character" w:customStyle="1" w:styleId="18">
    <w:name w:val="批注主题 Char"/>
    <w:basedOn w:val="17"/>
    <w:link w:val="6"/>
    <w:semiHidden/>
    <w:qFormat/>
    <w:uiPriority w:val="99"/>
    <w:rPr>
      <w:rFonts w:ascii="Times New Roman" w:hAnsi="Times New Roman" w:eastAsia="仿宋_GB2312" w:cs="Times New Roman"/>
      <w:b/>
      <w:bCs/>
      <w:kern w:val="2"/>
      <w:sz w:val="32"/>
      <w:szCs w:val="24"/>
    </w:rPr>
  </w:style>
  <w:style w:type="paragraph" w:styleId="19">
    <w:name w:val="List Paragraph"/>
    <w:basedOn w:val="1"/>
    <w:link w:val="20"/>
    <w:qFormat/>
    <w:uiPriority w:val="34"/>
    <w:pPr>
      <w:spacing w:line="240" w:lineRule="auto"/>
      <w:ind w:firstLine="420" w:firstLineChars="200"/>
    </w:pPr>
    <w:rPr>
      <w:rFonts w:eastAsia="宋体"/>
      <w:sz w:val="21"/>
      <w:szCs w:val="21"/>
    </w:rPr>
  </w:style>
  <w:style w:type="character" w:customStyle="1" w:styleId="20">
    <w:name w:val="列出段落 Char"/>
    <w:link w:val="19"/>
    <w:qFormat/>
    <w:locked/>
    <w:uiPriority w:val="34"/>
    <w:rPr>
      <w:rFonts w:ascii="Times New Roman" w:hAnsi="Times New Roman" w:eastAsia="宋体" w:cs="Times New Roman"/>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0BB7B1-AA8F-4752-A711-78B668337F99}">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8</Pages>
  <Words>4062</Words>
  <Characters>4302</Characters>
  <Lines>31</Lines>
  <Paragraphs>8</Paragraphs>
  <TotalTime>5886</TotalTime>
  <ScaleCrop>false</ScaleCrop>
  <LinksUpToDate>false</LinksUpToDate>
  <CharactersWithSpaces>4343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2026-03-13T10:18:00Z</dcterms:created>
  <dc:creator>郭 剑</dc:creator>
  <cp:lastModifiedBy>Rebe</cp:lastModifiedBy>
  <cp:lastPrinted>2026-08-04T10:39:00Z</cp:lastPrinted>
  <dcterms:modified xsi:type="dcterms:W3CDTF">2026-08-10T01:03:22Z</dcterms:modified>
  <cp:revision>94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3EB8F68132E24FC18A68F9DD050AD331</vt:lpwstr>
  </property>
  <property fmtid="{D5CDD505-2E9C-101B-9397-08002B2CF9AE}" pid="4" name="KSOTemplateDocerSaveRecord">
    <vt:lpwstr>eyJoZGlkIjoiYjRkZjhjMGMxNWIxM2YyNzc4ZTQzYTkxOGFiNTU0Y2EiLCJ1c2VySWQiOiIxMDg3MTk3MTM2In0=</vt:lpwstr>
  </property>
</Properties>
</file>