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ADE33D">
      <w:pPr>
        <w:widowControl/>
        <w:jc w:val="center"/>
        <w:rPr>
          <w:rFonts w:hint="eastAsia" w:ascii="宋体" w:hAnsi="宋体"/>
          <w:bCs/>
          <w:iCs/>
          <w:color w:val="000000"/>
          <w:sz w:val="24"/>
        </w:rPr>
      </w:pPr>
      <w:bookmarkStart w:id="0" w:name="_Toc515462335"/>
      <w:r>
        <w:rPr>
          <w:rFonts w:hint="eastAsia" w:ascii="宋体" w:hAnsi="宋体"/>
          <w:bCs/>
          <w:iCs/>
          <w:color w:val="000000"/>
          <w:sz w:val="24"/>
        </w:rPr>
        <w:t xml:space="preserve">证券代码：600392  </w:t>
      </w:r>
      <w:r>
        <w:rPr>
          <w:rFonts w:ascii="宋体" w:hAnsi="宋体"/>
          <w:bCs/>
          <w:iCs/>
          <w:color w:val="000000"/>
          <w:sz w:val="24"/>
        </w:rPr>
        <w:t xml:space="preserve">         </w:t>
      </w:r>
      <w:r>
        <w:rPr>
          <w:rFonts w:hint="eastAsia" w:ascii="宋体" w:hAnsi="宋体"/>
          <w:bCs/>
          <w:iCs/>
          <w:color w:val="000000"/>
          <w:sz w:val="24"/>
        </w:rPr>
        <w:t xml:space="preserve">           证券简称：盛和资源</w:t>
      </w:r>
    </w:p>
    <w:p w14:paraId="28F34A71">
      <w:pPr>
        <w:widowControl/>
        <w:jc w:val="center"/>
        <w:rPr>
          <w:rFonts w:hint="eastAsia" w:ascii="宋体" w:hAnsi="宋体"/>
          <w:bCs/>
          <w:iCs/>
          <w:color w:val="000000"/>
          <w:sz w:val="24"/>
        </w:rPr>
      </w:pPr>
    </w:p>
    <w:p w14:paraId="187B9C22">
      <w:pPr>
        <w:widowControl/>
        <w:spacing w:before="312" w:beforeLines="100"/>
        <w:jc w:val="center"/>
        <w:rPr>
          <w:rFonts w:hint="eastAsia" w:ascii="宋体" w:hAnsi="宋体"/>
          <w:bCs/>
          <w:iCs/>
          <w:color w:val="000000"/>
          <w:sz w:val="36"/>
          <w:szCs w:val="36"/>
        </w:rPr>
      </w:pPr>
      <w:r>
        <w:rPr>
          <w:rFonts w:hint="eastAsia" w:ascii="宋体" w:hAnsi="宋体"/>
          <w:bCs/>
          <w:iCs/>
          <w:color w:val="000000"/>
          <w:sz w:val="36"/>
          <w:szCs w:val="36"/>
        </w:rPr>
        <w:t>盛和资源控股股份有限公司</w:t>
      </w:r>
    </w:p>
    <w:p w14:paraId="592177FA">
      <w:pPr>
        <w:widowControl/>
        <w:spacing w:after="312" w:afterLines="100"/>
        <w:jc w:val="center"/>
        <w:rPr>
          <w:rFonts w:hint="eastAsia" w:ascii="宋体" w:hAnsi="宋体"/>
          <w:color w:val="000000"/>
          <w:sz w:val="36"/>
          <w:szCs w:val="36"/>
        </w:rPr>
      </w:pPr>
      <w:r>
        <w:rPr>
          <w:rFonts w:hint="eastAsia" w:ascii="宋体" w:hAnsi="宋体"/>
          <w:bCs/>
          <w:iCs/>
          <w:color w:val="000000"/>
          <w:sz w:val="36"/>
          <w:szCs w:val="36"/>
        </w:rPr>
        <w:t>投资者关系活动记录表</w:t>
      </w:r>
    </w:p>
    <w:p w14:paraId="7404916D">
      <w:pPr>
        <w:spacing w:line="360" w:lineRule="auto"/>
        <w:rPr>
          <w:rFonts w:hint="default" w:ascii="宋体" w:hAnsi="宋体" w:eastAsia="宋体"/>
          <w:bCs/>
          <w:iCs/>
          <w:color w:val="000000"/>
          <w:szCs w:val="21"/>
          <w:highlight w:val="none"/>
          <w:lang w:val="en-US" w:eastAsia="zh-CN"/>
        </w:rPr>
      </w:pPr>
      <w:r>
        <w:rPr>
          <w:rFonts w:ascii="宋体" w:hAnsi="宋体"/>
          <w:bCs/>
          <w:iCs/>
          <w:color w:val="000000"/>
          <w:szCs w:val="21"/>
        </w:rPr>
        <w:t xml:space="preserve">                                                     </w:t>
      </w:r>
      <w:r>
        <w:rPr>
          <w:rFonts w:hint="eastAsia" w:ascii="宋体" w:hAnsi="宋体"/>
          <w:bCs/>
          <w:iCs/>
          <w:color w:val="000000"/>
          <w:szCs w:val="21"/>
        </w:rPr>
        <w:t xml:space="preserve">            </w:t>
      </w:r>
      <w:r>
        <w:rPr>
          <w:rFonts w:ascii="宋体" w:hAnsi="宋体"/>
          <w:bCs/>
          <w:iCs/>
          <w:color w:val="000000"/>
          <w:szCs w:val="21"/>
        </w:rPr>
        <w:t>编号：</w:t>
      </w:r>
      <w:r>
        <w:rPr>
          <w:rFonts w:hint="eastAsia" w:ascii="宋体" w:hAnsi="宋体"/>
          <w:bCs/>
          <w:iCs/>
          <w:color w:val="000000"/>
          <w:szCs w:val="21"/>
        </w:rPr>
        <w:t>2</w:t>
      </w:r>
      <w:r>
        <w:rPr>
          <w:rFonts w:ascii="宋体" w:hAnsi="宋体"/>
          <w:bCs/>
          <w:iCs/>
          <w:color w:val="000000"/>
          <w:szCs w:val="21"/>
        </w:rPr>
        <w:t>02</w:t>
      </w:r>
      <w:r>
        <w:rPr>
          <w:rFonts w:hint="eastAsia" w:ascii="宋体" w:hAnsi="宋体"/>
          <w:bCs/>
          <w:iCs/>
          <w:color w:val="000000"/>
          <w:szCs w:val="21"/>
          <w:lang w:val="en-US" w:eastAsia="zh-CN"/>
        </w:rPr>
        <w:t>6</w:t>
      </w:r>
      <w:r>
        <w:rPr>
          <w:rFonts w:ascii="宋体" w:hAnsi="宋体"/>
          <w:bCs/>
          <w:iCs/>
          <w:color w:val="000000"/>
          <w:szCs w:val="21"/>
          <w:highlight w:val="none"/>
        </w:rPr>
        <w:t>-</w:t>
      </w:r>
      <w:r>
        <w:rPr>
          <w:rFonts w:hint="eastAsia" w:ascii="宋体" w:hAnsi="宋体"/>
          <w:bCs/>
          <w:iCs/>
          <w:color w:val="000000"/>
          <w:szCs w:val="21"/>
          <w:highlight w:val="none"/>
          <w:lang w:val="en-US" w:eastAsia="zh-CN"/>
        </w:rPr>
        <w:t>04</w:t>
      </w:r>
    </w:p>
    <w:tbl>
      <w:tblPr>
        <w:tblStyle w:val="10"/>
        <w:tblW w:w="96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7"/>
        <w:gridCol w:w="7088"/>
      </w:tblGrid>
      <w:tr w14:paraId="2DA1F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47" w:type="dxa"/>
            <w:vAlign w:val="center"/>
          </w:tcPr>
          <w:p w14:paraId="6E4BFA1B">
            <w:pPr>
              <w:spacing w:line="360" w:lineRule="auto"/>
              <w:rPr>
                <w:rFonts w:hint="eastAsia" w:ascii="宋体" w:hAnsi="宋体"/>
                <w:b/>
                <w:bCs/>
                <w:iCs/>
                <w:color w:val="000000"/>
                <w:szCs w:val="21"/>
              </w:rPr>
            </w:pPr>
            <w:r>
              <w:rPr>
                <w:rFonts w:ascii="宋体" w:hAnsi="宋体"/>
                <w:b/>
                <w:bCs/>
                <w:iCs/>
                <w:color w:val="000000"/>
                <w:szCs w:val="21"/>
              </w:rPr>
              <w:t>投资者关系活动类别</w:t>
            </w:r>
            <w:r>
              <w:rPr>
                <w:rFonts w:hint="eastAsia" w:ascii="宋体" w:hAnsi="宋体"/>
                <w:b/>
                <w:bCs/>
                <w:iCs/>
                <w:color w:val="000000"/>
                <w:szCs w:val="21"/>
              </w:rPr>
              <w:t>“选中项请打√”</w:t>
            </w:r>
          </w:p>
        </w:tc>
        <w:tc>
          <w:tcPr>
            <w:tcW w:w="7088" w:type="dxa"/>
          </w:tcPr>
          <w:p w14:paraId="73C6D338">
            <w:pPr>
              <w:spacing w:line="360" w:lineRule="auto"/>
              <w:jc w:val="left"/>
              <w:rPr>
                <w:rFonts w:hint="eastAsia" w:ascii="宋体" w:hAnsi="宋体"/>
                <w:bCs/>
                <w:i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iCs/>
                <w:color w:val="000000"/>
                <w:szCs w:val="21"/>
                <w:lang w:eastAsia="zh-CN"/>
              </w:rPr>
              <w:t>☑</w:t>
            </w:r>
            <w:r>
              <w:rPr>
                <w:rFonts w:ascii="宋体" w:hAnsi="宋体"/>
                <w:color w:val="000000"/>
                <w:szCs w:val="21"/>
              </w:rPr>
              <w:t xml:space="preserve">特定对象调研   </w:t>
            </w:r>
            <w:r>
              <w:rPr>
                <w:rFonts w:ascii="宋体" w:hAnsi="宋体"/>
                <w:bCs/>
                <w:iCs/>
                <w:color w:val="000000"/>
                <w:szCs w:val="21"/>
              </w:rPr>
              <w:sym w:font="Wingdings 2" w:char="00A3"/>
            </w:r>
            <w:r>
              <w:rPr>
                <w:rFonts w:ascii="宋体" w:hAnsi="宋体"/>
                <w:color w:val="000000"/>
                <w:szCs w:val="21"/>
              </w:rPr>
              <w:t>分析师会议</w:t>
            </w:r>
            <w:r>
              <w:rPr>
                <w:rFonts w:hint="eastAsia" w:ascii="宋体" w:hAnsi="宋体"/>
                <w:bCs/>
                <w:iCs/>
                <w:color w:val="000000"/>
                <w:szCs w:val="21"/>
              </w:rPr>
              <w:t xml:space="preserve">    </w:t>
            </w:r>
            <w:bookmarkStart w:id="1" w:name="OLE_LINK1"/>
            <w:r>
              <w:rPr>
                <w:rFonts w:ascii="宋体" w:hAnsi="宋体"/>
                <w:bCs/>
                <w:iCs/>
                <w:color w:val="000000"/>
                <w:szCs w:val="21"/>
              </w:rPr>
              <w:t>□</w:t>
            </w:r>
            <w:bookmarkEnd w:id="1"/>
            <w:r>
              <w:rPr>
                <w:rFonts w:ascii="宋体" w:hAnsi="宋体"/>
                <w:color w:val="000000"/>
                <w:szCs w:val="21"/>
              </w:rPr>
              <w:t xml:space="preserve">媒体采访   </w:t>
            </w:r>
            <w:r>
              <w:rPr>
                <w:rFonts w:hint="eastAsia" w:ascii="宋体" w:hAnsi="宋体"/>
                <w:color w:val="00000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□</w:t>
            </w:r>
            <w:r>
              <w:rPr>
                <w:rFonts w:ascii="宋体" w:hAnsi="宋体"/>
                <w:color w:val="000000"/>
                <w:szCs w:val="21"/>
              </w:rPr>
              <w:t>业绩说明会</w:t>
            </w:r>
            <w:r>
              <w:rPr>
                <w:rFonts w:hint="eastAsia" w:ascii="宋体" w:hAnsi="宋体"/>
                <w:bCs/>
                <w:iCs/>
                <w:color w:val="000000"/>
                <w:szCs w:val="21"/>
              </w:rPr>
              <w:t xml:space="preserve">          </w:t>
            </w:r>
            <w:r>
              <w:rPr>
                <w:rFonts w:ascii="宋体" w:hAnsi="宋体"/>
                <w:bCs/>
                <w:iCs/>
                <w:color w:val="000000"/>
                <w:szCs w:val="21"/>
              </w:rPr>
              <w:t>□</w:t>
            </w:r>
            <w:r>
              <w:rPr>
                <w:rFonts w:ascii="宋体" w:hAnsi="宋体"/>
                <w:color w:val="000000"/>
                <w:szCs w:val="21"/>
              </w:rPr>
              <w:t xml:space="preserve">新闻发布会     </w:t>
            </w:r>
            <w:r>
              <w:rPr>
                <w:rFonts w:ascii="宋体" w:hAnsi="宋体"/>
                <w:bCs/>
                <w:iCs/>
                <w:color w:val="000000"/>
                <w:szCs w:val="21"/>
              </w:rPr>
              <w:t>□</w:t>
            </w:r>
            <w:r>
              <w:rPr>
                <w:rFonts w:ascii="宋体" w:hAnsi="宋体"/>
                <w:color w:val="000000"/>
                <w:szCs w:val="21"/>
              </w:rPr>
              <w:t>路演活动</w:t>
            </w:r>
            <w:r>
              <w:rPr>
                <w:rFonts w:hint="eastAsia" w:ascii="宋体" w:hAnsi="宋体"/>
                <w:bCs/>
                <w:iCs/>
                <w:color w:val="000000"/>
                <w:szCs w:val="21"/>
              </w:rPr>
              <w:t xml:space="preserve">      </w:t>
            </w:r>
            <w:r>
              <w:rPr>
                <w:rFonts w:ascii="宋体" w:hAnsi="宋体"/>
                <w:bCs/>
                <w:iCs/>
                <w:color w:val="000000"/>
                <w:szCs w:val="21"/>
              </w:rPr>
              <w:t>□</w:t>
            </w:r>
            <w:r>
              <w:rPr>
                <w:rFonts w:ascii="宋体" w:hAnsi="宋体"/>
                <w:color w:val="000000"/>
                <w:szCs w:val="21"/>
              </w:rPr>
              <w:t>现场参观</w:t>
            </w:r>
            <w:r>
              <w:rPr>
                <w:rFonts w:ascii="宋体" w:hAnsi="宋体"/>
                <w:bCs/>
                <w:iCs/>
                <w:color w:val="000000"/>
                <w:szCs w:val="21"/>
              </w:rPr>
              <w:tab/>
            </w:r>
            <w:r>
              <w:rPr>
                <w:rFonts w:hint="eastAsia" w:ascii="宋体" w:hAnsi="宋体"/>
                <w:bCs/>
                <w:iCs/>
                <w:color w:val="000000"/>
                <w:szCs w:val="21"/>
              </w:rPr>
              <w:t xml:space="preserve">   </w:t>
            </w:r>
            <w:r>
              <w:rPr>
                <w:rFonts w:ascii="宋体" w:hAnsi="宋体"/>
                <w:bCs/>
                <w:iCs/>
                <w:color w:val="000000"/>
                <w:szCs w:val="21"/>
              </w:rPr>
              <w:sym w:font="Wingdings 2" w:char="00A3"/>
            </w:r>
            <w:r>
              <w:rPr>
                <w:rFonts w:ascii="宋体" w:hAnsi="宋体"/>
                <w:color w:val="000000"/>
                <w:szCs w:val="21"/>
              </w:rPr>
              <w:t>其他</w:t>
            </w:r>
            <w:r>
              <w:rPr>
                <w:rFonts w:hint="eastAsia" w:ascii="宋体" w:hAnsi="宋体"/>
                <w:color w:val="000000"/>
                <w:szCs w:val="21"/>
              </w:rPr>
              <w:t>（电话</w:t>
            </w:r>
            <w:r>
              <w:rPr>
                <w:rFonts w:ascii="宋体" w:hAnsi="宋体"/>
                <w:color w:val="000000"/>
                <w:szCs w:val="21"/>
              </w:rPr>
              <w:t>会议</w:t>
            </w:r>
            <w:r>
              <w:rPr>
                <w:rFonts w:hint="eastAsia" w:ascii="宋体" w:hAnsi="宋体"/>
                <w:color w:val="000000"/>
                <w:szCs w:val="21"/>
              </w:rPr>
              <w:t>）</w:t>
            </w:r>
          </w:p>
        </w:tc>
      </w:tr>
      <w:tr w14:paraId="69FC59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2547" w:type="dxa"/>
            <w:vAlign w:val="center"/>
          </w:tcPr>
          <w:p w14:paraId="3A8563EC">
            <w:pPr>
              <w:spacing w:line="360" w:lineRule="auto"/>
              <w:jc w:val="center"/>
              <w:rPr>
                <w:rFonts w:hint="eastAsia" w:ascii="宋体" w:hAnsi="宋体"/>
                <w:b/>
                <w:bCs/>
                <w:iCs/>
                <w:color w:val="000000"/>
                <w:szCs w:val="21"/>
              </w:rPr>
            </w:pPr>
            <w:r>
              <w:rPr>
                <w:rFonts w:ascii="宋体" w:hAnsi="宋体"/>
                <w:b/>
                <w:bCs/>
                <w:iCs/>
                <w:color w:val="000000"/>
                <w:szCs w:val="21"/>
              </w:rPr>
              <w:t>参与单位名称</w:t>
            </w:r>
          </w:p>
        </w:tc>
        <w:tc>
          <w:tcPr>
            <w:tcW w:w="7088" w:type="dxa"/>
            <w:vAlign w:val="center"/>
          </w:tcPr>
          <w:p w14:paraId="7BD554DA">
            <w:pPr>
              <w:spacing w:line="276" w:lineRule="auto"/>
              <w:rPr>
                <w:rFonts w:hint="default" w:ascii="宋体" w:hAnsi="宋体"/>
                <w:bCs/>
                <w:i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iCs/>
                <w:color w:val="000000"/>
                <w:szCs w:val="21"/>
                <w:lang w:val="en-US" w:eastAsia="zh-CN"/>
              </w:rPr>
              <w:t>中金公司、国泰海通证券、中泰证券、南方基金、重阳投资、滂沱私募、水星资管、瑞文投资、中睿合银</w:t>
            </w:r>
          </w:p>
        </w:tc>
      </w:tr>
      <w:tr w14:paraId="3EED0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47" w:type="dxa"/>
            <w:vAlign w:val="center"/>
          </w:tcPr>
          <w:p w14:paraId="10F336D4">
            <w:pPr>
              <w:spacing w:line="360" w:lineRule="auto"/>
              <w:jc w:val="center"/>
              <w:rPr>
                <w:rFonts w:hint="eastAsia" w:ascii="宋体" w:hAnsi="宋体"/>
                <w:b/>
                <w:bCs/>
                <w:iCs/>
                <w:color w:val="000000"/>
                <w:szCs w:val="21"/>
              </w:rPr>
            </w:pPr>
            <w:r>
              <w:rPr>
                <w:rFonts w:ascii="宋体" w:hAnsi="宋体"/>
                <w:b/>
                <w:bCs/>
                <w:iCs/>
                <w:color w:val="000000"/>
                <w:szCs w:val="21"/>
              </w:rPr>
              <w:t>时间</w:t>
            </w:r>
          </w:p>
        </w:tc>
        <w:tc>
          <w:tcPr>
            <w:tcW w:w="7088" w:type="dxa"/>
            <w:vAlign w:val="center"/>
          </w:tcPr>
          <w:p w14:paraId="5D8B2A92">
            <w:pPr>
              <w:spacing w:line="276" w:lineRule="auto"/>
              <w:rPr>
                <w:rFonts w:hint="default" w:ascii="宋体" w:hAnsi="宋体" w:eastAsia="宋体"/>
                <w:bCs/>
                <w:iCs/>
                <w:color w:val="000000"/>
                <w:szCs w:val="21"/>
                <w:lang w:val="en-US" w:eastAsia="zh-CN"/>
              </w:rPr>
            </w:pPr>
            <w:r>
              <w:rPr>
                <w:rFonts w:ascii="宋体" w:hAnsi="宋体"/>
                <w:bCs/>
                <w:iCs/>
                <w:color w:val="000000"/>
                <w:szCs w:val="21"/>
              </w:rPr>
              <w:t>202</w:t>
            </w:r>
            <w:r>
              <w:rPr>
                <w:rFonts w:hint="eastAsia" w:ascii="宋体" w:hAnsi="宋体"/>
                <w:bCs/>
                <w:iCs/>
                <w:color w:val="000000"/>
                <w:szCs w:val="21"/>
                <w:lang w:val="en-US" w:eastAsia="zh-CN"/>
              </w:rPr>
              <w:t>6年7月</w:t>
            </w:r>
          </w:p>
        </w:tc>
      </w:tr>
      <w:tr w14:paraId="440FD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47" w:type="dxa"/>
            <w:vAlign w:val="center"/>
          </w:tcPr>
          <w:p w14:paraId="275D1681">
            <w:pPr>
              <w:spacing w:line="360" w:lineRule="auto"/>
              <w:jc w:val="center"/>
              <w:rPr>
                <w:rFonts w:hint="eastAsia" w:ascii="宋体" w:hAnsi="宋体"/>
                <w:b/>
                <w:bCs/>
                <w:i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iCs/>
                <w:color w:val="000000"/>
                <w:szCs w:val="21"/>
              </w:rPr>
              <w:t>地点</w:t>
            </w:r>
          </w:p>
        </w:tc>
        <w:tc>
          <w:tcPr>
            <w:tcW w:w="7088" w:type="dxa"/>
            <w:vAlign w:val="center"/>
          </w:tcPr>
          <w:p w14:paraId="39351267">
            <w:pPr>
              <w:spacing w:line="276" w:lineRule="auto"/>
              <w:rPr>
                <w:rFonts w:hint="default" w:ascii="宋体" w:hAnsi="宋体" w:eastAsia="宋体"/>
                <w:bCs/>
                <w:i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iCs/>
                <w:color w:val="000000"/>
                <w:szCs w:val="21"/>
                <w:lang w:val="en-US" w:eastAsia="zh-CN"/>
              </w:rPr>
              <w:t>公司总部会议室</w:t>
            </w:r>
          </w:p>
        </w:tc>
      </w:tr>
      <w:tr w14:paraId="73B2E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47" w:type="dxa"/>
            <w:vAlign w:val="center"/>
          </w:tcPr>
          <w:p w14:paraId="2E565A95">
            <w:pPr>
              <w:spacing w:line="360" w:lineRule="auto"/>
              <w:jc w:val="center"/>
              <w:rPr>
                <w:rFonts w:hint="eastAsia" w:ascii="宋体" w:hAnsi="宋体"/>
                <w:b/>
                <w:bCs/>
                <w:iCs/>
                <w:color w:val="000000"/>
                <w:szCs w:val="21"/>
              </w:rPr>
            </w:pPr>
            <w:r>
              <w:rPr>
                <w:rFonts w:ascii="宋体" w:hAnsi="宋体"/>
                <w:b/>
                <w:bCs/>
                <w:iCs/>
                <w:color w:val="000000"/>
                <w:szCs w:val="21"/>
              </w:rPr>
              <w:t>上市公司接待人员姓名</w:t>
            </w:r>
          </w:p>
        </w:tc>
        <w:tc>
          <w:tcPr>
            <w:tcW w:w="7088" w:type="dxa"/>
            <w:vAlign w:val="center"/>
          </w:tcPr>
          <w:p w14:paraId="697FFD06">
            <w:pPr>
              <w:spacing w:line="276" w:lineRule="auto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董事、副总经理、董事会秘书：郭晓雷 </w:t>
            </w:r>
          </w:p>
          <w:p w14:paraId="0E5F3186">
            <w:pPr>
              <w:spacing w:line="276" w:lineRule="auto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投资者关系总监：孙宇翔</w:t>
            </w:r>
          </w:p>
          <w:p w14:paraId="41DDC3F2">
            <w:pPr>
              <w:spacing w:line="276" w:lineRule="auto"/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证券部经理、证券事务代表：陈冬梅</w:t>
            </w:r>
          </w:p>
          <w:p w14:paraId="03078682">
            <w:pPr>
              <w:spacing w:line="276" w:lineRule="auto"/>
              <w:rPr>
                <w:rFonts w:hint="default" w:ascii="宋体" w:hAnsi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证券部副经理：王尧</w:t>
            </w:r>
          </w:p>
        </w:tc>
      </w:tr>
      <w:tr w14:paraId="2D4156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47" w:type="dxa"/>
            <w:vAlign w:val="center"/>
          </w:tcPr>
          <w:p w14:paraId="328CCB7C">
            <w:pPr>
              <w:spacing w:before="156" w:beforeLines="50"/>
              <w:ind w:firstLine="420" w:firstLineChars="200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调研</w:t>
            </w:r>
            <w:r>
              <w:rPr>
                <w:rFonts w:ascii="宋体" w:hAnsi="宋体"/>
              </w:rPr>
              <w:t>主要内容介绍</w:t>
            </w:r>
          </w:p>
          <w:p w14:paraId="5E672FAF">
            <w:pPr>
              <w:spacing w:before="156" w:beforeLines="50"/>
              <w:ind w:firstLine="420" w:firstLineChars="200"/>
              <w:rPr>
                <w:rFonts w:hint="eastAsia" w:ascii="宋体" w:hAnsi="宋体"/>
              </w:rPr>
            </w:pPr>
          </w:p>
        </w:tc>
        <w:tc>
          <w:tcPr>
            <w:tcW w:w="7088" w:type="dxa"/>
          </w:tcPr>
          <w:p w14:paraId="2DD5B5AE">
            <w:pPr>
              <w:spacing w:before="156" w:beforeLines="50"/>
              <w:ind w:firstLine="420" w:firstLineChars="200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1、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公司2026年半年度业绩预增的主要原因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？</w:t>
            </w:r>
          </w:p>
          <w:p w14:paraId="2DB9768E">
            <w:pPr>
              <w:spacing w:before="156" w:beforeLines="50"/>
              <w:ind w:firstLine="420" w:firstLineChars="200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答：报告期内，受稀土产业政策和下游需求等因素影响，稀土主要产品市场需求整体向好，产品价格销售均价较上一年度涨幅较大。公司紧抓市场机遇，优化产销结构，加强管理赋能及成本管控，进而驱动业绩实现大幅增长。</w:t>
            </w:r>
          </w:p>
          <w:p w14:paraId="6DD49164">
            <w:pPr>
              <w:spacing w:before="156" w:beforeLines="50"/>
              <w:ind w:firstLine="420" w:firstLineChars="200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2、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公司乐山1.5万吨抛光粉项目及坦桑尼亚恩古拉稀土矿项目的最新进展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？</w:t>
            </w:r>
          </w:p>
          <w:p w14:paraId="07FD94C0">
            <w:pPr>
              <w:spacing w:before="156" w:beforeLines="50"/>
              <w:ind w:firstLine="420" w:firstLineChars="200"/>
              <w:rPr>
                <w:rFonts w:hint="default" w:ascii="宋体" w:hAnsi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答：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公司乐山1.5万吨抛光粉项目仍在有序推进；坦桑尼亚恩古拉稀土矿项目仍在推进技术出口相关审批流程，公司将密切跟进，依法有序推动项目建设，具体进展情况请以公司公告为准。</w:t>
            </w:r>
          </w:p>
          <w:p w14:paraId="3F02432D">
            <w:pPr>
              <w:spacing w:before="156" w:beforeLines="50"/>
              <w:ind w:firstLine="420" w:firstLineChars="200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、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坦桑尼亚Tajiri锆钛矿项目的资源禀赋及运行情况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？</w:t>
            </w:r>
          </w:p>
          <w:p w14:paraId="67348576">
            <w:pPr>
              <w:spacing w:before="156" w:beforeLines="50"/>
              <w:ind w:firstLine="420" w:firstLineChars="200"/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答：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Tajiri锆钛矿项目保有矿石资源量2.68亿吨，重矿物平均品位3.3%；该项目建设工作正有序推进，目前初选厂生产线已试机运行，精选厂已启动建设，预计将于2026年内建成投产。</w:t>
            </w:r>
          </w:p>
          <w:p w14:paraId="5F2059EF">
            <w:pPr>
              <w:spacing w:before="156" w:beforeLines="50"/>
              <w:ind w:firstLine="420" w:firstLineChars="200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、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公司对于稀土下游领域的发展规划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？</w:t>
            </w:r>
          </w:p>
          <w:p w14:paraId="0A8034D6">
            <w:pPr>
              <w:spacing w:before="156" w:beforeLines="50"/>
              <w:ind w:firstLine="420" w:firstLineChars="200"/>
              <w:rPr>
                <w:rFonts w:hint="default" w:ascii="宋体" w:hAnsi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答：根据公司发布的《2026-2028年发展规划》，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公司在稀土行业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下游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将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聚焦绿色低碳能源、高性能材料等领域，重点布局稀土抛光材料，延伸稀土永磁材料、稀土催化材料，通过控股、参股深化与下游龙头合作，培育可持续增长动力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。</w:t>
            </w:r>
          </w:p>
          <w:p w14:paraId="39932515">
            <w:pPr>
              <w:spacing w:before="156" w:beforeLines="50"/>
              <w:ind w:firstLine="420" w:firstLineChars="200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、公司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是否有布局其他有色金属资源的规划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？</w:t>
            </w:r>
          </w:p>
          <w:p w14:paraId="6F757416">
            <w:pPr>
              <w:spacing w:before="156" w:beforeLines="50"/>
              <w:ind w:firstLine="420" w:firstLineChars="200"/>
              <w:rPr>
                <w:rFonts w:hint="default" w:cs="Times New Roman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答：根据公司发布的《2026-2028年发展规划》，公司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将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以现有海外稀土、锆钛矿山投资运营经验为基础，稳步拓展多元化有色金属及非金属矿产投资，构建“核心资源+战略资源”协同布局。在产品结构上，依托现有项目伴生资源综合利用，向铜、钴、镍、锂、钽、铌等关键战略金属及优质非金属矿产延伸，提升资源综合价值与抗周期能力。在地域布局上，以非洲现有项目所在国为支点，逐步拓展至非洲其他资源富集、政策稳定的国家和地区。投资方式上，采取参股、控股、并购、合资开发等灵活模式，择机投资独立矿产项目，形成“稀土+锆钛+三稀资源”的全球化资源组合，进一步提升公司在全球关键矿产领域的资源掌控力与供应链话语权。</w:t>
            </w:r>
          </w:p>
        </w:tc>
      </w:tr>
      <w:tr w14:paraId="63FA0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47" w:type="dxa"/>
            <w:vAlign w:val="center"/>
          </w:tcPr>
          <w:p w14:paraId="3E908EEA">
            <w:pPr>
              <w:spacing w:line="360" w:lineRule="auto"/>
              <w:jc w:val="center"/>
              <w:rPr>
                <w:rFonts w:hint="eastAsia" w:ascii="宋体" w:hAnsi="宋体"/>
                <w:b/>
                <w:bCs/>
                <w:i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iCs/>
                <w:color w:val="000000"/>
                <w:szCs w:val="21"/>
              </w:rPr>
              <w:t xml:space="preserve"> </w:t>
            </w:r>
            <w:r>
              <w:rPr>
                <w:rFonts w:ascii="宋体" w:hAnsi="宋体"/>
                <w:b/>
                <w:bCs/>
                <w:iCs/>
                <w:color w:val="000000"/>
                <w:szCs w:val="21"/>
              </w:rPr>
              <w:t>附件清单（如有）</w:t>
            </w:r>
          </w:p>
        </w:tc>
        <w:tc>
          <w:tcPr>
            <w:tcW w:w="7088" w:type="dxa"/>
          </w:tcPr>
          <w:p w14:paraId="4AC789B0">
            <w:pPr>
              <w:spacing w:line="360" w:lineRule="auto"/>
              <w:ind w:firstLine="105" w:firstLineChars="50"/>
              <w:jc w:val="center"/>
              <w:rPr>
                <w:rFonts w:hint="eastAsia" w:ascii="宋体" w:hAnsi="宋体"/>
                <w:bCs/>
                <w:i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iCs/>
                <w:color w:val="000000"/>
                <w:szCs w:val="21"/>
              </w:rPr>
              <w:t>无</w:t>
            </w:r>
          </w:p>
        </w:tc>
      </w:tr>
      <w:tr w14:paraId="5FCF1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47" w:type="dxa"/>
            <w:vAlign w:val="center"/>
          </w:tcPr>
          <w:p w14:paraId="09F4BB5B">
            <w:pPr>
              <w:spacing w:line="360" w:lineRule="auto"/>
              <w:jc w:val="center"/>
              <w:rPr>
                <w:rFonts w:hint="eastAsia" w:ascii="宋体" w:hAnsi="宋体"/>
                <w:b/>
                <w:bCs/>
                <w:iCs/>
                <w:color w:val="000000"/>
                <w:szCs w:val="21"/>
              </w:rPr>
            </w:pPr>
            <w:r>
              <w:rPr>
                <w:rFonts w:ascii="宋体" w:hAnsi="宋体"/>
                <w:b/>
                <w:bCs/>
                <w:iCs/>
                <w:color w:val="000000"/>
                <w:szCs w:val="21"/>
              </w:rPr>
              <w:t>日期</w:t>
            </w:r>
          </w:p>
        </w:tc>
        <w:tc>
          <w:tcPr>
            <w:tcW w:w="7088" w:type="dxa"/>
          </w:tcPr>
          <w:p w14:paraId="0CC43FC5">
            <w:pPr>
              <w:spacing w:line="360" w:lineRule="auto"/>
              <w:jc w:val="center"/>
              <w:rPr>
                <w:rFonts w:hint="eastAsia" w:ascii="宋体" w:hAnsi="宋体"/>
                <w:bCs/>
                <w:iCs/>
                <w:color w:val="000000"/>
                <w:szCs w:val="21"/>
              </w:rPr>
            </w:pPr>
            <w:r>
              <w:rPr>
                <w:rFonts w:ascii="宋体" w:hAnsi="宋体"/>
                <w:bCs/>
                <w:iCs/>
                <w:color w:val="000000"/>
                <w:szCs w:val="21"/>
              </w:rPr>
              <w:t>202</w:t>
            </w:r>
            <w:r>
              <w:rPr>
                <w:rFonts w:hint="eastAsia" w:ascii="宋体" w:hAnsi="宋体"/>
                <w:bCs/>
                <w:iCs/>
                <w:color w:val="000000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bCs/>
                <w:iCs/>
                <w:color w:val="000000"/>
                <w:szCs w:val="21"/>
              </w:rPr>
              <w:t>年</w:t>
            </w:r>
            <w:r>
              <w:rPr>
                <w:rFonts w:hint="eastAsia" w:ascii="宋体" w:hAnsi="宋体"/>
                <w:bCs/>
                <w:iCs/>
                <w:color w:val="000000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/>
                <w:bCs/>
                <w:iCs/>
                <w:color w:val="000000"/>
                <w:szCs w:val="21"/>
              </w:rPr>
              <w:t>月</w:t>
            </w:r>
            <w:r>
              <w:rPr>
                <w:rFonts w:hint="eastAsia" w:ascii="宋体" w:hAnsi="宋体"/>
                <w:bCs/>
                <w:iCs/>
                <w:color w:val="000000"/>
                <w:szCs w:val="21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/>
                <w:bCs/>
                <w:iCs/>
                <w:color w:val="000000"/>
                <w:szCs w:val="21"/>
              </w:rPr>
              <w:t>日</w:t>
            </w:r>
          </w:p>
        </w:tc>
      </w:tr>
      <w:bookmarkEnd w:id="0"/>
    </w:tbl>
    <w:p w14:paraId="264E70DC">
      <w:pPr>
        <w:widowControl/>
        <w:jc w:val="left"/>
        <w:rPr>
          <w:rFonts w:hint="eastAsia" w:ascii="仿宋" w:hAnsi="仿宋" w:eastAsia="仿宋"/>
          <w:sz w:val="28"/>
          <w:szCs w:val="28"/>
        </w:rPr>
      </w:pPr>
      <w:bookmarkStart w:id="2" w:name="_GoBack"/>
      <w:bookmarkEnd w:id="2"/>
    </w:p>
    <w:sectPr>
      <w:footerReference r:id="rId5" w:type="default"/>
      <w:footerReference r:id="rId6" w:type="even"/>
      <w:pgSz w:w="11906" w:h="16838"/>
      <w:pgMar w:top="1701" w:right="1797" w:bottom="1134" w:left="1797" w:header="851" w:footer="992" w:gutter="0"/>
      <w:cols w:space="720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7E2BE8">
    <w:pPr>
      <w:pStyle w:val="7"/>
      <w:framePr w:wrap="around" w:vAnchor="text" w:hAnchor="margin" w:xAlign="center" w:y="1"/>
      <w:rPr>
        <w:rStyle w:val="14"/>
        <w:rFonts w:hint="eastAsia" w:ascii="宋体" w:hAnsi="宋体"/>
        <w:sz w:val="28"/>
        <w:szCs w:val="28"/>
      </w:rPr>
    </w:pPr>
    <w:r>
      <w:rPr>
        <w:rStyle w:val="14"/>
        <w:rFonts w:hint="eastAsia" w:ascii="宋体" w:hAnsi="宋体"/>
        <w:sz w:val="28"/>
        <w:szCs w:val="28"/>
      </w:rPr>
      <w:t>—</w:t>
    </w:r>
    <w:r>
      <w:rPr>
        <w:rFonts w:hint="eastAsia" w:ascii="宋体" w:hAnsi="宋体"/>
        <w:sz w:val="28"/>
        <w:szCs w:val="28"/>
      </w:rPr>
      <w:fldChar w:fldCharType="begin"/>
    </w:r>
    <w:r>
      <w:rPr>
        <w:rStyle w:val="14"/>
        <w:rFonts w:hint="eastAsia" w:ascii="宋体" w:hAnsi="宋体"/>
        <w:sz w:val="28"/>
        <w:szCs w:val="28"/>
      </w:rPr>
      <w:instrText xml:space="preserve">PAGE  </w:instrText>
    </w:r>
    <w:r>
      <w:rPr>
        <w:rFonts w:hint="eastAsia" w:ascii="宋体" w:hAnsi="宋体"/>
        <w:sz w:val="28"/>
        <w:szCs w:val="28"/>
      </w:rPr>
      <w:fldChar w:fldCharType="separate"/>
    </w:r>
    <w:r>
      <w:rPr>
        <w:rStyle w:val="14"/>
        <w:rFonts w:ascii="宋体" w:hAnsi="宋体"/>
        <w:sz w:val="28"/>
        <w:szCs w:val="28"/>
      </w:rPr>
      <w:t>2</w:t>
    </w:r>
    <w:r>
      <w:rPr>
        <w:rFonts w:hint="eastAsia" w:ascii="宋体" w:hAnsi="宋体"/>
        <w:sz w:val="28"/>
        <w:szCs w:val="28"/>
      </w:rPr>
      <w:fldChar w:fldCharType="end"/>
    </w:r>
    <w:r>
      <w:rPr>
        <w:rStyle w:val="14"/>
        <w:rFonts w:hint="eastAsia" w:ascii="宋体" w:hAnsi="宋体"/>
        <w:sz w:val="28"/>
        <w:szCs w:val="28"/>
      </w:rPr>
      <w:t>—</w:t>
    </w:r>
  </w:p>
  <w:p w14:paraId="16671FD4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628579">
    <w:pPr>
      <w:pStyle w:val="7"/>
      <w:framePr w:wrap="around" w:vAnchor="text" w:hAnchor="margin" w:xAlign="center" w:y="1"/>
      <w:rPr>
        <w:rStyle w:val="14"/>
      </w:rPr>
    </w:pPr>
    <w:r>
      <w:fldChar w:fldCharType="begin"/>
    </w:r>
    <w:r>
      <w:rPr>
        <w:rStyle w:val="14"/>
      </w:rPr>
      <w:instrText xml:space="preserve">PAGE  </w:instrText>
    </w:r>
    <w:r>
      <w:fldChar w:fldCharType="end"/>
    </w:r>
  </w:p>
  <w:p w14:paraId="7FA730D8"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5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U3YWU0ODljM2NmZjU5OGNmMjFkOGY5YmJkOTk2ODUifQ=="/>
  </w:docVars>
  <w:rsids>
    <w:rsidRoot w:val="00953981"/>
    <w:rsid w:val="0001203A"/>
    <w:rsid w:val="00013509"/>
    <w:rsid w:val="00036947"/>
    <w:rsid w:val="000532C1"/>
    <w:rsid w:val="000550EB"/>
    <w:rsid w:val="0007285A"/>
    <w:rsid w:val="000731BB"/>
    <w:rsid w:val="00081574"/>
    <w:rsid w:val="000A4871"/>
    <w:rsid w:val="000A6FEC"/>
    <w:rsid w:val="000B37B1"/>
    <w:rsid w:val="000B620F"/>
    <w:rsid w:val="000B7E1C"/>
    <w:rsid w:val="000D7761"/>
    <w:rsid w:val="00126512"/>
    <w:rsid w:val="00176F31"/>
    <w:rsid w:val="00177EC3"/>
    <w:rsid w:val="00180568"/>
    <w:rsid w:val="001A04B5"/>
    <w:rsid w:val="001A09A4"/>
    <w:rsid w:val="001C1D99"/>
    <w:rsid w:val="001F4540"/>
    <w:rsid w:val="002001C1"/>
    <w:rsid w:val="00214702"/>
    <w:rsid w:val="0023626F"/>
    <w:rsid w:val="00273F00"/>
    <w:rsid w:val="00295305"/>
    <w:rsid w:val="002B7B99"/>
    <w:rsid w:val="002E1978"/>
    <w:rsid w:val="002F790C"/>
    <w:rsid w:val="0031359B"/>
    <w:rsid w:val="003543E6"/>
    <w:rsid w:val="003635FB"/>
    <w:rsid w:val="003751F0"/>
    <w:rsid w:val="003E0D6D"/>
    <w:rsid w:val="003F075D"/>
    <w:rsid w:val="00431FFB"/>
    <w:rsid w:val="004460E0"/>
    <w:rsid w:val="004C55DA"/>
    <w:rsid w:val="004D4ECC"/>
    <w:rsid w:val="004E149C"/>
    <w:rsid w:val="004E7079"/>
    <w:rsid w:val="004F5FC7"/>
    <w:rsid w:val="00503F30"/>
    <w:rsid w:val="00593A9B"/>
    <w:rsid w:val="005B097F"/>
    <w:rsid w:val="005B151D"/>
    <w:rsid w:val="005C1E93"/>
    <w:rsid w:val="005F33F1"/>
    <w:rsid w:val="0060780A"/>
    <w:rsid w:val="00621A53"/>
    <w:rsid w:val="006401DD"/>
    <w:rsid w:val="00650410"/>
    <w:rsid w:val="00656C48"/>
    <w:rsid w:val="00676A4E"/>
    <w:rsid w:val="00681D44"/>
    <w:rsid w:val="006924FD"/>
    <w:rsid w:val="006D761D"/>
    <w:rsid w:val="007549ED"/>
    <w:rsid w:val="0077568A"/>
    <w:rsid w:val="007A7D5B"/>
    <w:rsid w:val="007C2390"/>
    <w:rsid w:val="007C5823"/>
    <w:rsid w:val="007D4949"/>
    <w:rsid w:val="007E1E56"/>
    <w:rsid w:val="007E4551"/>
    <w:rsid w:val="007E7F4E"/>
    <w:rsid w:val="007F5049"/>
    <w:rsid w:val="007F51F0"/>
    <w:rsid w:val="00814133"/>
    <w:rsid w:val="008359E8"/>
    <w:rsid w:val="00836509"/>
    <w:rsid w:val="00871D04"/>
    <w:rsid w:val="0089239A"/>
    <w:rsid w:val="008C3B4A"/>
    <w:rsid w:val="008C44AA"/>
    <w:rsid w:val="008D5F92"/>
    <w:rsid w:val="008F346F"/>
    <w:rsid w:val="00905BC4"/>
    <w:rsid w:val="009456A9"/>
    <w:rsid w:val="00953981"/>
    <w:rsid w:val="009628D4"/>
    <w:rsid w:val="00992AD5"/>
    <w:rsid w:val="009B0861"/>
    <w:rsid w:val="009F4110"/>
    <w:rsid w:val="009F45A2"/>
    <w:rsid w:val="00A05D19"/>
    <w:rsid w:val="00A103B1"/>
    <w:rsid w:val="00A130E2"/>
    <w:rsid w:val="00A30EA4"/>
    <w:rsid w:val="00A46045"/>
    <w:rsid w:val="00A540D5"/>
    <w:rsid w:val="00A903B2"/>
    <w:rsid w:val="00AA3A2F"/>
    <w:rsid w:val="00AB65AE"/>
    <w:rsid w:val="00AC431B"/>
    <w:rsid w:val="00AE0CFB"/>
    <w:rsid w:val="00AE58F2"/>
    <w:rsid w:val="00AF6245"/>
    <w:rsid w:val="00B0411F"/>
    <w:rsid w:val="00B10F99"/>
    <w:rsid w:val="00B22C28"/>
    <w:rsid w:val="00B23358"/>
    <w:rsid w:val="00B34641"/>
    <w:rsid w:val="00B61496"/>
    <w:rsid w:val="00B61558"/>
    <w:rsid w:val="00B943F5"/>
    <w:rsid w:val="00BB0618"/>
    <w:rsid w:val="00BC283B"/>
    <w:rsid w:val="00BE138D"/>
    <w:rsid w:val="00BF20BB"/>
    <w:rsid w:val="00C00ED0"/>
    <w:rsid w:val="00C037C8"/>
    <w:rsid w:val="00C125C5"/>
    <w:rsid w:val="00C3495A"/>
    <w:rsid w:val="00C40C24"/>
    <w:rsid w:val="00C655A8"/>
    <w:rsid w:val="00C73011"/>
    <w:rsid w:val="00C74CFE"/>
    <w:rsid w:val="00C8030F"/>
    <w:rsid w:val="00CC0983"/>
    <w:rsid w:val="00CE0A43"/>
    <w:rsid w:val="00CE6605"/>
    <w:rsid w:val="00D03E6A"/>
    <w:rsid w:val="00D0557B"/>
    <w:rsid w:val="00D15A3A"/>
    <w:rsid w:val="00D16C08"/>
    <w:rsid w:val="00D23B76"/>
    <w:rsid w:val="00D346BD"/>
    <w:rsid w:val="00D35C68"/>
    <w:rsid w:val="00D41450"/>
    <w:rsid w:val="00D53AA6"/>
    <w:rsid w:val="00D5647D"/>
    <w:rsid w:val="00D70AE6"/>
    <w:rsid w:val="00D74D49"/>
    <w:rsid w:val="00DA7E5B"/>
    <w:rsid w:val="00DB45D0"/>
    <w:rsid w:val="00DE22B5"/>
    <w:rsid w:val="00E62C0E"/>
    <w:rsid w:val="00E877F5"/>
    <w:rsid w:val="00E91845"/>
    <w:rsid w:val="00E92BDF"/>
    <w:rsid w:val="00EA062D"/>
    <w:rsid w:val="00EC0E1C"/>
    <w:rsid w:val="00EC289B"/>
    <w:rsid w:val="00ED31BF"/>
    <w:rsid w:val="00F273B8"/>
    <w:rsid w:val="00F4436E"/>
    <w:rsid w:val="00F536E6"/>
    <w:rsid w:val="00F619A6"/>
    <w:rsid w:val="00F72C4E"/>
    <w:rsid w:val="00F958D0"/>
    <w:rsid w:val="00FA38A8"/>
    <w:rsid w:val="00FA7A09"/>
    <w:rsid w:val="00FB5270"/>
    <w:rsid w:val="00FD2C33"/>
    <w:rsid w:val="035E62A9"/>
    <w:rsid w:val="0C1C4875"/>
    <w:rsid w:val="0E9771F2"/>
    <w:rsid w:val="0ECB5A9B"/>
    <w:rsid w:val="115D3D0D"/>
    <w:rsid w:val="1E38504E"/>
    <w:rsid w:val="222A111F"/>
    <w:rsid w:val="28A91541"/>
    <w:rsid w:val="2C0B44D1"/>
    <w:rsid w:val="2DD8111C"/>
    <w:rsid w:val="31B04883"/>
    <w:rsid w:val="335F4851"/>
    <w:rsid w:val="36C22E36"/>
    <w:rsid w:val="3878105D"/>
    <w:rsid w:val="3A8638A8"/>
    <w:rsid w:val="3ED65E91"/>
    <w:rsid w:val="40075FB4"/>
    <w:rsid w:val="40692574"/>
    <w:rsid w:val="41C10393"/>
    <w:rsid w:val="4599357F"/>
    <w:rsid w:val="4F432B74"/>
    <w:rsid w:val="5539593A"/>
    <w:rsid w:val="58535244"/>
    <w:rsid w:val="5CC34FC4"/>
    <w:rsid w:val="5D864CC7"/>
    <w:rsid w:val="5E0F28E8"/>
    <w:rsid w:val="5FE86BB1"/>
    <w:rsid w:val="60F224FB"/>
    <w:rsid w:val="62EC076F"/>
    <w:rsid w:val="63133F4E"/>
    <w:rsid w:val="658E7179"/>
    <w:rsid w:val="67085D12"/>
    <w:rsid w:val="6AC94A9A"/>
    <w:rsid w:val="6C6D256F"/>
    <w:rsid w:val="732D3E84"/>
    <w:rsid w:val="B8DF46EA"/>
    <w:rsid w:val="BB77B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rFonts w:ascii="Calibri" w:hAnsi="Calibri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qFormat/>
    <w:uiPriority w:val="9"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9"/>
    <w:qFormat/>
    <w:uiPriority w:val="0"/>
    <w:rPr>
      <w:sz w:val="28"/>
    </w:rPr>
  </w:style>
  <w:style w:type="paragraph" w:styleId="5">
    <w:name w:val="Date"/>
    <w:basedOn w:val="1"/>
    <w:next w:val="1"/>
    <w:qFormat/>
    <w:uiPriority w:val="0"/>
    <w:pPr>
      <w:ind w:left="100" w:leftChars="2500"/>
    </w:pPr>
  </w:style>
  <w:style w:type="paragraph" w:styleId="6">
    <w:name w:val="Balloon Text"/>
    <w:basedOn w:val="1"/>
    <w:link w:val="20"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99"/>
    <w:rPr>
      <w:rFonts w:ascii="Calibri" w:hAnsi="Calibri"/>
      <w:sz w:val="24"/>
    </w:rPr>
  </w:style>
  <w:style w:type="table" w:styleId="11">
    <w:name w:val="Table Grid"/>
    <w:basedOn w:val="10"/>
    <w:qFormat/>
    <w:uiPriority w:val="59"/>
    <w:rPr>
      <w:rFonts w:ascii="Calibri" w:hAnsi="Calibr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page number"/>
    <w:qFormat/>
    <w:uiPriority w:val="0"/>
  </w:style>
  <w:style w:type="character" w:styleId="15">
    <w:name w:val="Emphasis"/>
    <w:qFormat/>
    <w:uiPriority w:val="0"/>
    <w:rPr>
      <w:i/>
    </w:rPr>
  </w:style>
  <w:style w:type="character" w:styleId="16">
    <w:name w:val="Hyperlink"/>
    <w:qFormat/>
    <w:uiPriority w:val="99"/>
    <w:rPr>
      <w:rFonts w:cs="Times New Roman"/>
      <w:color w:val="0000FF"/>
      <w:u w:val="single"/>
    </w:rPr>
  </w:style>
  <w:style w:type="character" w:customStyle="1" w:styleId="17">
    <w:name w:val="标题 1 字符"/>
    <w:link w:val="2"/>
    <w:qFormat/>
    <w:uiPriority w:val="9"/>
    <w:rPr>
      <w:rFonts w:ascii="Calibri" w:hAnsi="Calibri"/>
      <w:b/>
      <w:bCs/>
      <w:kern w:val="44"/>
      <w:sz w:val="44"/>
      <w:szCs w:val="44"/>
    </w:rPr>
  </w:style>
  <w:style w:type="character" w:customStyle="1" w:styleId="18">
    <w:name w:val="标题 2 字符"/>
    <w:link w:val="3"/>
    <w:qFormat/>
    <w:uiPriority w:val="9"/>
    <w:rPr>
      <w:rFonts w:ascii="Calibri Light" w:hAnsi="Calibri Light"/>
      <w:b/>
      <w:bCs/>
      <w:kern w:val="2"/>
      <w:sz w:val="32"/>
      <w:szCs w:val="32"/>
    </w:rPr>
  </w:style>
  <w:style w:type="character" w:customStyle="1" w:styleId="19">
    <w:name w:val="正文文本 字符"/>
    <w:link w:val="4"/>
    <w:qFormat/>
    <w:uiPriority w:val="0"/>
    <w:rPr>
      <w:kern w:val="2"/>
      <w:sz w:val="28"/>
      <w:szCs w:val="24"/>
    </w:rPr>
  </w:style>
  <w:style w:type="character" w:customStyle="1" w:styleId="20">
    <w:name w:val="批注框文本 字符"/>
    <w:link w:val="6"/>
    <w:qFormat/>
    <w:uiPriority w:val="0"/>
    <w:rPr>
      <w:kern w:val="2"/>
      <w:sz w:val="18"/>
      <w:szCs w:val="18"/>
    </w:rPr>
  </w:style>
  <w:style w:type="paragraph" w:styleId="21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2">
    <w:name w:val="List Paragraph1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23">
    <w:name w:val="msolistparagraph"/>
    <w:basedOn w:val="1"/>
    <w:qFormat/>
    <w:uiPriority w:val="0"/>
    <w:pPr>
      <w:ind w:firstLine="420" w:firstLineChars="200"/>
    </w:pPr>
    <w:rPr>
      <w:rFonts w:ascii="Calibri" w:hAnsi="Calibri"/>
      <w:szCs w:val="21"/>
    </w:rPr>
  </w:style>
  <w:style w:type="paragraph" w:customStyle="1" w:styleId="24">
    <w:name w:val="Revision"/>
    <w:hidden/>
    <w:unhideWhenUsed/>
    <w:qFormat/>
    <w:uiPriority w:val="99"/>
    <w:pPr>
      <w:spacing w:after="0" w:line="240" w:lineRule="auto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SC</Company>
  <Pages>2</Pages>
  <Words>1021</Words>
  <Characters>1078</Characters>
  <Lines>74</Lines>
  <Paragraphs>53</Paragraphs>
  <TotalTime>24</TotalTime>
  <ScaleCrop>false</ScaleCrop>
  <LinksUpToDate>false</LinksUpToDate>
  <CharactersWithSpaces>1203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2025-05-08T01:01:00Z</dcterms:created>
  <dc:creator>Li</dc:creator>
  <cp:lastModifiedBy>chendm</cp:lastModifiedBy>
  <cp:lastPrinted>2010-08-04T22:50:00Z</cp:lastPrinted>
  <dcterms:modified xsi:type="dcterms:W3CDTF">2026-08-10T08:50:07Z</dcterms:modified>
  <dc:title>四川省上市公司协会文件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BDA3025BEABB4DB7B9CC081043D4F554_13</vt:lpwstr>
  </property>
  <property fmtid="{D5CDD505-2E9C-101B-9397-08002B2CF9AE}" pid="4" name="KSOTemplateDocerSaveRecord">
    <vt:lpwstr>eyJoZGlkIjoiY2YwZWVjYmM2OTViOTQzMTVkZDU5ZGY3ZjQyZWJmZmIiLCJ1c2VySWQiOiI3OTU5OTU1OTgifQ==</vt:lpwstr>
  </property>
</Properties>
</file>